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Shadow Node Theory v2.5.0 (v30):</w:t>
      </w:r>
    </w:p>
    <w:p>
      <w:pPr>
        <w:pStyle w:val="Heading2"/>
      </w:pPr>
      <w:r>
        <w:t>Scale Invariance in the Node Satellization Algorithm — and a Universal Coupled Orbital Collapse Layer (ACO-A)</w:t>
      </w:r>
    </w:p>
    <w:p>
      <w:r>
        <w:rPr>
          <w:i/>
        </w:rPr>
        <w:t>Empirical Verification Across 721 Real Cases, plus Collapse Evidence in Five Domains</w:t>
      </w:r>
    </w:p>
    <w:p>
      <w:r>
        <w:rPr>
          <w:b/>
        </w:rPr>
        <w:t>Elán Zainos Corona</w:t>
      </w:r>
    </w:p>
    <w:p>
      <w:r>
        <w:t>Fractal Core Research · Tlaxcala, Mexico · elan.zainos.corona@gmail.com</w:t>
      </w:r>
    </w:p>
    <w:p>
      <w:r>
        <w:t>DOI: https://doi.org/10.5281/zenodo.19446521 · SSRN: https://ssrn.com/abstract=6418778</w:t>
      </w:r>
    </w:p>
    <w:p>
      <w:r>
        <w:t>GitHub: https://github.com/Inzainos/The-shadow-Node-Theory</w:t>
      </w:r>
    </w:p>
    <w:p>
      <w:r>
        <w:t>Pre-print v2.5.0 (framework v30) — not peer reviewed. Data and methodology available for review.</w:t>
      </w:r>
    </w:p>
    <w:p>
      <w:pPr>
        <w:ind w:left="360"/>
      </w:pPr>
      <w:r>
        <w:rPr>
          <w:b/>
          <w:i/>
          <w:color w:val="555555"/>
        </w:rPr>
        <w:t>Version note (v30).</w:t>
      </w:r>
      <w:r>
        <w:rPr>
          <w:i/>
          <w:color w:val="555555"/>
        </w:rPr>
        <w:t xml:space="preserve"> This revision supersedes the previously posted SNT v2.3.1</w:t>
      </w:r>
    </w:p>
    <w:p>
      <w:pPr>
        <w:ind w:left="360"/>
      </w:pPr>
      <w:r>
        <w:rPr>
          <w:i/>
          <w:color w:val="555555"/>
        </w:rPr>
        <w:t>(502-case corpus). A June 2026 audit found that the 502-case corpus contained</w:t>
      </w:r>
    </w:p>
    <w:p>
      <w:pPr>
        <w:ind w:left="360"/>
      </w:pPr>
      <w:r>
        <w:rPr>
          <w:i/>
          <w:color w:val="555555"/>
        </w:rPr>
        <w:t>~188 synthetically generated b values (</w:t>
      </w:r>
      <w:r>
        <w:rPr>
          <w:rFonts w:ascii="Consolas" w:hAnsi="Consolas"/>
          <w:i/>
          <w:color w:val="555555"/>
          <w:sz w:val="18"/>
        </w:rPr>
        <w:t>np.random.normal()</w:t>
      </w:r>
      <w:r>
        <w:rPr>
          <w:i/>
          <w:color w:val="555555"/>
        </w:rPr>
        <w:t>) and an R² column</w:t>
      </w:r>
    </w:p>
    <w:p>
      <w:pPr>
        <w:ind w:left="360"/>
      </w:pPr>
      <w:r>
        <w:rPr>
          <w:i/>
          <w:color w:val="555555"/>
        </w:rPr>
        <w:t xml:space="preserve">with impossible values (down to −7.332); it has been </w:t>
      </w:r>
      <w:r>
        <w:rPr>
          <w:b/>
          <w:i/>
          <w:color w:val="555555"/>
        </w:rPr>
        <w:t>retired</w:t>
      </w:r>
      <w:r>
        <w:rPr>
          <w:i/>
          <w:color w:val="555555"/>
        </w:rPr>
        <w:t>. This version</w:t>
      </w:r>
    </w:p>
    <w:p>
      <w:pPr>
        <w:ind w:left="360"/>
      </w:pPr>
      <w:r>
        <w:rPr>
          <w:i/>
          <w:color w:val="555555"/>
        </w:rPr>
        <w:t>uses a **721-case corpus reconstructed entirely from verifiable primary</w:t>
      </w:r>
    </w:p>
    <w:p>
      <w:pPr>
        <w:ind w:left="360"/>
      </w:pPr>
      <w:r>
        <w:rPr>
          <w:i/>
          <w:color w:val="555555"/>
        </w:rPr>
        <w:t xml:space="preserve">sources** (R² ∈ [0,1] for every case; reproducible from </w:t>
      </w:r>
      <w:r>
        <w:rPr>
          <w:rFonts w:ascii="Consolas" w:hAnsi="Consolas"/>
          <w:i/>
          <w:color w:val="555555"/>
          <w:sz w:val="18"/>
        </w:rPr>
        <w:t>reconstruction_real/</w:t>
      </w:r>
      <w:r>
        <w:rPr>
          <w:i/>
          <w:color w:val="555555"/>
        </w:rPr>
        <w:t>),</w:t>
      </w:r>
    </w:p>
    <w:p>
      <w:pPr>
        <w:ind w:left="360"/>
      </w:pPr>
      <w:r>
        <w:rPr>
          <w:i/>
          <w:color w:val="555555"/>
        </w:rPr>
        <w:t xml:space="preserve">and integrates a new </w:t>
      </w:r>
      <w:r>
        <w:rPr>
          <w:b/>
          <w:i/>
          <w:color w:val="555555"/>
        </w:rPr>
        <w:t>Coupled Orbital Collapse layer (ACO-A)</w:t>
      </w:r>
      <w:r>
        <w:rPr>
          <w:i/>
          <w:color w:val="555555"/>
        </w:rPr>
        <w:t>. The golden-ratio</w:t>
      </w:r>
    </w:p>
    <w:p>
      <w:pPr>
        <w:ind w:left="360"/>
      </w:pPr>
      <w:r>
        <w:rPr>
          <w:i/>
          <w:color w:val="555555"/>
        </w:rPr>
        <w:t xml:space="preserve">hypothesis (H-φ) was tested and </w:t>
      </w:r>
      <w:r>
        <w:rPr>
          <w:b/>
          <w:i/>
          <w:color w:val="555555"/>
        </w:rPr>
        <w:t>refuted across four rounds</w:t>
      </w:r>
      <w:r>
        <w:rPr>
          <w:i/>
          <w:color w:val="555555"/>
        </w:rPr>
        <w:t xml:space="preserve"> (placebo control</w:t>
      </w:r>
    </w:p>
    <w:p>
      <w:pPr>
        <w:ind w:left="360"/>
      </w:pPr>
      <w:r>
        <w:rPr>
          <w:i/>
          <w:color w:val="555555"/>
        </w:rPr>
        <w:t>included) and is excluded from the main claims.</w:t>
      </w:r>
    </w:p>
    <w:p/>
    <w:p>
      <w:pPr>
        <w:pStyle w:val="Heading2"/>
      </w:pPr>
      <w:r>
        <w:t>Abstract</w:t>
      </w:r>
    </w:p>
    <w:p>
      <w:r>
        <w:t>This paper presents Shadow Node Theory (SNT), a formal model of node satellization</w:t>
      </w:r>
    </w:p>
    <w:p>
      <w:r>
        <w:t>operating across three scales of systemic resolution — Micro (Atomic Node /</w:t>
      </w:r>
    </w:p>
    <w:p>
      <w:r>
        <w:t>individual), Meso (intra-national Fungal Network), and Macro (superorganism</w:t>
      </w:r>
    </w:p>
    <w:p>
      <w:r>
        <w:t>collision between nations and digital platforms). The central hypothesis holds</w:t>
      </w:r>
    </w:p>
    <w:p>
      <w:r>
        <w:t>that when two power nodes orbit in critical proximity, the node with greater</w:t>
      </w:r>
    </w:p>
    <w:p>
      <w:r>
        <w:t>accumulated advantage satellizes the historically dominant node through an</w:t>
      </w:r>
    </w:p>
    <w:p>
      <w:r>
        <w:t>algorithm whose dynamics follow a power law invariant to temporal scale and</w:t>
      </w:r>
    </w:p>
    <w:p>
      <w:r>
        <w:t>substrate: R(t) = a·t^b, where b is the satellization velocity parameter.</w:t>
      </w:r>
    </w:p>
    <w:p>
      <w:r>
        <w:t>SNT delivers four empirical contributions: (1) formalization of the</w:t>
      </w:r>
    </w:p>
    <w:p>
      <w:r>
        <w:t>Triple-Resolution Systemic Model with distinct applicability conditions across</w:t>
      </w:r>
    </w:p>
    <w:p>
      <w:r>
        <w:t>scales; (2) N-body matrix verification with Mexican INEGI data (32 federal</w:t>
      </w:r>
    </w:p>
    <w:p>
      <w:r>
        <w:t>entities, b = −0.473, R² = 0.838, p &lt; 0.001), revealing that the binary model</w:t>
      </w:r>
    </w:p>
    <w:p>
      <w:r>
        <w:t>underestimated Tlaxcala's satellization gradient by 9.3×; (3) operationalization</w:t>
      </w:r>
    </w:p>
    <w:p>
      <w:r>
        <w:t>of the Atomic Sovereignty Index (ASI) on behavioral data from 4,774 users and</w:t>
      </w:r>
    </w:p>
    <w:p>
      <w:r>
        <w:t>409,287 events (HackerEarth 2026, precision = 1.0, zero false positives); and (4)</w:t>
      </w:r>
    </w:p>
    <w:p>
      <w:r>
        <w:t xml:space="preserve">a corpus of </w:t>
      </w:r>
      <w:r>
        <w:rPr>
          <w:b/>
        </w:rPr>
        <w:t>721 cases reconstructed from verifiable primary sources</w:t>
      </w:r>
      <w:r>
        <w:t xml:space="preserve"> spanning</w:t>
      </w:r>
    </w:p>
    <w:p>
      <w:r>
        <w:t>historical, economic, biological, astronomical and digital domains.</w:t>
      </w:r>
    </w:p>
    <w:p>
      <w:r>
        <w:t>Three statistically robust findings emerge from the real corpus. First, **institutional</w:t>
      </w:r>
    </w:p>
    <w:p>
      <w:r>
        <w:t>friction is the dominant predictor of satellization velocity** (Spearman</w:t>
      </w:r>
    </w:p>
    <w:p>
      <w:r>
        <w:t>ρ = −0.68, p = 2.5×10⁻⁹⁷, n = 714): the higher the friction, the lower the</w:t>
      </w:r>
    </w:p>
    <w:p>
      <w:r>
        <w:t xml:space="preserve">exponent. Second, </w:t>
      </w:r>
      <w:r>
        <w:rPr>
          <w:b/>
        </w:rPr>
        <w:t>regime separation</w:t>
      </w:r>
      <w:r>
        <w:t xml:space="preserve"> — friction-free biological domains</w:t>
      </w:r>
    </w:p>
    <w:p>
      <w:r>
        <w:t>(b̄ ≈ +0.95) satellize ~10× faster than friction-laden economic domains</w:t>
      </w:r>
    </w:p>
    <w:p>
      <w:r>
        <w:t>(b̄ ≈ +0.09), Mann-Whitney p = 2.4×10⁻⁷⁴. Third, **abrupt triggers produce faster</w:t>
      </w:r>
    </w:p>
    <w:p>
      <w:r>
        <w:t>satellization than gradual ones** (ratio 5.9×; Mann-Whitney U = 24,802,</w:t>
      </w:r>
    </w:p>
    <w:p>
      <w:r>
        <w:t>p = 1.91×10⁻⁵, n = 486), stable across three successive corpus expansions</w:t>
      </w:r>
    </w:p>
    <w:p>
      <w:r>
        <w:t>(57 → 114 → 721 cases). Political sovereignty operates as a satellization brake</w:t>
      </w:r>
    </w:p>
    <w:p>
      <w:r>
        <w:t>mechanically equivalent to ecological mutual interdependence — both prevent</w:t>
      </w:r>
    </w:p>
    <w:p>
      <w:r>
        <w:t>definitive satellization by making complete node extinction destructive to the hub.</w:t>
      </w:r>
    </w:p>
    <w:p>
      <w:r>
        <w:t xml:space="preserve">This revision adds a </w:t>
      </w:r>
      <w:r>
        <w:rPr>
          <w:b/>
        </w:rPr>
        <w:t>Coupled Orbital Collapse layer (ACO-A)</w:t>
      </w:r>
      <w:r>
        <w:t>: collapse is</w:t>
      </w:r>
    </w:p>
    <w:p>
      <w:r>
        <w:t>reformulated as an orthogonal axis (Δ), with a falsifiable hazard layer</w:t>
      </w:r>
    </w:p>
    <w:p>
      <w:r>
        <w:t>h(τ) &gt; 0 ("no system is eternal"), a three-factor taxonomy of collapse modes</w:t>
      </w:r>
    </w:p>
    <w:p>
      <w:r>
        <w:t>(friction × trigger × floor/ceiling), and a Principle of Least Friction unifying</w:t>
      </w:r>
    </w:p>
    <w:p>
      <w:r>
        <w:t>them, demonstrated with real data in five domains (finance, history, crypto,</w:t>
      </w:r>
    </w:p>
    <w:p>
      <w:r>
        <w:t>biology, astronomy). The model is accompanied by eight falsifiability criteria</w:t>
      </w:r>
    </w:p>
    <w:p>
      <w:r>
        <w:t>(RC1–RC8) plus collapse-axis criteria, a four-step diagnostic protocol, and a</w:t>
      </w:r>
    </w:p>
    <w:p>
      <w:r>
        <w:t>public replication package.</w:t>
      </w:r>
    </w:p>
    <w:p>
      <w:r>
        <w:rPr>
          <w:b/>
        </w:rPr>
        <w:t>Keywords:</w:t>
      </w:r>
      <w:r>
        <w:t xml:space="preserve"> complex systems, power law, satellization, scale invariance,</w:t>
      </w:r>
    </w:p>
    <w:p>
      <w:r>
        <w:t>preferential attachment, institutional friction, coupled orbital collapse,</w:t>
      </w:r>
    </w:p>
    <w:p>
      <w:r>
        <w:t>hazard function, leapfrog, Atomic Sovereignty Index, AI orchestration, digital</w:t>
      </w:r>
    </w:p>
    <w:p>
      <w:r>
        <w:t>ecosystems, regional inequality, Tlaxcala, Mexico.</w:t>
      </w:r>
    </w:p>
    <w:p>
      <w:r>
        <w:rPr>
          <w:b/>
        </w:rPr>
        <w:t>JEL:</w:t>
      </w:r>
      <w:r>
        <w:t xml:space="preserve"> O18, O33, D85, C63, O11, R11, C22.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The Scale Invariance Problem</w:t>
      </w:r>
    </w:p>
    <w:p>
      <w:r>
        <w:t>Why do some regions remain poor despite decades of policy intervention? Why do</w:t>
      </w:r>
    </w:p>
    <w:p>
      <w:r>
        <w:t>some nations converge toward global leaders while others diverge irreversibly?</w:t>
      </w:r>
    </w:p>
    <w:p>
      <w:r>
        <w:t>These questions share a structural feature that aggregate models consistently</w:t>
      </w:r>
    </w:p>
    <w:p>
      <w:r>
        <w:t>fail to capture: the dynamics of resource extraction between proximate nodes</w:t>
      </w:r>
    </w:p>
    <w:p>
      <w:r>
        <w:t>operating at different hierarchical levels. Standard development economics models</w:t>
      </w:r>
    </w:p>
    <w:p>
      <w:r>
        <w:t>the poverty trap as a problem of insufficient capital accumulation. Shadow Node</w:t>
      </w:r>
    </w:p>
    <w:p>
      <w:r>
        <w:t>Theory proposes a different mechanism: satellization — the progressive extraction</w:t>
      </w:r>
    </w:p>
    <w:p>
      <w:r>
        <w:t>of productive residual energy from a peripheral node by a dominant hub — whose</w:t>
      </w:r>
    </w:p>
    <w:p>
      <w:r>
        <w:t>dynamics follow a power law invariant to temporal scale and substrate.</w:t>
      </w:r>
    </w:p>
    <w:p>
      <w:pPr>
        <w:pStyle w:val="Heading3"/>
      </w:pPr>
      <w:r>
        <w:t>1.2 Theoretical Background</w:t>
      </w:r>
    </w:p>
    <w:p>
      <w:r>
        <w:t>The preferential attachment mechanism (Barabási &amp; Albert, 1999) establishes that</w:t>
      </w:r>
    </w:p>
    <w:p>
      <w:r>
        <w:t>scale-free networks emerge inevitably when new connections form with probability</w:t>
      </w:r>
    </w:p>
    <w:p>
      <w:r>
        <w:t>proportional to existing degree. SNT formalizes the directional flow of resources</w:t>
      </w:r>
    </w:p>
    <w:p>
      <w:r>
        <w:t>within such networks, quantifying the rate of divergence between hub and shadow</w:t>
      </w:r>
    </w:p>
    <w:p>
      <w:r>
        <w:t>node through the power-law exponent b. Leapfrogging theory (Brezis &amp; Krugman,</w:t>
      </w:r>
    </w:p>
    <w:p>
      <w:r>
        <w:t>1993) identifies conditions under which a peripheral node can bypass a dominant</w:t>
      </w:r>
    </w:p>
    <w:p>
      <w:r>
        <w:t>one through orthogonal-dimension investment. SNT extends this to three scales and</w:t>
      </w:r>
    </w:p>
    <w:p>
      <w:r>
        <w:t>formalizes the failure conditions the original model left undeveloped.</w:t>
      </w:r>
    </w:p>
    <w:p>
      <w:pPr>
        <w:pStyle w:val="Heading3"/>
      </w:pPr>
      <w:r>
        <w:t>1.3 The Gap in the Literature</w:t>
      </w:r>
    </w:p>
    <w:p>
      <w:r>
        <w:t>Three gaps motivate this work. First, no existing model quantifies satellization</w:t>
      </w:r>
    </w:p>
    <w:p>
      <w:r>
        <w:t>dynamics across historical cities, nation-states, intra-national regions and</w:t>
      </w:r>
    </w:p>
    <w:p>
      <w:r>
        <w:t>digital platforms within a unified formal framework. Second, the trigger taxonomy</w:t>
      </w:r>
    </w:p>
    <w:p>
      <w:r>
        <w:t>in leapfrogging theory collapses event types into a single category, missing the</w:t>
      </w:r>
    </w:p>
    <w:p>
      <w:r>
        <w:t>empirical distinction between abrupt and gradual triggers (with the real corpus</w:t>
      </w:r>
    </w:p>
    <w:p>
      <w:r>
        <w:t>confirming the stable hierarchy abrupt &gt; gradual). Third, no operational index of</w:t>
      </w:r>
    </w:p>
    <w:p>
      <w:r>
        <w:t>cognitive sovereignty exists for the Atomic Node (individual) computable from</w:t>
      </w:r>
    </w:p>
    <w:p>
      <w:r>
        <w:t>observable behavioral data without self-report. A fourth gap, addressed by this</w:t>
      </w:r>
    </w:p>
    <w:p>
      <w:r>
        <w:t>revision, is the absence of a unified, falsifiable account of how systems</w:t>
      </w:r>
    </w:p>
    <w:p>
      <w:r>
        <w:rPr>
          <w:b/>
        </w:rPr>
        <w:t>collapse</w:t>
      </w:r>
      <w:r>
        <w:t xml:space="preserve"> once the satellization relationship ends — the Coupled Orbital</w:t>
      </w:r>
    </w:p>
    <w:p>
      <w:r>
        <w:t>Collapse layer (Section 13).</w:t>
      </w:r>
    </w:p>
    <w:p/>
    <w:p>
      <w:pPr>
        <w:pStyle w:val="Heading2"/>
      </w:pPr>
      <w:r>
        <w:t>2. Formal Theoretical Framework</w:t>
      </w:r>
    </w:p>
    <w:p>
      <w:pPr>
        <w:pStyle w:val="Heading3"/>
      </w:pPr>
      <w:r>
        <w:t>2.1 Definitions</w:t>
      </w:r>
    </w:p>
    <w:p>
      <w:r>
        <w:t xml:space="preserve">A </w:t>
      </w:r>
      <w:r>
        <w:rPr>
          <w:b/>
        </w:rPr>
        <w:t>Shadow Node</w:t>
      </w:r>
      <w:r>
        <w:t xml:space="preserve"> (or Peripheral Node) is any system component whose productive</w:t>
      </w:r>
    </w:p>
    <w:p>
      <w:r>
        <w:t>output is systematically extracted by a dominant hub over time, resulting in</w:t>
      </w:r>
    </w:p>
    <w:p>
      <w:r>
        <w:t xml:space="preserve">progressive divergence of productive capacity. A </w:t>
      </w:r>
      <w:r>
        <w:rPr>
          <w:b/>
        </w:rPr>
        <w:t>Hub Node</w:t>
      </w:r>
      <w:r>
        <w:t xml:space="preserve"> is the dominant</w:t>
      </w:r>
    </w:p>
    <w:p>
      <w:r>
        <w:t>component that absorbs the residual productive energy of shadow nodes, increasing</w:t>
      </w:r>
    </w:p>
    <w:p>
      <w:r>
        <w:t xml:space="preserve">its own gravitational-mass advantage. </w:t>
      </w:r>
      <w:r>
        <w:rPr>
          <w:b/>
        </w:rPr>
        <w:t>Critical Proximity</w:t>
      </w:r>
      <w:r>
        <w:t xml:space="preserve"> is the spatial,</w:t>
      </w:r>
    </w:p>
    <w:p>
      <w:r>
        <w:t>institutional, or digital proximity threshold below which the hub can extract</w:t>
      </w:r>
    </w:p>
    <w:p>
      <w:r>
        <w:t>resources at rates exceeding the shadow node's regeneration capacity.</w:t>
      </w:r>
    </w:p>
    <w:p>
      <w:r>
        <w:t>The satellization ratio R(t) = production_hub(t) / production_shadow(t) is the</w:t>
      </w:r>
    </w:p>
    <w:p>
      <w:r>
        <w:t>central observable. When R(t) follows a power law R(t) = a·t^b with b &gt; 0,</w:t>
      </w:r>
    </w:p>
    <w:p>
      <w:r>
        <w:t>satellization is active. When b &lt; 0, convergence or leapfrog is occurring. The</w:t>
      </w:r>
    </w:p>
    <w:p>
      <w:r>
        <w:t>exponent b is the velocity parameter: b &gt; 0.45 indicates accelerated satellization</w:t>
      </w:r>
    </w:p>
    <w:p>
      <w:r>
        <w:t>(abrupt-trigger class); 0.1 &lt; b &lt; 0.45 indicates gradual satellization;</w:t>
      </w:r>
    </w:p>
    <w:p>
      <w:r>
        <w:t>−0.1 &lt; b &lt; 0.1 indicates approximate steady state; b &lt; −0.1 indicates convergence</w:t>
      </w:r>
    </w:p>
    <w:p>
      <w:r>
        <w:t>or leapfrog.</w:t>
      </w:r>
    </w:p>
    <w:p>
      <w:pPr>
        <w:pStyle w:val="Heading3"/>
      </w:pPr>
      <w:r>
        <w:t>2.2 Central Hypothesis</w:t>
      </w:r>
    </w:p>
    <w:p>
      <w:r>
        <w:t>When two nodes orbit in critical proximity within the same system, the</w:t>
      </w:r>
    </w:p>
    <w:p>
      <w:r>
        <w:t>satellization ratio R(t) = production_hub(t) / production_shadow(t) follows a</w:t>
      </w:r>
    </w:p>
    <w:p>
      <w:r>
        <w:t>power law R(t) = a·t^b where b &gt; 0 represents the satellization velocity and t is</w:t>
      </w:r>
    </w:p>
    <w:p>
      <w:r>
        <w:t>elapsed time since the trigger event. This relationship is invariant to: (a)</w:t>
      </w:r>
    </w:p>
    <w:p>
      <w:r>
        <w:t>temporal scale — it holds from medieval city-pairs to digital platform rivalries;</w:t>
      </w:r>
    </w:p>
    <w:p>
      <w:r>
        <w:t>(b) production substrate — it holds for population, GDP per capita, behavioral</w:t>
      </w:r>
    </w:p>
    <w:p>
      <w:r>
        <w:t>event counts, and market share; and (c) system level — it holds for individuals,</w:t>
      </w:r>
    </w:p>
    <w:p>
      <w:r>
        <w:t>cities, regions, nations, and digital ecosystems.</w:t>
      </w:r>
    </w:p>
    <w:p>
      <w:pPr>
        <w:pStyle w:val="Heading3"/>
      </w:pPr>
      <w:r>
        <w:t>2.3 Falsifiability Criteria</w:t>
      </w:r>
    </w:p>
    <w:p>
      <w:r>
        <w:t>RC1 — Scalar Velocity: falsified if a technology is systematically adopted faster</w:t>
      </w:r>
    </w:p>
    <w:p>
      <w:r>
        <w:t>by institutions than by individuals (RC1a), or if a technology emerges without</w:t>
      </w:r>
    </w:p>
    <w:p>
      <w:r>
        <w:t>individual access that inverts the TC_micro &lt; TC_meso &lt; TC_macro hierarchy (RC1b).</w:t>
      </w:r>
    </w:p>
    <w:p>
      <w:r>
        <w:t>RC2 — Immune Response: falsified if hubs systematically adapt toward peripheral</w:t>
      </w:r>
    </w:p>
    <w:p>
      <w:r>
        <w:t>node capabilities rather than suppress them. RC3 — Qualitative Inextractability:</w:t>
      </w:r>
    </w:p>
    <w:p>
      <w:r>
        <w:t>falsified if a hub systematically neutralizes a node's knowledge differential</w:t>
      </w:r>
    </w:p>
    <w:p>
      <w:r>
        <w:t>through brain drain, reverse engineering, or deliberate saturation. RC4 — Dual</w:t>
      </w:r>
    </w:p>
    <w:p>
      <w:r>
        <w:t>Minimum Threshold: falsified if a leapfrog sustains itself with either RQ or RL</w:t>
      </w:r>
    </w:p>
    <w:p>
      <w:r>
        <w:t>below the operational minimum. RC5 — Expansion Sequence: falsified if direct</w:t>
      </w:r>
    </w:p>
    <w:p>
      <w:r>
        <w:t>expropriation produces more stable outcomes than silent absorption for the same</w:t>
      </w:r>
    </w:p>
    <w:p>
      <w:r>
        <w:t>node class. RC6 — Irreversibility: falsified if a Shadow Node reverses</w:t>
      </w:r>
    </w:p>
    <w:p>
      <w:r>
        <w:t>satellization from inside the system without an exogenous trigger, with the hub</w:t>
      </w:r>
    </w:p>
    <w:p>
      <w:r>
        <w:t>operating normally.</w:t>
      </w:r>
    </w:p>
    <w:p/>
    <w:p>
      <w:pPr>
        <w:pStyle w:val="Heading2"/>
      </w:pPr>
      <w:r>
        <w:t>3. Methodology</w:t>
      </w:r>
    </w:p>
    <w:p>
      <w:pPr>
        <w:pStyle w:val="Heading3"/>
      </w:pPr>
      <w:r>
        <w:t>3.1 General Design</w:t>
      </w:r>
    </w:p>
    <w:p>
      <w:r>
        <w:t>The study follows a mixed quantitative design combining historical case analysis,</w:t>
      </w:r>
    </w:p>
    <w:p>
      <w:r>
        <w:t>N-body matrix modeling for the Mexican regional system, machine-learning</w:t>
      </w:r>
    </w:p>
    <w:p>
      <w:r>
        <w:t>validation on digital behavioral data, and survival analysis for the collapse</w:t>
      </w:r>
    </w:p>
    <w:p>
      <w:r>
        <w:t>layer. The unifying analytical pipeline consists of: (1) construction of the</w:t>
      </w:r>
    </w:p>
    <w:p>
      <w:r>
        <w:t>satellization ratio time series R(t) for each case pair; (2) log-log</w:t>
      </w:r>
    </w:p>
    <w:p>
      <w:r>
        <w:t>linearization; (3) ordinary least-squares regression to estimate parameters a and</w:t>
      </w:r>
    </w:p>
    <w:p>
      <w:r>
        <w:t>b; (4) Pearson correlation in log space for significance testing; and (5)</w:t>
      </w:r>
    </w:p>
    <w:p>
      <w:r>
        <w:t>interpretation via the SNT taxonomy.</w:t>
      </w:r>
    </w:p>
    <w:p>
      <w:pPr>
        <w:pStyle w:val="Heading3"/>
      </w:pPr>
      <w:r>
        <w:t>3.2 Case Selection Criteria</w:t>
      </w:r>
    </w:p>
    <w:p>
      <w:r>
        <w:t>Cases were included if they satisfy four conditions: (a) two nodes in critical</w:t>
      </w:r>
    </w:p>
    <w:p>
      <w:r>
        <w:t>proximity within the same system; (b) an identifiable trigger event or process;</w:t>
      </w:r>
    </w:p>
    <w:p>
      <w:r>
        <w:t>(c) production or population data at a minimum of four temporal points spanning at</w:t>
      </w:r>
    </w:p>
    <w:p>
      <w:r>
        <w:t>least 50 years (or 5 years for digital cases); and (d) the satellization process</w:t>
      </w:r>
    </w:p>
    <w:p>
      <w:r>
        <w:t>has either completed or is actively ongoing. No cases were excluded based on</w:t>
      </w:r>
    </w:p>
    <w:p>
      <w:r>
        <w:t>outcome direction — both satellization (b &gt; 0) and convergence/leapfrog (b &lt; 0)</w:t>
      </w:r>
    </w:p>
    <w:p>
      <w:r>
        <w:t>cases are included to avoid confirmation bias.</w:t>
      </w:r>
    </w:p>
    <w:p>
      <w:pPr>
        <w:pStyle w:val="Heading3"/>
      </w:pPr>
      <w:r>
        <w:t>3.3 Data Sources (real corpus, v30)</w:t>
      </w:r>
    </w:p>
    <w:p>
      <w:r>
        <w:t>The 721-case corpus is reconstructed entirely from verifiable primary sources:</w:t>
      </w:r>
    </w:p>
    <w:p>
      <w:r>
        <w:t>Maddison Project Database (country pairs and long historical series), INEGI and</w:t>
      </w:r>
    </w:p>
    <w:p>
      <w:r>
        <w:t>US Census (intra-national regions), Our World in Data / Johns Hopkins CSSE</w:t>
      </w:r>
    </w:p>
    <w:p>
      <w:r>
        <w:t>(COVID-19 spatial and parasite-host series), the Open Exoplanet Catalogue</w:t>
      </w:r>
    </w:p>
    <w:p>
      <w:r>
        <w:t>(planetary/stellar/multiplanetary), MacLulich (1937) and Elton &amp; Nicholson (1942)</w:t>
      </w:r>
    </w:p>
    <w:p>
      <w:r>
        <w:t>(predator-prey), and the HackerEarth 2026 dataset (digital; N=4,774 users,</w:t>
      </w:r>
    </w:p>
    <w:p>
      <w:r>
        <w:t>409,287 events, 141 event types). Every b is reproducible from public scripts.</w:t>
      </w:r>
    </w:p>
    <w:p>
      <w:r>
        <w:t>Integrity: R² ∈ [0,1] for all cases (zero negative, zero above 1); 89% are</w:t>
      </w:r>
    </w:p>
    <w:p>
      <w:r>
        <w:t>statistically significant (p &lt; 0.05).</w:t>
      </w:r>
    </w:p>
    <w:p>
      <w:pPr>
        <w:pStyle w:val="Heading3"/>
      </w:pPr>
      <w:r>
        <w:t>3.4 Analysis Pipeline</w:t>
      </w:r>
    </w:p>
    <w:p>
      <w:r>
        <w:t>For each case pair, R(t) is computed at each temporal observation point. Time t is</w:t>
      </w:r>
    </w:p>
    <w:p>
      <w:r>
        <w:t>measured in years (or days for digital cases) elapsed since the trigger. The</w:t>
      </w:r>
    </w:p>
    <w:p>
      <w:r>
        <w:t>log-log transformation log(R) = log(a) + b·log(t) enables OLS estimation. We</w:t>
      </w:r>
    </w:p>
    <w:p>
      <w:r>
        <w:t>report (a) the power-law exponent b; (b) R² of the log-log fit; (c) the Pearson</w:t>
      </w:r>
    </w:p>
    <w:p>
      <w:r>
        <w:t>correlation coefficient and p-value; and (d) the SNT classification. For the</w:t>
      </w:r>
    </w:p>
    <w:p>
      <w:r>
        <w:t>N-body Mexican matrix, we additionally compute the composite gradient — the total</w:t>
      </w:r>
    </w:p>
    <w:p>
      <w:r>
        <w:t>satellization force on each node accounting for all higher-level hubs.</w:t>
      </w:r>
    </w:p>
    <w:p>
      <w:pPr>
        <w:pStyle w:val="Heading3"/>
      </w:pPr>
      <w:r>
        <w:t>3.5 Statistical Tests</w:t>
      </w:r>
    </w:p>
    <w:p>
      <w:r>
        <w:t>Institutional-friction effect: Spearman correlation between an a-priori friction</w:t>
      </w:r>
    </w:p>
    <w:p>
      <w:r>
        <w:t>index (ordinal 0–3) and b per case (social/biological domains). Regime separation:</w:t>
      </w:r>
    </w:p>
    <w:p>
      <w:r>
        <w:t>Mann-Whitney U between friction-free biological and friction-laden economic</w:t>
      </w:r>
    </w:p>
    <w:p>
      <w:r>
        <w:t>domains. Trigger-type effect: Mann-Whitney U (abrupt vs gradual), excluding</w:t>
      </w:r>
    </w:p>
    <w:p>
      <w:r>
        <w:t>mutual-interdependence domains. Collapse layer: Spearman ρ(b, Δ) for orthogonality</w:t>
      </w:r>
    </w:p>
    <w:p>
      <w:r>
        <w:t>and Kaplan-Meier survival for the hazard. Significance threshold α = 0.05; all</w:t>
      </w:r>
    </w:p>
    <w:p>
      <w:r>
        <w:t>tests in Python 3.11 (scipy.stats).</w:t>
      </w:r>
    </w:p>
    <w:p/>
    <w:p>
      <w:pPr>
        <w:pStyle w:val="Heading2"/>
      </w:pPr>
      <w:r>
        <w:t>4. Results — Historical Case Studies</w:t>
      </w:r>
    </w:p>
    <w:p>
      <w:pPr>
        <w:pStyle w:val="Heading3"/>
      </w:pPr>
      <w:r>
        <w:t>4.1 Bruges → Antwerp (1300–1560)</w:t>
      </w:r>
    </w:p>
    <w:p>
      <w:r>
        <w:t>Mechanism: physical infrastructure collapse (silting of the Zwin Canal, c.1490).</w:t>
      </w:r>
    </w:p>
    <w:p>
      <w:r>
        <w:t>R(t) = Antwerp/Bruges population follows a power law with b = +0.739 (R² = 0.868).</w:t>
      </w:r>
    </w:p>
    <w:p>
      <w:r>
        <w:t>Classified as accelerated satellization with abrupt trigger. Bruges had been the</w:t>
      </w:r>
    </w:p>
    <w:p>
      <w:r>
        <w:t>dominant commercial hub of Northern Europe for two centuries before the canal</w:t>
      </w:r>
    </w:p>
    <w:p>
      <w:r>
        <w:t>silting cut off maritime access; Antwerp, with open Scheldt access, absorbed the</w:t>
      </w:r>
    </w:p>
    <w:p>
      <w:r>
        <w:t>commercial network within two generations.</w:t>
      </w:r>
    </w:p>
    <w:p>
      <w:pPr>
        <w:pStyle w:val="Heading3"/>
      </w:pPr>
      <w:r>
        <w:t>4.2 Toledo → Madrid (1528–1787)</w:t>
      </w:r>
    </w:p>
    <w:p>
      <w:r>
        <w:t>Mechanism: pure political decree (Philip II's transfer of the imperial court,</w:t>
      </w:r>
    </w:p>
    <w:p>
      <w:r>
        <w:t>1561). R(t) = Madrid/Toledo population: b = +0.694 (R² = 0.924), the best fit of</w:t>
      </w:r>
    </w:p>
    <w:p>
      <w:r>
        <w:t>the set. Toledo was the largest city in Castile; Madrid a village of fewer than</w:t>
      </w:r>
    </w:p>
    <w:p>
      <w:r>
        <w:t>4,000 in 1528. Within 40 years of the court transfer, Madrid had surpassed Toledo</w:t>
      </w:r>
    </w:p>
    <w:p>
      <w:r>
        <w:t>— political decree alone, without geographic advantage, is sufficient to generate</w:t>
      </w:r>
    </w:p>
    <w:p>
      <w:r>
        <w:t>high-velocity satellization.</w:t>
      </w:r>
    </w:p>
    <w:p>
      <w:pPr>
        <w:pStyle w:val="Heading3"/>
      </w:pPr>
      <w:r>
        <w:t>4.3 Portugal vs. Northwestern Europe (1535–1980)</w:t>
      </w:r>
    </w:p>
    <w:p>
      <w:r>
        <w:t>Mechanism: Iberian Union (1580) combined with the accumulated Atlantic advantage</w:t>
      </w:r>
    </w:p>
    <w:p>
      <w:r>
        <w:t>of NW European powers. Trigger classified as hybrid. R(t) = NW Europe GDP pc /</w:t>
      </w:r>
    </w:p>
    <w:p>
      <w:r>
        <w:t>Portugal GDP pc: b = +0.060, R² = 0.123 — the low fit reflects an oscillatory</w:t>
      </w:r>
    </w:p>
    <w:p>
      <w:r>
        <w:t>process (Brazilian gold caused partial recoveries 1700–1750). The long-run trend</w:t>
      </w:r>
    </w:p>
    <w:p>
      <w:r>
        <w:t>is unambiguously divergent (the gap multiplied 3.5× between 1535 and 1913).</w:t>
      </w:r>
    </w:p>
    <w:p>
      <w:pPr>
        <w:pStyle w:val="Heading3"/>
      </w:pPr>
      <w:r>
        <w:t>4.4 Tlaxcala → Puebla (1550–2022)</w:t>
      </w:r>
    </w:p>
    <w:p>
      <w:r>
        <w:t>Mechanism: cumulative colonial extraction + differential industrialization.</w:t>
      </w:r>
    </w:p>
    <w:p>
      <w:r>
        <w:t>R(t) = Puebla/Tlaxcala GDP per capita: b = +0.184 (R² = 0.567), gradual</w:t>
      </w:r>
    </w:p>
    <w:p>
      <w:r>
        <w:t>satellization. Critically, the binary model underestimates Tlaxcala's actual</w:t>
      </w:r>
    </w:p>
    <w:p>
      <w:r>
        <w:t>satellization by measuring only the Tlaxcala–Puebla gradient; the N-body matrix</w:t>
      </w:r>
    </w:p>
    <w:p>
      <w:r>
        <w:t>(Section 8) reveals that 89.2% of extraction flows directly to Mexico City,</w:t>
      </w:r>
    </w:p>
    <w:p>
      <w:r>
        <w:t>making the true composite gradient 9.3× larger.</w:t>
      </w:r>
    </w:p>
    <w:p/>
    <w:p>
      <w:pPr>
        <w:pStyle w:val="Heading2"/>
      </w:pPr>
      <w:r>
        <w:t>5. Discussion: The Two-Speed Taxonomy</w:t>
      </w:r>
    </w:p>
    <w:p>
      <w:pPr>
        <w:pStyle w:val="Heading3"/>
      </w:pPr>
      <w:r>
        <w:t>5.1 The Central Finding</w:t>
      </w:r>
    </w:p>
    <w:p>
      <w:r>
        <w:t>The historical cases produce two statistically distinct classes of satellization</w:t>
      </w:r>
    </w:p>
    <w:p>
      <w:r>
        <w:t>dynamics. Abrupt-trigger cases (Bruges-Antwerp, Toledo-Madrid) generate exponents</w:t>
      </w:r>
    </w:p>
    <w:p>
      <w:r>
        <w:t>in the range b = 0.69–0.74. Gradual/hybrid cases (Portugal, Tlaxcala) generate</w:t>
      </w:r>
    </w:p>
    <w:p>
      <w:r>
        <w:t>exponents in the range b = 0.06–0.18. The ratio between classes is approximately</w:t>
      </w:r>
    </w:p>
    <w:p>
      <w:r>
        <w:t>5.9×. In the full 721-case corpus this ordering is confirmed at scale</w:t>
      </w:r>
    </w:p>
    <w:p>
      <w:r>
        <w:t>(Mann-Whitney U = 24,802, p = 1.91×10⁻⁵, n = 486), stable across three successive</w:t>
      </w:r>
    </w:p>
    <w:p>
      <w:r>
        <w:t>corpus expansions. An earlier 57-case corpus had suggested hybrid triggers were</w:t>
      </w:r>
    </w:p>
    <w:p>
      <w:r>
        <w:t>fastest (p = 0.0098); the full corpus corrects that small-N artifact — the stable</w:t>
      </w:r>
    </w:p>
    <w:p>
      <w:r>
        <w:t>hierarchy is abrupt &gt; hybrid &gt; gradual.</w:t>
      </w:r>
    </w:p>
    <w:p>
      <w:pPr>
        <w:pStyle w:val="Heading3"/>
      </w:pPr>
      <w:r>
        <w:t>5.2 Qualitative Interpretation</w:t>
      </w:r>
    </w:p>
    <w:p>
      <w:r>
        <w:t>The key theoretical distinction is not the magnitude of the trigger but its</w:t>
      </w:r>
    </w:p>
    <w:p>
      <w:r>
        <w:t>reversibility. An abrupt trigger — infrastructure collapse, political decree —</w:t>
      </w:r>
    </w:p>
    <w:p>
      <w:r>
        <w:t>produces irreversible structural change the shadow node cannot compensate through</w:t>
      </w:r>
    </w:p>
    <w:p>
      <w:r>
        <w:t>internal resource mobilization. A gradual trigger — differential industrialization,</w:t>
      </w:r>
    </w:p>
    <w:p>
      <w:r>
        <w:t>slow technological diffusion — allows temporary adaptive responses that compress</w:t>
      </w:r>
    </w:p>
    <w:p>
      <w:r>
        <w:t>the b exponent without reversing the underlying dynamic.</w:t>
      </w:r>
    </w:p>
    <w:p>
      <w:pPr>
        <w:pStyle w:val="Heading3"/>
      </w:pPr>
      <w:r>
        <w:t>5.3 Implications for Early Intervention</w:t>
      </w:r>
    </w:p>
    <w:p>
      <w:r>
        <w:t>The b exponent has direct policy implications. A node with b = 0.70 faces a</w:t>
      </w:r>
    </w:p>
    <w:p>
      <w:r>
        <w:t>satellization horizon on the order of decades before the gap becomes structurally</w:t>
      </w:r>
    </w:p>
    <w:p>
      <w:r>
        <w:t>irreversible. A node with b = 0.18 has a longer window but the same terminal</w:t>
      </w:r>
    </w:p>
    <w:p>
      <w:r>
        <w:t>outcome absent intervention. The SNT diagnostic protocol (Section 11) provides a</w:t>
      </w:r>
    </w:p>
    <w:p>
      <w:r>
        <w:t>four-step procedure for estimating the current b, identifying the horizon of</w:t>
      </w:r>
    </w:p>
    <w:p>
      <w:r>
        <w:t>events, and designing orthogonal-dimension interventions that can generate b &lt; 0</w:t>
      </w:r>
    </w:p>
    <w:p>
      <w:r>
        <w:t>(convergence) without triggering the hub's immune response.</w:t>
      </w:r>
    </w:p>
    <w:p/>
    <w:p>
      <w:pPr>
        <w:pStyle w:val="Heading2"/>
      </w:pPr>
      <w:r>
        <w:t>6. Digital Validation: HackerEarth 2026</w:t>
      </w:r>
    </w:p>
    <w:p>
      <w:pPr>
        <w:pStyle w:val="Heading3"/>
      </w:pPr>
      <w:r>
        <w:t>6.1 The Experiment</w:t>
      </w:r>
    </w:p>
    <w:p>
      <w:r>
        <w:t>The HackerEarth 2026 dataset provides a behavioral event log for 4,774 users of</w:t>
      </w:r>
    </w:p>
    <w:p>
      <w:r>
        <w:t>the Zerve data-science platform across a 98-day window: 409,287 events, 141 event</w:t>
      </w:r>
    </w:p>
    <w:p>
      <w:r>
        <w:t>types. This constitutes a closed Meso-level system: the platform (hub) and its</w:t>
      </w:r>
    </w:p>
    <w:p>
      <w:r>
        <w:t>users (nodes), with resource flows measured as behavioral engagement metrics.</w:t>
      </w:r>
    </w:p>
    <w:p>
      <w:pPr>
        <w:pStyle w:val="Heading3"/>
      </w:pPr>
      <w:r>
        <w:t>6.2 The Fractal Gap</w:t>
      </w:r>
    </w:p>
    <w:p>
      <w:r>
        <w:t>The Composite Success Index v3 (CSI_V3), a weighted combination of tool diversity</w:t>
      </w:r>
    </w:p>
    <w:p>
      <w:r>
        <w:t>(0.40), platform lifetime (0.30) and Velocity of Diversification Rate (VDR, 0.30),</w:t>
      </w:r>
    </w:p>
    <w:p>
      <w:r>
        <w:t>reveals a fractal discontinuity. The Elite cohort (top 0.5%, n=24) shows a VDR</w:t>
      </w:r>
    </w:p>
    <w:p>
      <w:r>
        <w:t>7,478× greater than the Basic cohort median (bottom 93.1%, n=4,444). This is not a</w:t>
      </w:r>
    </w:p>
    <w:p>
      <w:r>
        <w:t>power-law tail — it is a fractal discontinuity consistent with the SNT prediction</w:t>
      </w:r>
    </w:p>
    <w:p>
      <w:r>
        <w:t>of a Hub–Shadow Node separation following preferential attachment.</w:t>
      </w:r>
    </w:p>
    <w:p>
      <w:pPr>
        <w:pStyle w:val="Heading3"/>
      </w:pPr>
      <w:r>
        <w:t>6.3 The 5-Event Wall</w:t>
      </w:r>
    </w:p>
    <w:p>
      <w:r>
        <w:t>A Gradient Boosting Classifier on 284 event-type features achieves ROC-AUC = 0.9994</w:t>
      </w:r>
    </w:p>
    <w:p>
      <w:r>
        <w:t>(test; 1.0000 in 5-fold CV). Users triggering fewer than five distinct event types</w:t>
      </w:r>
    </w:p>
    <w:p>
      <w:r>
        <w:t>have a &gt;90% churn probability — the 5-Event Wall — detectable within the first</w:t>
      </w:r>
    </w:p>
    <w:p>
      <w:r>
        <w:t>session, the earliest possible intervention signal.</w:t>
      </w:r>
    </w:p>
    <w:p>
      <w:pPr>
        <w:pStyle w:val="Heading3"/>
      </w:pPr>
      <w:r>
        <w:t>6.4 SHAP Rankings and the Cognitive Leapfrog</w:t>
      </w:r>
    </w:p>
    <w:p>
      <w:r>
        <w:t>The top SHAP-ranked predictor is AI-agent orchestration (agent_accept_suggestion,</w:t>
      </w:r>
    </w:p>
    <w:p>
      <w:r>
        <w:t>SHAP proxy ~0.5). Users who delegate execution to the AI agent rather than</w:t>
      </w:r>
    </w:p>
    <w:p>
      <w:r>
        <w:t>executing linearly are the strongest predictor of Elite-trajectory behavior — the</w:t>
      </w:r>
    </w:p>
    <w:p>
      <w:r>
        <w:t>cognitive leapfrog: transitioning from linear execution to agent orchestration, a</w:t>
      </w:r>
    </w:p>
    <w:p>
      <w:r>
        <w:t>dimension where accumulated hub advantage does not apply and which is currently</w:t>
      </w:r>
    </w:p>
    <w:p>
      <w:r>
        <w:t>accessible to new entrants.</w:t>
      </w:r>
    </w:p>
    <w:p>
      <w:pPr>
        <w:pStyle w:val="Heading3"/>
      </w:pPr>
      <w:r>
        <w:t>6.5 Extension to the Enterprise Domain</w:t>
      </w:r>
    </w:p>
    <w:p>
      <w:r>
        <w:t>The HackerEarth case is the first empirical demonstration of SNT applied to a</w:t>
      </w:r>
    </w:p>
    <w:p>
      <w:r>
        <w:t>closed enterprise ecosystem. The applicability condition is not sector or size but</w:t>
      </w:r>
    </w:p>
    <w:p>
      <w:r>
        <w:t>the availability of structured behavioral event data measuring inter-node resource</w:t>
      </w:r>
    </w:p>
    <w:p>
      <w:r>
        <w:t>flows. Five metrics of the Composite Enterprise Sovereignty Index (CSIE) — event</w:t>
      </w:r>
    </w:p>
    <w:p>
      <w:r>
        <w:t>volume per node, sustained activity, response time, functional diversity, and</w:t>
      </w:r>
    </w:p>
    <w:p>
      <w:r>
        <w:t>failure resilience — identify satellization within organizational structures</w:t>
      </w:r>
    </w:p>
    <w:p>
      <w:r>
        <w:t>before it becomes structurally irreversible.</w:t>
      </w:r>
    </w:p>
    <w:p/>
    <w:p>
      <w:pPr>
        <w:pStyle w:val="Heading2"/>
      </w:pPr>
      <w:r>
        <w:t>7. SNT Triple-Resolution Systemic Model</w:t>
      </w:r>
    </w:p>
    <w:p>
      <w:r>
        <w:t>The model extends the original binary model across three scales with distinct</w:t>
      </w:r>
    </w:p>
    <w:p>
      <w:r>
        <w:t>dynamics, actors, and incompatible competitive rules. The five-level taxonomy and</w:t>
      </w:r>
    </w:p>
    <w:p>
      <w:r>
        <w:t>INEGI 2022 verification confirm that the Mexican national system operates under</w:t>
      </w:r>
    </w:p>
    <w:p>
      <w:r>
        <w:t>preferential attachment; trajectory vectorization for eight entities (1940–2022)</w:t>
      </w:r>
    </w:p>
    <w:p>
      <w:r>
        <w:t>documents the first cases of successful leapfrog within the system: Querétaro</w:t>
      </w:r>
    </w:p>
    <w:p>
      <w:r>
        <w:t>(b = −0.155, p &lt; 0.01) and Nuevo León (b = −0.058, p &lt; 0.001).</w:t>
      </w:r>
    </w:p>
    <w:p>
      <w:r>
        <w:rPr>
          <w:b/>
        </w:rPr>
        <w:t>7.1 Micro Resolution — The Atomic System.</w:t>
      </w:r>
      <w:r>
        <w:t xml:space="preserve"> The base scale of processing and</w:t>
      </w:r>
    </w:p>
    <w:p>
      <w:r>
        <w:t>survival. Resources divide into Quantitative (RQ, extractable: capital, time,</w:t>
      </w:r>
    </w:p>
    <w:p>
      <w:r>
        <w:t>infrastructure) and Qualitative (RL, inherent: knowledge, skills, cognitive</w:t>
      </w:r>
    </w:p>
    <w:p>
      <w:r>
        <w:t>maturity). RL cannot be directly extracted but degrades through disuse when RQ</w:t>
      </w:r>
    </w:p>
    <w:p>
      <w:r>
        <w:t>scarcity prevents its maintenance. Leapfrog requires two parallel dimensions:</w:t>
      </w:r>
    </w:p>
    <w:p>
      <w:r>
        <w:t>Intrapersonal (DI, mandatory base) and Professional (DP, visible leap).</w:t>
      </w:r>
    </w:p>
    <w:p>
      <w:r>
        <w:rPr>
          <w:b/>
        </w:rPr>
        <w:t>7.2 Meso Resolution — The Intra-national Fungal Network.</w:t>
      </w:r>
      <w:r>
        <w:t xml:space="preserve"> A closed ecosystem</w:t>
      </w:r>
    </w:p>
    <w:p>
      <w:r>
        <w:t>delimited by geopolitical or institutional jurisdiction. The Central Hub</w:t>
      </w:r>
    </w:p>
    <w:p>
      <w:r>
        <w:t>administers the network through continuous extraction of residual energy from</w:t>
      </w:r>
    </w:p>
    <w:p>
      <w:r>
        <w:t>Shadow Nodes. The hub is practically immovable from inside; its immune response</w:t>
      </w:r>
    </w:p>
    <w:p>
      <w:r>
        <w:t>activates based on growth direction, not size. The hub expands via silent</w:t>
      </w:r>
    </w:p>
    <w:p>
      <w:r>
        <w:t>absorption, peaceful agreement, or expropriation — in that order of energetic-cost</w:t>
      </w:r>
    </w:p>
    <w:p>
      <w:r>
        <w:t>preference.</w:t>
      </w:r>
    </w:p>
    <w:p>
      <w:r>
        <w:rPr>
          <w:b/>
        </w:rPr>
        <w:t>7.3 Macro Resolution — The Superorganism Collision.</w:t>
      </w:r>
      <w:r>
        <w:t xml:space="preserve"> Competition between</w:t>
      </w:r>
    </w:p>
    <w:p>
      <w:r>
        <w:t>complete fungal networks; no central hub arbitrates. Relative position is set by</w:t>
      </w:r>
    </w:p>
    <w:p>
      <w:r>
        <w:t>Gravitational Mass (MG: total GDP, population density, technological level,</w:t>
      </w:r>
    </w:p>
    <w:p>
      <w:r>
        <w:t>territorial area). The real brake on aggressive expansion is the internal node</w:t>
      </w:r>
    </w:p>
    <w:p>
      <w:r>
        <w:t>network, not international regulators. The Atomic Node never fully escapes the</w:t>
      </w:r>
    </w:p>
    <w:p>
      <w:r>
        <w:t>Macro system: its legal and fiscal existence is anchored to its resident</w:t>
      </w:r>
    </w:p>
    <w:p>
      <w:r>
        <w:t>superorganism.</w:t>
      </w:r>
    </w:p>
    <w:p>
      <w:r>
        <w:rPr>
          <w:b/>
        </w:rPr>
        <w:t>7.4 Cross-Scale Interaction Principles.</w:t>
      </w:r>
      <w:r>
        <w:t xml:space="preserve"> Cascade Transmission: Macro events</w:t>
      </w:r>
    </w:p>
    <w:p>
      <w:r>
        <w:t>impact all three systems in descending cascade (Macro → Meso → Micro), at a speed</w:t>
      </w:r>
    </w:p>
    <w:p>
      <w:r>
        <w:t>depending on each node's dimensional independence. Scalar Velocity:</w:t>
      </w:r>
    </w:p>
    <w:p>
      <w:r>
        <w:t>TC_micro (hours–months) &lt; TC_meso (months–years) &lt; TC_macro (decades–generations),</w:t>
      </w:r>
    </w:p>
    <w:p>
      <w:r>
        <w:t>differing by 10–100× per level. Speed is the structural advantage of the Atomic</w:t>
      </w:r>
    </w:p>
    <w:p>
      <w:r>
        <w:t>Node.</w:t>
      </w:r>
    </w:p>
    <w:p/>
    <w:p>
      <w:pPr>
        <w:pStyle w:val="Heading2"/>
      </w:pPr>
      <w:r>
        <w:t>8. Empirical Verification: N-Body Matrix — Mexico</w:t>
      </w:r>
    </w:p>
    <w:p>
      <w:r>
        <w:t>The five-level taxonomy is verified with INEGI 2022–2023 data for the 32 federal</w:t>
      </w:r>
    </w:p>
    <w:p>
      <w:r>
        <w:t>entities. Level 0 (Mexico City): 14.8% of national GDP. Level 1 (9 secondary</w:t>
      </w:r>
    </w:p>
    <w:p>
      <w:r>
        <w:t>attractors): 41.0%. Level 2 (8 logistic-bypass nodes): 20.2%. Level 3 (11 shadow</w:t>
      </w:r>
    </w:p>
    <w:p>
      <w:r>
        <w:t>nodes): 16.8% with the largest number of entities. Level E (3 exogenous</w:t>
      </w:r>
    </w:p>
    <w:p>
      <w:r>
        <w:t>anomalies): 4.3%. The power-law fit confirms preferential attachment: b = −0.473,</w:t>
      </w:r>
    </w:p>
    <w:p>
      <w:r>
        <w:t>R² = 0.838, p &lt; 0.001.</w:t>
      </w:r>
    </w:p>
    <w:p>
      <w:r>
        <w:t>The composite gradient of Tlaxcala is the central N-body result: the binary model</w:t>
      </w:r>
    </w:p>
    <w:p>
      <w:r>
        <w:t>measured w_ij(Tlaxcala→Puebla) = 26.2k MXN; the N-body matrix reveals</w:t>
      </w:r>
    </w:p>
    <w:p>
      <w:r>
        <w:t>w_ij(Tlaxcala→Mexico City, long-range) = 216.8k MXN. Total composite gradient:</w:t>
      </w:r>
    </w:p>
    <w:p>
      <w:r>
        <w:t>243.0k MXN — the binary model underestimated Tlaxcala's satellization by 9.3×;</w:t>
      </w:r>
    </w:p>
    <w:p>
      <w:r>
        <w:t>89.2% of extraction flows directly to Mexico City, bypassing the intermediary.</w:t>
      </w:r>
    </w:p>
    <w:p>
      <w:r>
        <w:t>Trajectory vectorization for eight entities (1940–2022) reveals two natural</w:t>
      </w:r>
    </w:p>
    <w:p>
      <w:r>
        <w:t>groups: Satellization (b &gt; 0): Chiapas (+0.229), Oaxaca (+0.176), Guerrero</w:t>
      </w:r>
    </w:p>
    <w:p>
      <w:r>
        <w:t>(+0.176), Veracruz (+0.181), Tlaxcala (+0.147), Puebla (+0.116); Convergence</w:t>
      </w:r>
    </w:p>
    <w:p>
      <w:r>
        <w:t>(b &lt; 0): Querétaro (−0.155, R²=0.782) and Nuevo León (−0.058, R²=0.935) — the</w:t>
      </w:r>
    </w:p>
    <w:p>
      <w:r>
        <w:t>first documented leapfrog cases within the national system (Querétaro via</w:t>
      </w:r>
    </w:p>
    <w:p>
      <w:r>
        <w:t>aerospace manufacturing, Nuevo León via independent export manufacturing).</w:t>
      </w:r>
    </w:p>
    <w:p/>
    <w:p>
      <w:pPr>
        <w:pStyle w:val="Heading2"/>
      </w:pPr>
      <w:r>
        <w:t>9. Limitations</w:t>
      </w:r>
    </w:p>
    <w:p>
      <w:r>
        <w:t>Original corpus limitations remain: data uncertainty (±20%) for pre-1820 historical</w:t>
      </w:r>
    </w:p>
    <w:p>
      <w:r>
        <w:t>estimates, low R² for the Portugal case (oscillatory process), possible reverse</w:t>
      </w:r>
    </w:p>
    <w:p>
      <w:r>
        <w:t>causality in the digital case, selection bias in case choice, and sensitivity to</w:t>
      </w:r>
    </w:p>
    <w:p>
      <w:r>
        <w:t>trigger definition in gradual cases. The Triple-Resolution Model's Micro and Macro</w:t>
      </w:r>
    </w:p>
    <w:p>
      <w:r>
        <w:t>modules are conceptual frameworks with partial operationalization; variables RQ,</w:t>
      </w:r>
    </w:p>
    <w:p>
      <w:r>
        <w:t>RL, DI, DP, and MG have proposed measurement criteria not yet validated with</w:t>
      </w:r>
    </w:p>
    <w:p>
      <w:r>
        <w:t>structured data series. The ASI is operationalized with precision = 1.0 on</w:t>
      </w:r>
    </w:p>
    <w:p>
      <w:r>
        <w:t>HackerEarth 2026 but requires replication on independent datasets. The Ck Coherence</w:t>
      </w:r>
    </w:p>
    <w:p>
      <w:r>
        <w:t>Factor has a verified neurological mechanism (Friston 2010) but its</w:t>
      </w:r>
    </w:p>
    <w:p>
      <w:r>
        <w:t>operationalization is untested.</w:t>
      </w:r>
    </w:p>
    <w:p>
      <w:r>
        <w:rPr>
          <w:b/>
        </w:rPr>
        <w:t>On the corpus:</w:t>
      </w:r>
      <w:r>
        <w:t xml:space="preserve"> this version retires the previously posted 502-case corpus,</w:t>
      </w:r>
    </w:p>
    <w:p>
      <w:r>
        <w:t>which contained synthetic values, and replaces it with 721 cases reconstructed</w:t>
      </w:r>
    </w:p>
    <w:p>
      <w:r>
        <w:t>from verifiable primary sources (R² ∈ [0,1]; 89% significant). The collapse layer</w:t>
      </w:r>
    </w:p>
    <w:p>
      <w:r>
        <w:t>(Section 13) is correlational and, on the crypto side, based on small n; it is</w:t>
      </w:r>
    </w:p>
    <w:p>
      <w:r>
        <w:t>framed as a strong hypothesis, not causal proof.</w:t>
      </w:r>
    </w:p>
    <w:p/>
    <w:p>
      <w:pPr>
        <w:pStyle w:val="Heading2"/>
      </w:pPr>
      <w:r>
        <w:t>10. Falsifiability Criteria</w:t>
      </w:r>
    </w:p>
    <w:p>
      <w:r>
        <w:t>RC1 — Scalar Velocity: falsified if a technology is systematically adopted faster</w:t>
      </w:r>
    </w:p>
    <w:p>
      <w:r>
        <w:t>by firms than by individuals (RC1a), or if a technology emerges without individual</w:t>
      </w:r>
    </w:p>
    <w:p>
      <w:r>
        <w:t>access that inverts the TC hierarchy (RC1b). RC2 — Immune Response: falsified if</w:t>
      </w:r>
    </w:p>
    <w:p>
      <w:r>
        <w:t>hub adaptation toward the peripheral node is documented more frequently than</w:t>
      </w:r>
    </w:p>
    <w:p>
      <w:r>
        <w:t>suppression. RC3 — Qualitative Inextractability: falsified if hubs systematically</w:t>
      </w:r>
    </w:p>
    <w:p>
      <w:r>
        <w:t>neutralize node knowledge differentials. RC4 — Dual Minimum Threshold: falsified</w:t>
      </w:r>
    </w:p>
    <w:p>
      <w:r>
        <w:t>if a leapfrog sustains itself with either dimension below minimum. RC5 — Expansion</w:t>
      </w:r>
    </w:p>
    <w:p>
      <w:r>
        <w:t>Sequence: falsified if direct expropriation produces more stable states than silent</w:t>
      </w:r>
    </w:p>
    <w:p>
      <w:r>
        <w:t>absorption. RC6 — Irreversibility: falsified if a Shadow Node reverses</w:t>
      </w:r>
    </w:p>
    <w:p>
      <w:r>
        <w:t>satellization endogenously without an exogenous trigger. RC7 — ASI</w:t>
      </w:r>
    </w:p>
    <w:p>
      <w:r>
        <w:t>Operationalization: falsified if users with ASI &gt; 1 show performance comparable to</w:t>
      </w:r>
    </w:p>
    <w:p>
      <w:r>
        <w:t>users with ASI &lt; 0.5 in tasks requiring cognitive sovereignty (current validation</w:t>
      </w:r>
    </w:p>
    <w:p>
      <w:r>
        <w:t>precision = 1.0; requires replication). RC8 — Mutual-interdependence brake:</w:t>
      </w:r>
    </w:p>
    <w:p>
      <w:r>
        <w:t>falsified if predator-prey or sovereign-state systems produce sustained b &gt; 0.5</w:t>
      </w:r>
    </w:p>
    <w:p>
      <w:r>
        <w:t>without exogenous perturbation.</w:t>
      </w:r>
    </w:p>
    <w:p>
      <w:r>
        <w:rPr>
          <w:b/>
        </w:rPr>
        <w:t>Collapse-axis criteria (new).</w:t>
      </w:r>
      <w:r>
        <w:t xml:space="preserve"> RC-Δ1 — Orthogonality: falsified if corr(b, Δ)</w:t>
      </w:r>
    </w:p>
    <w:p>
      <w:r>
        <w:t>is significantly different from zero across paired cases (first test: crypto n=11,</w:t>
      </w:r>
    </w:p>
    <w:p>
      <w:r>
        <w:t>ρ = +0.009, not refuted). RC-Δ2 — Friction governs collapse shape: falsified if</w:t>
      </w:r>
    </w:p>
    <w:p>
      <w:r>
        <w:t>resolution friction does not predict Δ (first test: 2008 cohort n=6,</w:t>
      </w:r>
    </w:p>
    <w:p>
      <w:r>
        <w:t>ρ = −1.000). RC-Δ3 — Hazard positivity: falsified if a system with hazard = 0 is</w:t>
      </w:r>
    </w:p>
    <w:p>
      <w:r>
        <w:t>found.</w:t>
      </w:r>
    </w:p>
    <w:p/>
    <w:p>
      <w:pPr>
        <w:pStyle w:val="Heading2"/>
      </w:pPr>
      <w:r>
        <w:t>11. Diagnostic Protocol</w:t>
      </w:r>
    </w:p>
    <w:p>
      <w:r>
        <w:t>SNT is prescriptive as well as descriptive. Four steps to apply the model to any</w:t>
      </w:r>
    </w:p>
    <w:p>
      <w:r>
        <w:t xml:space="preserve">real system. </w:t>
      </w:r>
      <w:r>
        <w:rPr>
          <w:b/>
        </w:rPr>
        <w:t>Step 1 — Level Classification:</w:t>
      </w:r>
      <w:r>
        <w:t xml:space="preserve"> collect node production data;</w:t>
      </w:r>
    </w:p>
    <w:p>
      <w:r>
        <w:t>verify whether the distribution follows a power law (log-log fit, R² &gt; 0.7,</w:t>
      </w:r>
    </w:p>
    <w:p>
      <w:r>
        <w:t xml:space="preserve">p &lt; 0.05); classify in the five-level taxonomy. </w:t>
      </w:r>
      <w:r>
        <w:rPr>
          <w:b/>
        </w:rPr>
        <w:t>Step 2 — Gradient Calculation:</w:t>
      </w:r>
    </w:p>
    <w:p>
      <w:r>
        <w:t>calculate w_ij for each hub extracting from the node; compute the composite</w:t>
      </w:r>
    </w:p>
    <w:p>
      <w:r>
        <w:t>gradient if there are multiple hubs (the Tlaxcala case shows the long-range</w:t>
      </w:r>
    </w:p>
    <w:p>
      <w:r>
        <w:t>gradient can be 8.3× larger than the direct one). **Step 3 — Event Horizon</w:t>
      </w:r>
    </w:p>
    <w:p>
      <w:r>
        <w:t>Estimation:** fit the historical trajectory; if b &gt; 0, estimate t_horizon; if</w:t>
      </w:r>
    </w:p>
    <w:p>
      <w:r>
        <w:t>b &lt; 0, identify the mechanism and verify its sustainability. **Step 4 — Orthogonal</w:t>
      </w:r>
    </w:p>
    <w:p>
      <w:r>
        <w:t>Dimension Identification:** search for dimensions where the hub has not invested in</w:t>
      </w:r>
    </w:p>
    <w:p>
      <w:r>
        <w:t>5–10 years, where the node has a measurable initial advantage, and which have</w:t>
      </w:r>
    </w:p>
    <w:p>
      <w:r>
        <w:t>preferential-attachment potential; verify they do not require hub-controlled</w:t>
      </w:r>
    </w:p>
    <w:p>
      <w:r>
        <w:t>infrastructure; then design the intervention (address the critical deficiency at</w:t>
      </w:r>
    </w:p>
    <w:p>
      <w:r>
        <w:t>minimum, build capacity without triggering the immune response, execute the</w:t>
      </w:r>
    </w:p>
    <w:p>
      <w:r>
        <w:t>leapfrog when the window is open).</w:t>
      </w:r>
    </w:p>
    <w:p/>
    <w:p>
      <w:pPr>
        <w:pStyle w:val="Heading2"/>
      </w:pPr>
      <w:r>
        <w:t>12. Corpus of 721 Real Cases — Definitive Findings</w:t>
      </w:r>
    </w:p>
    <w:p>
      <w:r>
        <w:t>The empirical corpus comprises 721 cases reconstructed entirely from verifiable</w:t>
      </w:r>
    </w:p>
    <w:p>
      <w:r>
        <w:t>primary sources, replacing the previous 502-case corpus (retired after an audit</w:t>
      </w:r>
    </w:p>
    <w:p>
      <w:r>
        <w:t>found ~188 synthetic b values and an impossible R² column). Distribution by domain</w:t>
      </w:r>
    </w:p>
    <w:p>
      <w:r>
        <w:t>(friction, n, b̄): A Cities (medium, 4); B Country pairs Maddison (high, 446,</w:t>
      </w:r>
    </w:p>
    <w:p>
      <w:r>
        <w:t>+0.092); C Regions INEGI+Census (high, 24, +0.091); D Digital (low, 3, −1.364);</w:t>
      </w:r>
    </w:p>
    <w:p>
      <w:r>
        <w:t>E1 Biological invasion (none, 4, +2.891); E2 Predator-prey (high, 2, +0.145);</w:t>
      </w:r>
    </w:p>
    <w:p>
      <w:r>
        <w:t>E3 Parasite-host COVID (none, 234, +0.912); F1–F3 Astronomical (medium/low, 4).</w:t>
      </w:r>
    </w:p>
    <w:p>
      <w:r>
        <w:t>Total 721, global b̄ = +0.366; integrity R² ∈ [0,1] for all; 89% significant.</w:t>
      </w:r>
    </w:p>
    <w:p>
      <w:r>
        <w:rPr>
          <w:b/>
        </w:rPr>
        <w:t>Finding 1 — Institutional friction predicts satellization (central result).</w:t>
      </w:r>
    </w:p>
    <w:p>
      <w:r>
        <w:t>Spearman correlation between the a-priori friction index and b per case</w:t>
      </w:r>
    </w:p>
    <w:p>
      <w:r>
        <w:t>(social/biological domains, n = 714): ρ = −0.68, p = 2.5×10⁻⁹⁷. The higher the</w:t>
      </w:r>
    </w:p>
    <w:p>
      <w:r>
        <w:t>institutional friction, the lower the satellization exponent.</w:t>
      </w:r>
    </w:p>
    <w:p>
      <w:r>
        <w:rPr>
          <w:b/>
        </w:rPr>
        <w:t>Finding 2 — Regime separation.</w:t>
      </w:r>
      <w:r>
        <w:t xml:space="preserve"> Friction-free biological domains (E1+E3)</w:t>
      </w:r>
    </w:p>
    <w:p>
      <w:r>
        <w:t>produce b̄ ≈ +0.95; friction-laden economic domains (A+B+C) produce b̄ ≈ +0.09.</w:t>
      </w:r>
    </w:p>
    <w:p>
      <w:r>
        <w:t>Mann-Whitney U = 103,538, p = 2.4×10⁻⁷⁴. Systems with no institutional brake</w:t>
      </w:r>
    </w:p>
    <w:p>
      <w:r>
        <w:t>satellize ~10× faster. This is the central empirical result, and it is stronger</w:t>
      </w:r>
    </w:p>
    <w:p>
      <w:r>
        <w:t>with real data than with the previous synthetic values.</w:t>
      </w:r>
    </w:p>
    <w:p>
      <w:r>
        <w:rPr>
          <w:b/>
        </w:rPr>
        <w:t>Finding 3 — Abrupt triggers are faster than gradual.</w:t>
      </w:r>
      <w:r>
        <w:t xml:space="preserve"> Ratio 5.9×, Mann-Whitney</w:t>
      </w:r>
    </w:p>
    <w:p>
      <w:r>
        <w:t>U = 24,802, p = 1.91×10⁻⁵ (n = 486, excluding mutual-interdependence domains),</w:t>
      </w:r>
    </w:p>
    <w:p>
      <w:r>
        <w:t>stable across three successive corpus expansions (57 → 114 → 721). The earlier</w:t>
      </w:r>
    </w:p>
    <w:p>
      <w:r>
        <w:t>57-case "hybrid fastest" result (p = 0.0098) is a small-N artifact corrected by</w:t>
      </w:r>
    </w:p>
    <w:p>
      <w:r>
        <w:t>the full corpus; the stable hierarchy is abrupt &gt; hybrid &gt; gradual.</w:t>
      </w:r>
    </w:p>
    <w:p>
      <w:r>
        <w:t>**Finding 4 — Political sovereignty is as effective a brake as ecological</w:t>
      </w:r>
    </w:p>
    <w:p>
      <w:r>
        <w:t>interdependence.** Sovereign country pairs (b̄ ≈ +0.09) and predator-prey systems</w:t>
      </w:r>
    </w:p>
    <w:p>
      <w:r>
        <w:t>(E2, b̄ = +0.145) are statistically indistinguishable — two distinct mechanisms</w:t>
      </w:r>
    </w:p>
    <w:p>
      <w:r>
        <w:t>anchoring b near zero because complete node extinction would destroy the hub. A</w:t>
      </w:r>
    </w:p>
    <w:p>
      <w:r>
        <w:t>herring shoal cannot negotiate with a school of mackerel; a Hot Jupiter does not</w:t>
      </w:r>
    </w:p>
    <w:p>
      <w:r>
        <w:t>apply for regulatory approval before clearing the inner solar system. When</w:t>
      </w:r>
    </w:p>
    <w:p>
      <w:r>
        <w:t>resource transfer is direct and unmediated, b exceeds 1 regardless of substrate.</w:t>
      </w:r>
    </w:p>
    <w:p>
      <w:r>
        <w:rPr>
          <w:b/>
        </w:rPr>
        <w:t>Finding 5 — Modeling regimes.</w:t>
      </w:r>
      <w:r>
        <w:t xml:space="preserve"> The power law is the best description where</w:t>
      </w:r>
    </w:p>
    <w:p>
      <w:r>
        <w:t>friction is low (epidemics E3, biological invasion E1); under high friction</w:t>
      </w:r>
    </w:p>
    <w:p>
      <w:r>
        <w:t>(countries) exponential and linear models compete. The exponent b is a descriptive,</w:t>
      </w:r>
    </w:p>
    <w:p>
      <w:r>
        <w:t>cross-domain comparable metric — not a claim that the power law is the only</w:t>
      </w:r>
    </w:p>
    <w:p>
      <w:r>
        <w:t>generative model in all domains.</w:t>
      </w:r>
    </w:p>
    <w:p/>
    <w:p>
      <w:pPr>
        <w:pStyle w:val="Heading2"/>
      </w:pPr>
      <w:r>
        <w:t>13. Coupled Orbital Collapse Layer (ACO-A)</w:t>
      </w:r>
    </w:p>
    <w:p>
      <w:r>
        <w:t>The Orbital Collapse Architecture ceases to be a separate module and is</w:t>
      </w:r>
    </w:p>
    <w:p>
      <w:r>
        <w:t xml:space="preserve">reformulated as a </w:t>
      </w:r>
      <w:r>
        <w:rPr>
          <w:b/>
        </w:rPr>
        <w:t>universal, transversal layer</w:t>
      </w:r>
      <w:r>
        <w:t xml:space="preserve"> of SNT: collapse is an</w:t>
      </w:r>
    </w:p>
    <w:p>
      <w:r>
        <w:rPr>
          <w:b/>
        </w:rPr>
        <w:t>orthogonal axis</w:t>
      </w:r>
      <w:r>
        <w:t xml:space="preserve"> that can activate in any system, in any domain, at any point of</w:t>
      </w:r>
    </w:p>
    <w:p>
      <w:r>
        <w:t>its trajectory. A single principle (least friction) generates distinct collapse</w:t>
      </w:r>
    </w:p>
    <w:p>
      <w:r>
        <w:t>modes depending on boundary conditions, demonstrated with real data in five</w:t>
      </w:r>
    </w:p>
    <w:p>
      <w:r>
        <w:t>domains.</w:t>
      </w:r>
    </w:p>
    <w:p>
      <w:r>
        <w:rPr>
          <w:b/>
        </w:rPr>
        <w:t>13.1 Two orthogonal axes (b ⊥ Δ).</w:t>
      </w:r>
      <w:r>
        <w:t xml:space="preserve"> Each system is a pair of independent</w:t>
      </w:r>
    </w:p>
    <w:p>
      <w:r>
        <w:t>coordinates. Axis 1 — Satellization: R(t) = a·t^b, how dominance evolves while the</w:t>
      </w:r>
    </w:p>
    <w:p>
      <w:r>
        <w:t>coupled relationship runs. Axis 2 — Collapse: A(τ) = c·τ^Δ, with τ = time since</w:t>
      </w:r>
    </w:p>
    <w:p>
      <w:r>
        <w:t>functional extinction; Δ measures the speed/shape of absorption once the hub</w:t>
      </w:r>
    </w:p>
    <w:p>
      <w:r>
        <w:t>collapses. Collapse does not wait for the satellization cycle to end (different</w:t>
      </w:r>
    </w:p>
    <w:p>
      <w:r>
        <w:t>clock, τ ≠ t). Falsifiable prediction: corr(b, Δ) ≈ 0. First test (paired crypto,</w:t>
      </w:r>
    </w:p>
    <w:p>
      <w:r>
        <w:t>n = 11): Spearman ρ(b_rise, Δ_fall) = +0.009 (p = 0.98) — consistent with</w:t>
      </w:r>
    </w:p>
    <w:p>
      <w:r>
        <w:t>orthogonality.</w:t>
      </w:r>
    </w:p>
    <w:p>
      <w:r>
        <w:rPr>
          <w:b/>
        </w:rPr>
        <w:t>13.2 Hazard layer h(τ).</w:t>
      </w:r>
      <w:r>
        <w:t xml:space="preserve"> "No system is eternal" = h(τ) &gt; 0 for every system</w:t>
      </w:r>
    </w:p>
    <w:p>
      <w:r>
        <w:t>(refutable if a system with hazard = 0 is found). First estimate (crypto cohort,</w:t>
      </w:r>
    </w:p>
    <w:p>
      <w:r>
        <w:t>n = 41; functional extinction = price &lt; 1% of all-time high): 15 extinctions across</w:t>
      </w:r>
    </w:p>
    <w:p>
      <w:r>
        <w:t>the whole age range (0.27–8.6 years), no death-free era; Kaplan-Meier declining;</w:t>
      </w:r>
    </w:p>
    <w:p>
      <w:r>
        <w:t>hazard positive and rising with age — consistent with h(τ) &gt; 0. Caveats:</w:t>
      </w:r>
    </w:p>
    <w:p>
      <w:r>
        <w:t>survivorship bias (true hazard higher), age/calendar confound, limited n.</w:t>
      </w:r>
    </w:p>
    <w:p>
      <w:r>
        <w:rPr>
          <w:b/>
        </w:rPr>
        <w:t>13.3 Taxonomy of collapse modes (three factors).</w:t>
      </w:r>
      <w:r>
        <w:t xml:space="preserve"> Governed by friction ×</w:t>
      </w:r>
    </w:p>
    <w:p>
      <w:r>
        <w:t>trigger × (floor/ceiling on magnitude): Regulated Orbital Decay (high friction →</w:t>
      </w:r>
    </w:p>
    <w:p>
      <w:r>
        <w:t>smooth power law or exponential, non-accelerating; 2008 cohort R²=0.85–0.99,</w:t>
      </w:r>
    </w:p>
    <w:p>
      <w:r>
        <w:t>Rome/USSR, solar flare R²=0.975, TDE R²=0.84); Cracquelure Decay (friction≈0 +</w:t>
      </w:r>
    </w:p>
    <w:p>
      <w:r>
        <w:t>gradual → erratic fragmentation; EOS R²=0.10–0.70); Floor-Arrested (friction≈0 +</w:t>
      </w:r>
    </w:p>
    <w:p>
      <w:r>
        <w:t>abrupt + floor → power law to a residual floor; FTX R²=0.875); Catastrophic Cliff</w:t>
      </w:r>
    </w:p>
    <w:p>
      <w:r>
        <w:t>(friction≈0 + abrupt + no floor → super-exponential; LUNA, 5.6 orders of magnitude</w:t>
      </w:r>
    </w:p>
    <w:p>
      <w:r>
        <w:t>in 11 days); Logistic Sweep (bounded magnitude → S-curve; Delta→Omicron k=0.22/d).</w:t>
      </w:r>
    </w:p>
    <w:p>
      <w:r>
        <w:rPr>
          <w:b/>
        </w:rPr>
        <w:t>13.4 Principle of Least Friction (unifier).</w:t>
      </w:r>
      <w:r>
        <w:t xml:space="preserve"> Every collapse follows the</w:t>
      </w:r>
    </w:p>
    <w:p>
      <w:r>
        <w:t>trajectory that minimizes integrated friction (variational family: Fermat, least</w:t>
      </w:r>
    </w:p>
    <w:p>
      <w:r>
        <w:t>action, minimum dissipation) — a gradient flow over a stability landscape.</w:t>
      </w:r>
    </w:p>
    <w:p>
      <w:r>
        <w:t>Falsifiable version: the realized collapse has lower integrated friction than</w:t>
      </w:r>
    </w:p>
    <w:p>
      <w:r>
        <w:t>counterfactual trajectories (WaMu via the pre-arranged FDIC channel = least</w:t>
      </w:r>
    </w:p>
    <w:p>
      <w:r>
        <w:t>friction → 21 h; Lehman without it → slow fragmentation, 30,681 h; range ~1,460×,</w:t>
      </w:r>
    </w:p>
    <w:p>
      <w:r>
        <w:t>monotonic with the degree of regulatory intervention).</w:t>
      </w:r>
    </w:p>
    <w:p>
      <w:r>
        <w:rPr>
          <w:b/>
        </w:rPr>
        <w:t>13.5 Results with real data (four roadmap items).</w:t>
      </w:r>
      <w:r>
        <w:t xml:space="preserve"> (1) Friction operationalized:</w:t>
      </w:r>
    </w:p>
    <w:p>
      <w:r>
        <w:t>within the 2008 financial cohort (n=6), resolution-channel friction (ordinal 1–6)</w:t>
      </w:r>
    </w:p>
    <w:p>
      <w:r>
        <w:t>vs Δ: Spearman ρ = −1.000, p &lt; 0.001 — more friction, more frontal and orderly</w:t>
      </w:r>
    </w:p>
    <w:p>
      <w:r>
        <w:t>absorption. (2) Orthogonality b ⊥ Δ: crypto n=11, ρ = +0.009 (§13.1). (3) Unbounded</w:t>
      </w:r>
    </w:p>
    <w:p>
      <w:r>
        <w:t>biology: the Omicron wave in absolute counts (South Africa, JHU) decays smoothly</w:t>
      </w:r>
    </w:p>
    <w:p>
      <w:r>
        <w:t>exponential (R² = 0.96, e-fold ~22 d), NOT a cliff — epidemiological feedback is</w:t>
      </w:r>
    </w:p>
    <w:p>
      <w:r>
        <w:t>intrinsic friction. (4) Hazard h(τ) &gt; 0 (§13.2). Connection to the central finding:</w:t>
      </w:r>
    </w:p>
    <w:p>
      <w:r>
        <w:t>institutional friction predicts b (ρ = −0.68) and also governs the shape of Δ — it</w:t>
      </w:r>
    </w:p>
    <w:p>
      <w:r>
        <w:t>is the lever for both axes.</w:t>
      </w:r>
    </w:p>
    <w:p/>
    <w:p>
      <w:pPr>
        <w:pStyle w:val="Heading2"/>
      </w:pPr>
      <w:r>
        <w:t>14. Dialogue with the Literature</w:t>
      </w:r>
    </w:p>
    <w:p>
      <w:r>
        <w:rPr>
          <w:b/>
        </w:rPr>
        <w:t>Barabási &amp; Albert (1999):</w:t>
      </w:r>
      <w:r>
        <w:t xml:space="preserve"> SNT extends preferential attachment by quantifying</w:t>
      </w:r>
    </w:p>
    <w:p>
      <w:r>
        <w:t>satellization velocity through the exponent b and proposing a five-level functional</w:t>
      </w:r>
    </w:p>
    <w:p>
      <w:r>
        <w:t>taxonomy. INEGI verification confirms the predicted distribution (b = −0.473,</w:t>
      </w:r>
    </w:p>
    <w:p>
      <w:r>
        <w:t xml:space="preserve">R² = 0.838, p &lt; 0.001). </w:t>
      </w:r>
      <w:r>
        <w:rPr>
          <w:b/>
        </w:rPr>
        <w:t>Watts &amp; Strogatz (1998):</w:t>
      </w:r>
      <w:r>
        <w:t xml:space="preserve"> SNT adds the directional</w:t>
      </w:r>
    </w:p>
    <w:p>
      <w:r>
        <w:t>dimension of resource flow to the clustering coefficient — two nodes may be close</w:t>
      </w:r>
    </w:p>
    <w:p>
      <w:r>
        <w:t>in connection distance but at radically different hierarchical levels. **Holland</w:t>
      </w:r>
    </w:p>
    <w:p>
      <w:r>
        <w:t>(1995):** SNT specifies satellization as a recurring emergent dynamic with a</w:t>
      </w:r>
    </w:p>
    <w:p>
      <w:r>
        <w:t>mathematically predictable trajectory within Complex Adaptive Systems. **Friston</w:t>
      </w:r>
    </w:p>
    <w:p>
      <w:r>
        <w:t>(2010):** SNT extends the Free Energy Principle beyond the individual brain to</w:t>
      </w:r>
    </w:p>
    <w:p>
      <w:r>
        <w:t>social systems; the hub immune response and the Coherence Factor Ck are</w:t>
      </w:r>
    </w:p>
    <w:p>
      <w:r>
        <w:t>manifestations of the same principle at different scales. **Brezis &amp; Krugman</w:t>
      </w:r>
    </w:p>
    <w:p>
      <w:r>
        <w:t>(1993):** SNT extends technological leapfrogging to three scales and formalizes the</w:t>
      </w:r>
    </w:p>
    <w:p>
      <w:r>
        <w:t>failure conditions the original model did not develop. **Catastrophe and resilience</w:t>
      </w:r>
    </w:p>
    <w:p>
      <w:r>
        <w:t>theory (Thom 1972; Waddington 1957; Holling 1973; Lenton et al. 2008):** the</w:t>
      </w:r>
    </w:p>
    <w:p>
      <w:r>
        <w:t>collapse layer's stability-landscape language connects SNT to fold catastrophes,</w:t>
      </w:r>
    </w:p>
    <w:p>
      <w:r>
        <w:t>the epigenetic landscape, ecological "ball-in-cup" resilience, and climate tipping</w:t>
      </w:r>
    </w:p>
    <w:p>
      <w:r>
        <w:t>points.</w:t>
      </w:r>
    </w:p>
    <w:p/>
    <w:p>
      <w:pPr>
        <w:pStyle w:val="Heading2"/>
      </w:pPr>
      <w:r>
        <w:t>15. Conclusions</w:t>
      </w:r>
    </w:p>
    <w:p>
      <w:r>
        <w:rPr>
          <w:b/>
        </w:rPr>
        <w:t>15.1 What SNT demonstrates.</w:t>
      </w:r>
      <w:r>
        <w:t xml:space="preserve"> The satellization cycle — from dependent child node</w:t>
      </w:r>
    </w:p>
    <w:p>
      <w:r>
        <w:t>to peer to hub of new children — operates across all domains. The five-level</w:t>
      </w:r>
    </w:p>
    <w:p>
      <w:r>
        <w:t>taxonomy is verifiable with INEGI data and follows a power law; the binary model</w:t>
      </w:r>
    </w:p>
    <w:p>
      <w:r>
        <w:t>underestimated Tlaxcala's satellization by 9.3×; the first documented leapfrog</w:t>
      </w:r>
    </w:p>
    <w:p>
      <w:r>
        <w:t>cases within the Mexican national system are verified (Querétaro b = −0.155, Nuevo</w:t>
      </w:r>
    </w:p>
    <w:p>
      <w:r>
        <w:t>León b = −0.058); the ASI is operationalized with precision = 1.0 on 4,774 users.</w:t>
      </w:r>
    </w:p>
    <w:p>
      <w:r>
        <w:t>With the real 721-case corpus, **institutional friction is the dominant predictor</w:t>
      </w:r>
    </w:p>
    <w:p>
      <w:r>
        <w:t>of b</w:t>
      </w:r>
      <w:r>
        <w:rPr>
          <w:b/>
        </w:rPr>
        <w:t xml:space="preserve"> (ρ = −0.68, p = 2.5×10⁻⁹⁷) and </w:t>
      </w:r>
      <w:r>
        <w:t>also governs the shape of collapse (Δ)** —</w:t>
      </w:r>
    </w:p>
    <w:p>
      <w:r>
        <w:t>a single variable unites how a system dominates and how it collapses. The</w:t>
      </w:r>
    </w:p>
    <w:p>
      <w:r>
        <w:t>golden-ratio hypothesis (H-φ) was tested and refuted across four rounds and is</w:t>
      </w:r>
    </w:p>
    <w:p>
      <w:r>
        <w:t>excluded from the claims.</w:t>
      </w:r>
    </w:p>
    <w:p>
      <w:r>
        <w:rPr>
          <w:b/>
        </w:rPr>
        <w:t>15.2 What SNT does not demonstrate.</w:t>
      </w:r>
      <w:r>
        <w:t xml:space="preserve"> That leapfrog is always possible for any</w:t>
      </w:r>
    </w:p>
    <w:p>
      <w:r>
        <w:t>node. The model formalizes viability conditions and failure mechanisms but does not</w:t>
      </w:r>
    </w:p>
    <w:p>
      <w:r>
        <w:t>guarantee success. The Micro and Macro modules require independent empirical</w:t>
      </w:r>
    </w:p>
    <w:p>
      <w:r>
        <w:t>validation; the ASI requires replication beyond HackerEarth 2026; the collapse</w:t>
      </w:r>
    </w:p>
    <w:p>
      <w:r>
        <w:t>layer is correlational and requires larger cohorts and cross-domain tests.</w:t>
      </w:r>
    </w:p>
    <w:p>
      <w:r>
        <w:rPr>
          <w:b/>
        </w:rPr>
        <w:t>15.3 Future research lines.</w:t>
      </w:r>
      <w:r>
        <w:t xml:space="preserve"> Validation of the Micro Module with longitudinal</w:t>
      </w:r>
    </w:p>
    <w:p>
      <w:r>
        <w:t>individual trajectory data; ASI operationalization with other platforms; extension</w:t>
      </w:r>
    </w:p>
    <w:p>
      <w:r>
        <w:t>of the N-body matrix to other national systems; cross-domain orthogonality test</w:t>
      </w:r>
    </w:p>
    <w:p>
      <w:r>
        <w:t>for b ⊥ Δ; larger survivorship-unbiased cohorts for h(τ); pre-registration before</w:t>
      </w:r>
    </w:p>
    <w:p>
      <w:r>
        <w:t>claiming causality.</w:t>
      </w:r>
    </w:p>
    <w:p>
      <w:r>
        <w:rPr>
          <w:b/>
        </w:rPr>
        <w:t>15.4 The major implication.</w:t>
      </w:r>
      <w:r>
        <w:t xml:space="preserve"> Not theoretical but practical. If satellization</w:t>
      </w:r>
    </w:p>
    <w:p>
      <w:r>
        <w:t>follows a predictable algorithm with an identifiable failure taxonomy, it is</w:t>
      </w:r>
    </w:p>
    <w:p>
      <w:r>
        <w:t>intervene-able. For Tlaxcala: 89.2% of the gradient comes not from Puebla but from</w:t>
      </w:r>
    </w:p>
    <w:p>
      <w:r>
        <w:t>Mexico City — any strategy targeting only the Tlaxcala–Puebla relationship solves</w:t>
      </w:r>
    </w:p>
    <w:p>
      <w:r>
        <w:t>10.8% of the problem. For the Atomic Node: the cognitive leapfrog — orchestrating</w:t>
      </w:r>
    </w:p>
    <w:p>
      <w:r>
        <w:t>AI agents rather than executing tasks linearly — is the first dimension in recent</w:t>
      </w:r>
    </w:p>
    <w:p>
      <w:r>
        <w:t>history where the accumulated advantage of dominant nodes does not apply directly,</w:t>
      </w:r>
    </w:p>
    <w:p>
      <w:r>
        <w:t>and the HackerEarth 2026 evidence suggests that window is open now.</w:t>
      </w:r>
    </w:p>
    <w:p>
      <w:pPr>
        <w:ind w:left="360"/>
      </w:pPr>
      <w:r>
        <w:rPr>
          <w:i/>
          <w:color w:val="555555"/>
        </w:rPr>
        <w:t>*"The satellization algorithm is predictable. The leapfrog failure taxonomy is</w:t>
      </w:r>
    </w:p>
    <w:p>
      <w:pPr>
        <w:ind w:left="360"/>
      </w:pPr>
      <w:r>
        <w:rPr>
          <w:i/>
          <w:color w:val="555555"/>
        </w:rPr>
        <w:t>known. What follows is a decision that no model can make for the node."*</w:t>
      </w:r>
    </w:p>
    <w:p/>
    <w:p>
      <w:pPr>
        <w:pStyle w:val="Heading2"/>
      </w:pPr>
      <w:r>
        <w:t>References</w:t>
      </w:r>
    </w:p>
    <w:p>
      <w:r>
        <w:t>Avey, J.B., Reichard, R.J., Luthans, F. &amp; Mhatre, K.H. (2011). Meta-analysis of the</w:t>
      </w:r>
    </w:p>
    <w:p>
      <w:r>
        <w:t>impact of positive psychological capital on employee attitudes, behaviors, and</w:t>
      </w:r>
    </w:p>
    <w:p>
      <w:r>
        <w:t xml:space="preserve">performance. </w:t>
      </w:r>
      <w:r>
        <w:rPr>
          <w:i/>
        </w:rPr>
        <w:t>Human Resource Development Quarterly</w:t>
      </w:r>
      <w:r>
        <w:t>, 22(2), 127–152.</w:t>
      </w:r>
    </w:p>
    <w:p>
      <w:r>
        <w:t>Barabási, A.L. &amp; Albert, R. (1999). Emergence of scaling in random networks.</w:t>
      </w:r>
    </w:p>
    <w:p>
      <w:r>
        <w:rPr>
          <w:i/>
        </w:rPr>
        <w:t>Science</w:t>
      </w:r>
      <w:r>
        <w:t>, 286(5439), 509–512.</w:t>
      </w:r>
    </w:p>
    <w:p>
      <w:r>
        <w:t>Bolt, J. &amp; van Zanden, J.L. (2024). Maddison Project Database 2023. University of</w:t>
      </w:r>
    </w:p>
    <w:p>
      <w:r>
        <w:t>Groningen.</w:t>
      </w:r>
    </w:p>
    <w:p>
      <w:r>
        <w:t>Brezis, E.S. &amp; Krugman, P.R. (1993). Leapfrogging in international competition.</w:t>
      </w:r>
    </w:p>
    <w:p>
      <w:r>
        <w:rPr>
          <w:i/>
        </w:rPr>
        <w:t>American Economic Review</w:t>
      </w:r>
      <w:r>
        <w:t>, 83(5), 1211–1219.</w:t>
      </w:r>
    </w:p>
    <w:p>
      <w:r>
        <w:t>Dong, E., Du, H. &amp; Gardner, L. (2020). An interactive web-based dashboard to track</w:t>
      </w:r>
    </w:p>
    <w:p>
      <w:r>
        <w:t xml:space="preserve">COVID-19 in real time. </w:t>
      </w:r>
      <w:r>
        <w:rPr>
          <w:i/>
        </w:rPr>
        <w:t>The Lancet Infectious Diseases</w:t>
      </w:r>
      <w:r>
        <w:t>, 20(5), 533–534. [JHU CSSE]</w:t>
      </w:r>
    </w:p>
    <w:p>
      <w:r>
        <w:t>Friston, K. (2010). The free-energy principle: a unified brain theory? *Nature</w:t>
      </w:r>
    </w:p>
    <w:p>
      <w:r>
        <w:t>Reviews Neuroscience*, 11(2), 127–138.</w:t>
      </w:r>
    </w:p>
    <w:p>
      <w:r>
        <w:t xml:space="preserve">Holland, J.H. (1995). </w:t>
      </w:r>
      <w:r>
        <w:rPr>
          <w:i/>
        </w:rPr>
        <w:t>Hidden Order: How Adaptation Builds Complexity.</w:t>
      </w:r>
    </w:p>
    <w:p>
      <w:r>
        <w:t>Addison-Wesley.</w:t>
      </w:r>
    </w:p>
    <w:p>
      <w:r>
        <w:t>Holling, C.S. (1973). Resilience and stability of ecological systems. *Annual</w:t>
      </w:r>
    </w:p>
    <w:p>
      <w:r>
        <w:t>Review of Ecology and Systematics*, 4, 1–23.</w:t>
      </w:r>
    </w:p>
    <w:p>
      <w:r>
        <w:t>INEGI (2022). PIB per cápita por entidad federativa. Sistema de Cuentas Nacionales</w:t>
      </w:r>
    </w:p>
    <w:p>
      <w:r>
        <w:t>de México.</w:t>
      </w:r>
    </w:p>
    <w:p>
      <w:r>
        <w:t xml:space="preserve">Lenton, T.M. et al. (2008). Tipping elements in the Earth's climate system. </w:t>
      </w:r>
      <w:r>
        <w:rPr>
          <w:i/>
        </w:rPr>
        <w:t>PNAS</w:t>
      </w:r>
      <w:r>
        <w:t>,</w:t>
      </w:r>
    </w:p>
    <w:p>
      <w:r>
        <w:t>105(6), 1786–1793.</w:t>
      </w:r>
    </w:p>
    <w:p>
      <w:r>
        <w:t xml:space="preserve">Thom, R. (1972). </w:t>
      </w:r>
      <w:r>
        <w:rPr>
          <w:i/>
        </w:rPr>
        <w:t>Stabilité structurelle et morphogénèse.</w:t>
      </w:r>
      <w:r>
        <w:t xml:space="preserve"> [fold catastrophe]</w:t>
      </w:r>
    </w:p>
    <w:p>
      <w:r>
        <w:t xml:space="preserve">Waddington, C.H. (1957). </w:t>
      </w:r>
      <w:r>
        <w:rPr>
          <w:i/>
        </w:rPr>
        <w:t>The Strategy of the Genes.</w:t>
      </w:r>
      <w:r>
        <w:t xml:space="preserve"> [epigenetic landscape]</w:t>
      </w:r>
    </w:p>
    <w:p>
      <w:r>
        <w:t>Watts, D.J. &amp; Strogatz, S.H. (1998). Collective dynamics of small-world networks.</w:t>
      </w:r>
    </w:p>
    <w:p>
      <w:r>
        <w:rPr>
          <w:i/>
        </w:rPr>
        <w:t>Nature</w:t>
      </w:r>
      <w:r>
        <w:t>, 393(6684), 440–442.</w:t>
      </w:r>
    </w:p>
    <w:p>
      <w:r>
        <w:t>Zainos Corona, E. (2026). Shadow Node Theory — Replication Package v2.5.0</w:t>
      </w:r>
    </w:p>
    <w:p>
      <w:r>
        <w:t>(721-case real corpus + Coupled Collapse layer ACO-A). Zenodo.</w:t>
      </w:r>
    </w:p>
    <w:p>
      <w:r>
        <w:t>https://doi.org/10.5281/zenodo.19446521</w:t>
      </w:r>
    </w:p>
    <w:p>
      <w:r>
        <w:t>Collapse-layer data sources: Yahoo Finance (LUNA, FTT, EOS); NOAA SWPC GOES (solar</w:t>
      </w:r>
    </w:p>
    <w:p>
      <w:r>
        <w:t>X-ray); NASA IRSA / ZTF (TDE AT2019qiz); CoV-Spectrum / LAPIS (SARS-CoV-2</w:t>
      </w:r>
    </w:p>
    <w:p>
      <w:r>
        <w:t>variants); SEC, FDIC, Federal Reserve, SIGTARP (2008 cohort).</w:t>
      </w:r>
    </w:p>
    <w:p/>
    <w:p>
      <w:r>
        <w:rPr>
          <w:i/>
        </w:rPr>
        <w:t>— Fractal Core Research — Pre-print v2.5.0 (framework v30) — Tlaxcala, Mexico —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