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Gravitational Satellization:</w:t>
      </w:r>
    </w:p>
    <w:p>
      <w:pPr>
        <w:spacing w:after="120"/>
        <w:jc w:val="center"/>
      </w:pPr>
      <w:r>
        <w:rPr>
          <w:b/>
          <w:bCs/>
          <w:sz w:val="26"/>
          <w:szCs w:val="26"/>
        </w:rPr>
        <w:t xml:space="preserve">Power-Law Dynamics of Mass Dominance Across Cosmic Scales</w:t>
      </w:r>
    </w:p>
    <w:p>
      <w:pPr>
        <w:spacing w:after="80"/>
      </w:pPr>
    </w:p>
    <w:p>
      <w:pPr>
        <w:spacing w:after="120"/>
        <w:jc w:val="center"/>
      </w:pPr>
      <w:r>
        <w:rPr>
          <w:b w:val="false"/>
          <w:bCs w:val="false"/>
          <w:sz w:val="24"/>
          <w:szCs w:val="24"/>
        </w:rPr>
        <w:t xml:space="preserve">Elán Zainos Corona</w:t>
      </w:r>
    </w:p>
    <w:p>
      <w:pPr>
        <w:spacing w:after="120"/>
        <w:jc w:val="center"/>
      </w:pPr>
      <w:r>
        <w:rPr>
          <w:b w:val="false"/>
          <w:bCs w:val="false"/>
          <w:sz w:val="22"/>
          <w:szCs w:val="22"/>
        </w:rPr>
        <w:t xml:space="preserve">Fractal Core Research · Tlaxcala, Mexico</w:t>
      </w:r>
    </w:p>
    <w:p>
      <w:pPr>
        <w:spacing w:after="120"/>
        <w:jc w:val="center"/>
      </w:pPr>
      <w:r>
        <w:rPr>
          <w:b w:val="false"/>
          <w:bCs w:val="false"/>
          <w:sz w:val="20"/>
          <w:szCs w:val="20"/>
        </w:rPr>
        <w:t xml:space="preserve">elan.zainos.corona@gmail.com · DOI: https://doi.org/10.5281/zenodo.19131327</w:t>
      </w:r>
    </w:p>
    <w:p>
      <w:pPr>
        <w:spacing w:after="80"/>
      </w:pPr>
    </w:p>
    <w:p>
      <w:pPr>
        <w:pBdr>
          <w:bottom w:val="single" w:color="CCCCCC" w:sz="1"/>
        </w:pBdr>
        <w:spacing w:after="80"/>
      </w:pPr>
    </w:p>
    <w:p>
      <w:pPr>
        <w:spacing w:after="80"/>
      </w:pPr>
    </w:p>
    <w:p>
      <w:pPr>
        <w:pStyle w:val="Heading1"/>
        <w:spacing w:before="360" w:after="120"/>
      </w:pPr>
      <w:r>
        <w:t xml:space="preserve">Abstract</w:t>
      </w:r>
    </w:p>
    <w:p>
      <w:pPr>
        <w:spacing w:after="100"/>
        <w:ind w:left="720" w:right="720"/>
        <w:jc w:val="both"/>
      </w:pPr>
      <w:r>
        <w:rPr>
          <w:i/>
          <w:iCs/>
          <w:sz w:val="22"/>
          <w:szCs w:val="22"/>
        </w:rPr>
        <w:t xml:space="preserve">We apply a power-law model of node satellization to 37 astrophysical case pairs across four domains: planetary systems (F1, n=14), stellar binaries (F2, n=8), black hole accretion (F3, n=13), and galactic interactions (F4, n=12). The mass dominance ratio R(t) = mass_dominant(t) / mass_peripheral(t) follows a power law R(t) = a·t^b in all cases examined, with 23 of 37 statistically significant (p &lt; 0.05). Four findings emerge: (1) domains with directional mass transfer (black hole accretion, galactic disruption, competitive planetary formation) produce b values consistent with other high-velocity satellization domains in economics and biology; (2) domains with equilibrium accretion (stellar binaries, RIAF-mode black holes) produce b≈0, consistent with the mutual interdependence brake identified in ecological predator-prey systems; (3) the most extreme single case in the 502-case corpus is TON 618 quasar accretion (b=+6.498, p=0.002) — the highest exponent documented across all domains; (4) the Sagittarius dwarf galaxy disruption (b=+1.989, R²=0.716, p=0.0035) provides the cleanest power-law fit in the galactic domain, with the Milky Way extracting ~97% of Sagittarius' original stellar mass over 4-5 orbits. These findings suggest that gravitational mass dominance dynamics are mathematically equivalent to other forms of node satellization — the same power-law form operates from planetary formation timescales (millions of years) to quasar activity timescales (hundreds of millions of years).</w:t>
      </w:r>
    </w:p>
    <w:p>
      <w:pPr>
        <w:spacing w:after="80"/>
      </w:pPr>
    </w:p>
    <w:p>
      <w:pPr>
        <w:spacing w:before="160" w:after="60"/>
        <w:jc w:val="center"/>
      </w:pPr>
      <w:r>
        <w:rPr>
          <w:i/>
          <w:iCs/>
          <w:color w:val="555555"/>
          <w:sz w:val="20"/>
          <w:szCs w:val="20"/>
        </w:rPr>
        <w:t xml:space="preserve">“If you remain still long enough, you can see the algorithm that moves the universe.”</w:t>
      </w:r>
    </w:p>
    <w:p>
      <w:pPr>
        <w:spacing w:after="240"/>
        <w:jc w:val="center"/>
      </w:pPr>
      <w:r>
        <w:rPr>
          <w:color w:val="888888"/>
          <w:sz w:val="18"/>
          <w:szCs w:val="18"/>
        </w:rPr>
        <w:t xml:space="preserve">— Adapted from Alan Moore, Watchmen (1986)</w:t>
      </w:r>
    </w:p>
    <w:p>
      <w:pPr>
        <w:spacing w:after="120"/>
        <w:jc w:val="both"/>
      </w:pPr>
      <w:r>
        <w:rPr>
          <w:sz w:val="24"/>
          <w:szCs w:val="24"/>
        </w:rPr>
        <w:t xml:space="preserve">Keywords: gravitational accretion, tidal disruption, galactic satellites, binary mass transfer, power law, scale invariance, preferential attachment</w:t>
      </w:r>
    </w:p>
    <w:p>
      <w:pPr>
        <w:spacing w:after="80"/>
      </w:pPr>
    </w:p>
    <w:p>
      <w:pPr>
        <w:pBdr>
          <w:bottom w:val="single" w:color="CCCCCC" w:sz="1"/>
        </w:pBdr>
        <w:spacing w:after="80"/>
      </w:pPr>
    </w:p>
    <w:p>
      <w:pPr>
        <w:pageBreakBefore/>
      </w:pPr>
    </w:p>
    <w:p>
      <w:pPr>
        <w:pStyle w:val="Heading1"/>
        <w:spacing w:before="360" w:after="120"/>
      </w:pPr>
      <w:r>
        <w:t xml:space="preserve">1. Introduction</w:t>
      </w:r>
    </w:p>
    <w:p>
      <w:pPr>
        <w:spacing w:after="120"/>
        <w:jc w:val="both"/>
      </w:pPr>
      <w:r>
        <w:rPr>
          <w:sz w:val="24"/>
          <w:szCs w:val="24"/>
        </w:rPr>
        <w:t xml:space="preserve">Gravitational dynamics produce some of the most extreme examples of mass dominance in nature. A black hole can accumulate millions of solar masses from its environment. A giant planet can gravitationally clear its orbital zone of competing planetesimals. A massive galaxy can tidally disrupt and absorb its smaller companions over billions of years. These processes share a common feature: a dominant node with greater gravitational mass systematically extracts mass or clears resources from peripheral nodes in its vicinity.</w:t>
      </w:r>
    </w:p>
    <w:p>
      <w:pPr>
        <w:spacing w:after="80"/>
      </w:pPr>
    </w:p>
    <w:p>
      <w:pPr>
        <w:spacing w:after="120"/>
        <w:jc w:val="both"/>
      </w:pPr>
      <w:r>
        <w:rPr>
          <w:sz w:val="24"/>
          <w:szCs w:val="24"/>
        </w:rPr>
        <w:t xml:space="preserve">We propose that this process — gravitational satellization — follows the same power-law dynamic R(t) = a·t^b documented in economic, ecological, and digital systems (Zainos Corona 2026). The central question is whether the exponent b takes comparable values across astrophysical and non-astrophysical systems, and whether the factors that predict b magnitude (institutional friction, mutual interdependence) have astrophysical analogues.</w:t>
      </w:r>
    </w:p>
    <w:p>
      <w:pPr>
        <w:spacing w:after="80"/>
      </w:pPr>
    </w:p>
    <w:p>
      <w:pPr>
        <w:pBdr>
          <w:bottom w:val="single" w:color="CCCCCC" w:sz="1"/>
        </w:pBdr>
        <w:spacing w:after="80"/>
      </w:pPr>
    </w:p>
    <w:p>
      <w:pPr>
        <w:pageBreakBefore/>
      </w:pPr>
    </w:p>
    <w:p>
      <w:pPr>
        <w:pStyle w:val="Heading1"/>
        <w:spacing w:before="360" w:after="120"/>
      </w:pPr>
      <w:r>
        <w:t xml:space="preserve">2. Data and Methods</w:t>
      </w:r>
    </w:p>
    <w:p>
      <w:pPr>
        <w:pStyle w:val="Heading2"/>
        <w:spacing w:before="240" w:after="80"/>
      </w:pPr>
      <w:r>
        <w:t xml:space="preserve">2.1 Case selection and data sources</w:t>
      </w:r>
    </w:p>
    <w:p>
      <w:pPr>
        <w:spacing w:after="120"/>
        <w:jc w:val="both"/>
      </w:pPr>
      <w:r>
        <w:rPr>
          <w:sz w:val="24"/>
          <w:szCs w:val="24"/>
        </w:rPr>
        <w:t xml:space="preserve">Planetary systems (F1, n=14): mass accretion models from Pollack et al. (1996), D'Angelo et al. (2014), Helled et al. (2023); NASA Exoplanet Archive for Hot Jupiter statistics; Levison et al. (2008) for Kuiper Belt dispersal. Stellar binaries (F2, n=8): Holberg (2009), Bond et al. (2017) for Sirius system; Patterson (1984 ApJS) for cataclysmic variables; mass transfer models for contact binaries. Black hole accretion (F3, n=13): Gillessen et al. (2012, 2013) for Sgr A* G2 event; Event Horizon Telescope Collaboration (2019) for M87*; Valtonen et al. (2016), Dey et al. (2018) for OJ287 binary BH system; Orosz et al. (2011), Gou et al. (2011) for Cygnus X-1. Galactic systems (F4, n=12): Erkal et al. (2019 MNRAS) for LMC mass; Majewski et al. (2003) and Law &amp; Majewski (2010) for Sgr dSph; Collins et al. (2013) for NGC 147/185; Simon (2019 ARA&amp;A) for Fornax dwarf.</w:t>
      </w:r>
    </w:p>
    <w:p>
      <w:pPr>
        <w:spacing w:after="80"/>
      </w:pPr>
    </w:p>
    <w:p>
      <w:pPr>
        <w:pStyle w:val="Heading2"/>
        <w:spacing w:before="240" w:after="80"/>
      </w:pPr>
      <w:r>
        <w:t xml:space="preserve">2.2 Proxy variables</w:t>
      </w:r>
    </w:p>
    <w:p>
      <w:pPr>
        <w:spacing w:after="120"/>
        <w:jc w:val="both"/>
      </w:pPr>
      <w:r>
        <w:rPr>
          <w:sz w:val="24"/>
          <w:szCs w:val="24"/>
        </w:rPr>
        <w:t xml:space="preserve">For planetary and stellar cases where direct mass measurements are unavailable at multiple epochs, we use: formation models to generate synthetic mass-time series consistent with published accretion rates; observed present-day mass ratios anchored to theoretical formation trajectories. For galactic cases, stellar mass estimates from photometric surveys (2MASS, Gaia) provide mass ratio proxies at multiple epochs reconstructed from orbital models. The G2 cloud event (Sgr A* accretion, Gillessen 2012) provides the only case of real-time black hole accretion observed at multiple epochs.</w:t>
      </w:r>
    </w:p>
    <w:p>
      <w:pPr>
        <w:spacing w:after="80"/>
      </w:pPr>
    </w:p>
    <w:p>
      <w:pPr>
        <w:pBdr>
          <w:bottom w:val="single" w:color="CCCCCC" w:sz="1"/>
        </w:pBdr>
        <w:spacing w:after="80"/>
      </w:pPr>
    </w:p>
    <w:p>
      <w:pPr>
        <w:pageBreakBefore/>
      </w:pPr>
    </w:p>
    <w:p>
      <w:pPr>
        <w:pStyle w:val="Heading1"/>
        <w:spacing w:before="360" w:after="120"/>
      </w:pPr>
      <w:r>
        <w:t xml:space="preserve">3. Results</w:t>
      </w:r>
    </w:p>
    <w:p>
      <w:pPr>
        <w:pStyle w:val="Heading2"/>
        <w:spacing w:before="240" w:after="80"/>
      </w:pPr>
      <w:r>
        <w:t xml:space="preserve">3.1 Planetary formation — b_mean = +1.029</w:t>
      </w:r>
    </w:p>
    <w:p>
      <w:pPr>
        <w:spacing w:after="120"/>
        <w:jc w:val="both"/>
      </w:pPr>
      <w:r>
        <w:rPr>
          <w:sz w:val="24"/>
          <w:szCs w:val="24"/>
        </w:rPr>
        <w:t xml:space="preserve">Planetary formation cases produce b values consistent with competitive exclusion in biology. The most extreme case is Jupiter vs Mars (b=+2.078, p=0.028): Jupiter's gravitational resonances cleared the asteroid belt of material that would otherwise have allowed Mars to grow to 1-2 Earth masses. The observed Martian mass (0.107 M_Earth) represents a case of gravitational satellization — Jupiter extracted resources (asteroid belt material) that would have accreted to Mars. Neptune vs Kuiper Belt (b=+0.688, p=0.004, R²=0.574) documents the clearest example of gravitational competitive exclusion: Neptune dispersed ~99.7% of the original Kuiper Belt mass over 600 Myr. Hot Jupiter statistical exclusion of rocky planets (b=+3.053, p=0.046) — though with negative R² indicating high variance — reflects the well-documented pattern that systems with Hot Jupiters have significantly fewer inner rocky planets (Huang et al. 2016).</w:t>
      </w:r>
    </w:p>
    <w:p>
      <w:pPr>
        <w:spacing w:after="80"/>
      </w:pPr>
    </w:p>
    <w:p>
      <w:pPr>
        <w:pStyle w:val="Heading2"/>
        <w:spacing w:before="240" w:after="80"/>
      </w:pPr>
      <w:r>
        <w:t xml:space="preserve">3.2 Stellar binaries — b_mean = +0.108</w:t>
      </w:r>
    </w:p>
    <w:p>
      <w:pPr>
        <w:spacing w:after="120"/>
        <w:jc w:val="both"/>
      </w:pPr>
      <w:r>
        <w:rPr>
          <w:sz w:val="24"/>
          <w:szCs w:val="24"/>
        </w:rPr>
        <w:t xml:space="preserve">Stellar binary cases produce b≈0, consistent with the mutual interdependence brake. Cataclysmic variables (CV) in equilibrium accretion produce b=+0.058 (n.s.) — the white dwarf extracts mass from its companion at rates that approach steady-state over Gyr timescales. The Sirius system (b=+0.159, n.s.) documents a role reversal: Sirius B was originally the primary (more massive) star, evolved first, transferred mass to Sirius A, and is now the secondary as a white dwarf. This is an astronomical leapfrog — the peripheral node (Sirius A) became dominant through dimensional advantage (main sequence longevity) while the original hub (Sirius B) exhausted its fuel. The OJ287 binary black hole system (b=+0.001, n.s.) — two supermassive black holes in mutual orbit — represents the most extreme mutual interdependence case: neither can accrete the other without disrupting its own orbital stability.</w:t>
      </w:r>
    </w:p>
    <w:p>
      <w:pPr>
        <w:spacing w:after="80"/>
      </w:pPr>
    </w:p>
    <w:p>
      <w:pPr>
        <w:pStyle w:val="Heading2"/>
        <w:spacing w:before="240" w:after="80"/>
      </w:pPr>
      <w:r>
        <w:t xml:space="preserve">3.3 Black hole accretion — b_mean = +0.645</w:t>
      </w:r>
    </w:p>
    <w:p>
      <w:pPr>
        <w:spacing w:after="120"/>
        <w:jc w:val="both"/>
      </w:pPr>
      <w:r>
        <w:rPr>
          <w:sz w:val="24"/>
          <w:szCs w:val="24"/>
        </w:rPr>
        <w:t xml:space="preserve">Black hole accretion cases span the widest range of b values in the astrophysical corpus. The G2 cloud event at Sgr A* (b=+2.838, p=0.045) — observed in real time 2011-2016 — produces the second-highest exponent in the astrophysical corpus and a final mass ratio of 4.15×10¹¹ to 1. TON 618 quasar accretion (b=+6.498, p=0.002) is the highest exponent in the entire 502-case corpus — the quasar grew from ~100 to ~66,000 solar mass units in 2.5 Gyr of active accretion at super-Eddington rates. M87* in RIAF (radiatively inefficient accretion flow) mode produces b=+0.005 (n.s.) — in this mode the black hole accretes at &lt;1% of Eddington rate with minimal net mass gain on observable timescales. The contrast between TON 618 (super-Eddington, b=+6.5) and M87* (RIAF mode, b≈0) illustrates how accretion mode — an astrophysical analogue of institutional friction — determines the exponent b independently of the black hole mass.</w:t>
      </w:r>
    </w:p>
    <w:p>
      <w:pPr>
        <w:spacing w:after="80"/>
      </w:pPr>
    </w:p>
    <w:p>
      <w:pPr>
        <w:pStyle w:val="Heading2"/>
        <w:spacing w:before="240" w:after="80"/>
      </w:pPr>
      <w:r>
        <w:t xml:space="preserve">3.4 Galactic interactions — b_mean = +0.299</w:t>
      </w:r>
    </w:p>
    <w:p>
      <w:pPr>
        <w:spacing w:after="120"/>
        <w:jc w:val="both"/>
      </w:pPr>
      <w:r>
        <w:rPr>
          <w:sz w:val="24"/>
          <w:szCs w:val="24"/>
        </w:rPr>
        <w:t xml:space="preserve">Galactic cases produce intermediate b values with high significance rates (9/12, 75%). The Sagittarius dwarf galaxy disruption (b=+1.989, R²=0.716, p=0.0035) is the cleanest power-law fit in the galactic domain — the Milky Way has extracted ~97% of Sagittarius' original stellar mass over 4-5 orbits in 4.25 Gyr. The tidal stream debris now encircles the entire Milky Way halo (Majewski et al. 2003). M32 (b=−2.336, R²=0.818, p=0.0003) — the compact elliptical satellite of Andromeda — shows the inverse: the ratio M31/M32 grows rapidly because M32 is losing stellar mass to M31's tidal field, while the absolute mass of M31 grows slowly. Fornax dwarf (b=+0.016, R²=0.920, p=0.009) demonstrates high institutional friction in the galactic domain: Fornax has relatively high metallicity and a centrally concentrated dark matter halo that has resisted tidal stripping more effectively than Sagittarius.</w:t>
      </w:r>
    </w:p>
    <w:p>
      <w:pPr>
        <w:spacing w:after="80"/>
      </w:pPr>
    </w:p>
    <w:p>
      <w:pPr>
        <w:pBdr>
          <w:bottom w:val="single" w:color="CCCCCC" w:sz="1"/>
        </w:pBdr>
        <w:spacing w:after="80"/>
      </w:pPr>
    </w:p>
    <w:p>
      <w:pPr>
        <w:pageBreakBefore/>
      </w:pPr>
    </w:p>
    <w:p>
      <w:pPr>
        <w:pStyle w:val="Heading1"/>
        <w:spacing w:before="360" w:after="120"/>
      </w:pPr>
      <w:r>
        <w:t xml:space="preserve">4. Astrophysical Analogues of Institutional Friction</w:t>
      </w:r>
    </w:p>
    <w:p>
      <w:pPr>
        <w:spacing w:after="120"/>
        <w:jc w:val="both"/>
      </w:pPr>
      <w:r>
        <w:rPr>
          <w:sz w:val="24"/>
          <w:szCs w:val="24"/>
        </w:rPr>
        <w:t xml:space="preserve">The most theoretically interesting finding of the astrophysical corpus is that accretion mode — not black hole mass — predicts b. M87* (6.5×10⁹ M_sol) in RIAF mode produces b≈0; TON 618 (6.6×10¹⁰ M_sol, ~10× more massive) in quasar mode produces b=+6.5. The difference is not mass but the efficiency of the accretion disk. RIAF accretion is self-limiting — hot, low-density gas cannot radiate efficiently and the accretion rate self-regulates. Quasar-mode accretion operates at or above the Eddington limit with a geometrically thin, optically thick accretion disk that maximizes mass transfer. We interpret this as an astrophysical analogue of institutional friction: RIAF mode introduces friction into the mass transfer process that self-limits the exponent b, while quasar mode operates without such friction.</w:t>
      </w:r>
    </w:p>
    <w:p>
      <w:pPr>
        <w:spacing w:after="80"/>
      </w:pPr>
    </w:p>
    <w:p>
      <w:pPr>
        <w:spacing w:after="120"/>
        <w:jc w:val="both"/>
      </w:pPr>
      <w:r>
        <w:rPr>
          <w:sz w:val="24"/>
          <w:szCs w:val="24"/>
        </w:rPr>
        <w:t xml:space="preserve">Similarly, the Fornax dwarf's resistance to tidal stripping (b≈0) relative to Sagittarius' rapid disruption (b=+1.989) corresponds to the difference between a node with high 'institutional' resistance (centrally concentrated dark matter halo, high metallicity stars bound more tightly) and one without (extended, diffuse stellar distribution easily stripped by tidal forces). The astrophysical framework provides a physical interpretation of institutional friction as any mechanism that raises the energetic cost of resource extraction for the hub node.</w:t>
      </w:r>
    </w:p>
    <w:p>
      <w:pPr>
        <w:spacing w:after="80"/>
      </w:pPr>
    </w:p>
    <w:p>
      <w:pPr>
        <w:pBdr>
          <w:bottom w:val="single" w:color="CCCCCC" w:sz="1"/>
        </w:pBdr>
        <w:spacing w:after="80"/>
      </w:pPr>
    </w:p>
    <w:p>
      <w:pPr>
        <w:pageBreakBefore/>
      </w:pPr>
    </w:p>
    <w:p>
      <w:pPr>
        <w:pStyle w:val="Heading1"/>
        <w:spacing w:before="360" w:after="120"/>
      </w:pPr>
      <w:r>
        <w:t xml:space="preserve">5. Conclusions</w:t>
      </w:r>
    </w:p>
    <w:p>
      <w:pPr>
        <w:spacing w:after="120"/>
        <w:jc w:val="both"/>
      </w:pPr>
      <w:r>
        <w:rPr>
          <w:sz w:val="24"/>
          <w:szCs w:val="24"/>
        </w:rPr>
        <w:t xml:space="preserve">Gravitational mass dominance dynamics follow the power-law satellization model across planetary, stellar, black hole, and galactic scales. The exponent b ranges from +6.498 (TON 618 quasar accretion) to near-zero (equilibrium stellar binaries, RIAF black holes, tidally resistant dwarf galaxies). Accretion mode — not mass — predicts b in black hole systems, consistent with the institutional friction principle identified in economic and biological domains. The Sagittarius dwarf galaxy provides the cleanest demonstration of gravitational satellization: ~97% mass extraction over 4-5 orbits following the power-law form. These findings suggest that the mathematical structure of node satellization — R(t) = a·t^b — is a genuine scale-invariant property of systems where dominant nodes extract resources from peripheral nodes in critical proximity, operating equivalently from planetary formation timescales to cosmological timescales.</w:t>
      </w:r>
    </w:p>
    <w:p>
      <w:pPr>
        <w:spacing w:after="80"/>
      </w:pPr>
    </w:p>
    <w:p>
      <w:pPr>
        <w:pBdr>
          <w:bottom w:val="single" w:color="CCCCCC" w:sz="1"/>
        </w:pBdr>
        <w:spacing w:after="80"/>
      </w:pPr>
    </w:p>
    <w:p>
      <w:pPr>
        <w:pageBreakBefore/>
      </w:pPr>
    </w:p>
    <w:p>
      <w:pPr>
        <w:pStyle w:val="Heading1"/>
        <w:spacing w:before="360" w:after="120"/>
      </w:pPr>
      <w:r>
        <w:t xml:space="preserve">References</w:t>
      </w:r>
    </w:p>
    <w:p>
      <w:pPr>
        <w:spacing w:after="80"/>
      </w:pPr>
      <w:r>
        <w:rPr>
          <w:sz w:val="20"/>
          <w:szCs w:val="20"/>
        </w:rPr>
        <w:t xml:space="preserve">D'Angelo, G. et al. (2014). Giant planet formation. In Planets, Stars and Stellar Systems. Springer.</w:t>
      </w:r>
    </w:p>
    <w:p>
      <w:pPr>
        <w:spacing w:after="80"/>
      </w:pPr>
    </w:p>
    <w:p>
      <w:pPr>
        <w:spacing w:after="80"/>
      </w:pPr>
      <w:r>
        <w:rPr>
          <w:sz w:val="20"/>
          <w:szCs w:val="20"/>
        </w:rPr>
        <w:t xml:space="preserve">Erkal, D. et al. (2019). Constraining the mass of the LMC. MNRAS, 487(2), 2685-2700.</w:t>
      </w:r>
    </w:p>
    <w:p>
      <w:pPr>
        <w:spacing w:after="80"/>
      </w:pPr>
    </w:p>
    <w:p>
      <w:pPr>
        <w:spacing w:after="80"/>
      </w:pPr>
      <w:r>
        <w:rPr>
          <w:sz w:val="20"/>
          <w:szCs w:val="20"/>
        </w:rPr>
        <w:t xml:space="preserve">Event Horizon Telescope Collaboration (2019). First M87 Event Horizon Telescope Results. ApJL, 875, L1.</w:t>
      </w:r>
    </w:p>
    <w:p>
      <w:pPr>
        <w:spacing w:after="80"/>
      </w:pPr>
    </w:p>
    <w:p>
      <w:pPr>
        <w:spacing w:after="80"/>
      </w:pPr>
      <w:r>
        <w:rPr>
          <w:sz w:val="20"/>
          <w:szCs w:val="20"/>
        </w:rPr>
        <w:t xml:space="preserve">Gillessen, S. et al. (2012). A gas cloud on its way towards Sgr A*. Nature, 481, 51-54.</w:t>
      </w:r>
    </w:p>
    <w:p>
      <w:pPr>
        <w:spacing w:after="80"/>
      </w:pPr>
    </w:p>
    <w:p>
      <w:pPr>
        <w:spacing w:after="80"/>
      </w:pPr>
      <w:r>
        <w:rPr>
          <w:sz w:val="20"/>
          <w:szCs w:val="20"/>
        </w:rPr>
        <w:t xml:space="preserve">Gou, L. et al. (2011). The extreme spin of the black hole in Cygnus X-1. ApJ, 742, 85.</w:t>
      </w:r>
    </w:p>
    <w:p>
      <w:pPr>
        <w:spacing w:after="80"/>
      </w:pPr>
    </w:p>
    <w:p>
      <w:pPr>
        <w:spacing w:after="80"/>
      </w:pPr>
      <w:r>
        <w:rPr>
          <w:sz w:val="20"/>
          <w:szCs w:val="20"/>
        </w:rPr>
        <w:t xml:space="preserve">Helled, R. et al. (2023). The formation of Uranus and Neptune. A&amp;A.</w:t>
      </w:r>
    </w:p>
    <w:p>
      <w:pPr>
        <w:spacing w:after="80"/>
      </w:pPr>
    </w:p>
    <w:p>
      <w:pPr>
        <w:spacing w:after="80"/>
      </w:pPr>
      <w:r>
        <w:rPr>
          <w:sz w:val="20"/>
          <w:szCs w:val="20"/>
        </w:rPr>
        <w:t xml:space="preserve">Holberg, J.B. (2009). Sirius B: A new, more accurate view. The Astronomical Journal, 135(3), 1239-1247.</w:t>
      </w:r>
    </w:p>
    <w:p>
      <w:pPr>
        <w:spacing w:after="80"/>
      </w:pPr>
    </w:p>
    <w:p>
      <w:pPr>
        <w:spacing w:after="80"/>
      </w:pPr>
      <w:r>
        <w:rPr>
          <w:sz w:val="20"/>
          <w:szCs w:val="20"/>
        </w:rPr>
        <w:t xml:space="preserve">Huang, C.X. et al. (2016). Warm Jupiters are less lonely than hot Jupiters. ApJL, 825, L17.</w:t>
      </w:r>
    </w:p>
    <w:p>
      <w:pPr>
        <w:spacing w:after="80"/>
      </w:pPr>
    </w:p>
    <w:p>
      <w:pPr>
        <w:spacing w:after="80"/>
      </w:pPr>
      <w:r>
        <w:rPr>
          <w:sz w:val="20"/>
          <w:szCs w:val="20"/>
        </w:rPr>
        <w:t xml:space="preserve">Law, D.R. &amp; Majewski, S.R. (2010). The Sagittarius Dwarf Galaxy. ApJ, 714(1), 229-254.</w:t>
      </w:r>
    </w:p>
    <w:p>
      <w:pPr>
        <w:spacing w:after="80"/>
      </w:pPr>
    </w:p>
    <w:p>
      <w:pPr>
        <w:spacing w:after="80"/>
      </w:pPr>
      <w:r>
        <w:rPr>
          <w:sz w:val="20"/>
          <w:szCs w:val="20"/>
        </w:rPr>
        <w:t xml:space="preserve">Levison, H.F. et al. (2008). Origin of the structure of the Kuiper belt. Icarus, 196(1), 258-273.</w:t>
      </w:r>
    </w:p>
    <w:p>
      <w:pPr>
        <w:spacing w:after="80"/>
      </w:pPr>
    </w:p>
    <w:p>
      <w:pPr>
        <w:spacing w:after="80"/>
      </w:pPr>
      <w:r>
        <w:rPr>
          <w:sz w:val="20"/>
          <w:szCs w:val="20"/>
        </w:rPr>
        <w:t xml:space="preserve">Majewski, S.R. et al. (2003). A 2MASS View of the Sagittarius Dwarf Galaxy. ApJ, 599(2), 1082-1115.</w:t>
      </w:r>
    </w:p>
    <w:p>
      <w:pPr>
        <w:spacing w:after="80"/>
      </w:pPr>
    </w:p>
    <w:p>
      <w:pPr>
        <w:spacing w:after="80"/>
      </w:pPr>
      <w:r>
        <w:rPr>
          <w:sz w:val="20"/>
          <w:szCs w:val="20"/>
        </w:rPr>
        <w:t xml:space="preserve">Orosz, J.A. et al. (2011). The mass of the black hole in Cygnus X-1. ApJ, 742, 84.</w:t>
      </w:r>
    </w:p>
    <w:p>
      <w:pPr>
        <w:spacing w:after="80"/>
      </w:pPr>
    </w:p>
    <w:p>
      <w:pPr>
        <w:spacing w:after="80"/>
      </w:pPr>
      <w:r>
        <w:rPr>
          <w:sz w:val="20"/>
          <w:szCs w:val="20"/>
        </w:rPr>
        <w:t xml:space="preserve">Patterson, J. (1984). The evolution of cataclysmic and low-mass X-ray binaries. ApJS, 54, 443-493.</w:t>
      </w:r>
    </w:p>
    <w:p>
      <w:pPr>
        <w:spacing w:after="80"/>
      </w:pPr>
    </w:p>
    <w:p>
      <w:pPr>
        <w:spacing w:after="80"/>
      </w:pPr>
      <w:r>
        <w:rPr>
          <w:sz w:val="20"/>
          <w:szCs w:val="20"/>
        </w:rPr>
        <w:t xml:space="preserve">Pollack, J.B. et al. (1996). Formation of the giant planets. Icarus, 124(1), 62-85.</w:t>
      </w:r>
    </w:p>
    <w:p>
      <w:pPr>
        <w:spacing w:after="80"/>
      </w:pPr>
    </w:p>
    <w:p>
      <w:pPr>
        <w:spacing w:after="80"/>
      </w:pPr>
      <w:r>
        <w:rPr>
          <w:sz w:val="20"/>
          <w:szCs w:val="20"/>
        </w:rPr>
        <w:t xml:space="preserve">Simon, J.D. (2019). The faintest dwarf galaxies. ARA&amp;A, 57, 375-415.</w:t>
      </w:r>
    </w:p>
    <w:p>
      <w:pPr>
        <w:spacing w:after="80"/>
      </w:pPr>
    </w:p>
    <w:p>
      <w:pPr>
        <w:spacing w:after="80"/>
      </w:pPr>
      <w:r>
        <w:rPr>
          <w:sz w:val="20"/>
          <w:szCs w:val="20"/>
        </w:rPr>
        <w:t xml:space="preserve">Valtonen, M.J. et al. (2016). OJ287: Deciphering the 'Rosetta Stone' of blazars. ApJL, 819, L37.</w:t>
      </w:r>
    </w:p>
    <w:p>
      <w:pPr>
        <w:spacing w:after="80"/>
      </w:pPr>
    </w:p>
    <w:p>
      <w:pPr>
        <w:spacing w:after="80"/>
      </w:pPr>
      <w:r>
        <w:rPr>
          <w:sz w:val="20"/>
          <w:szCs w:val="20"/>
        </w:rPr>
        <w:t xml:space="preserve">Walsh, P.D. et al. (2003). Catastrophic ape decline in western equatorial Africa. Nature, 422, 611-614.</w:t>
      </w:r>
    </w:p>
    <w:p>
      <w:pPr>
        <w:spacing w:after="80"/>
      </w:pPr>
    </w:p>
    <w:p>
      <w:pPr>
        <w:spacing w:after="80"/>
      </w:pPr>
      <w:r>
        <w:rPr>
          <w:sz w:val="20"/>
          <w:szCs w:val="20"/>
        </w:rPr>
        <w:t xml:space="preserve">Zainos Corona, E. (2026). Shadow Node Theory v2.2 — Replication Package. Zenodo. https://doi.org/10.5281/zenodo.19131327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2026-03-22T17:00:37.304Z</dcterms:created>
  <dcterms:modified xsi:type="dcterms:W3CDTF">2026-03-22T17:00:37.304Z</dcterms:modified>
</cp:coreProperties>
</file>

<file path=docProps/custom.xml><?xml version="1.0" encoding="utf-8"?>
<Properties xmlns="http://schemas.openxmlformats.org/officeDocument/2006/custom-properties" xmlns:vt="http://schemas.openxmlformats.org/officeDocument/2006/docPropsVTypes"/>
</file>