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Satelización de Nodos y Ley de Potencia:</w:t>
      </w:r>
    </w:p>
    <w:p>
      <w:pPr>
        <w:spacing w:after="120"/>
        <w:jc w:val="center"/>
      </w:pPr>
      <w:r>
        <w:rPr>
          <w:b/>
          <w:bCs/>
          <w:sz w:val="28"/>
          <w:szCs w:val="28"/>
        </w:rPr>
        <w:t xml:space="preserve">Evidencia Histórica, Regional y Digital para México</w:t>
      </w:r>
    </w:p>
    <w:p>
      <w:pPr>
        <w:spacing w:after="80"/>
      </w:pPr>
    </w:p>
    <w:p>
      <w:pPr>
        <w:spacing w:after="120"/>
        <w:jc w:val="center"/>
      </w:pPr>
      <w:r>
        <w:rPr>
          <w:b w:val="false"/>
          <w:bCs w:val="false"/>
          <w:sz w:val="24"/>
          <w:szCs w:val="24"/>
        </w:rPr>
        <w:t xml:space="preserve">Elán Zainos Corona</w:t>
      </w:r>
    </w:p>
    <w:p>
      <w:pPr>
        <w:spacing w:after="120"/>
        <w:jc w:val="center"/>
      </w:pPr>
      <w:r>
        <w:rPr>
          <w:b w:val="false"/>
          <w:bCs w:val="false"/>
          <w:sz w:val="22"/>
          <w:szCs w:val="22"/>
        </w:rPr>
        <w:t xml:space="preserve">Fractal Core Research · Tlaxcala, México</w:t>
      </w:r>
    </w:p>
    <w:p>
      <w:pPr>
        <w:spacing w:after="120"/>
        <w:jc w:val="center"/>
      </w:pPr>
      <w:r>
        <w:rPr>
          <w:b w:val="false"/>
          <w:bCs w:val="false"/>
          <w:sz w:val="22"/>
          <w:szCs w:val="22"/>
        </w:rPr>
        <w:t xml:space="preserve">elan.zainos.corona@gmail.com</w:t>
      </w:r>
    </w:p>
    <w:p>
      <w:pPr>
        <w:spacing w:after="120"/>
        <w:jc w:val="center"/>
      </w:pPr>
      <w:r>
        <w:rPr>
          <w:b w:val="false"/>
          <w:bCs w:val="false"/>
          <w:sz w:val="20"/>
          <w:szCs w:val="20"/>
        </w:rPr>
        <w:t xml:space="preserve">DOI: https://doi.org/10.5281/zenodo.19131327</w:t>
      </w:r>
    </w:p>
    <w:p>
      <w:pPr>
        <w:spacing w:after="80"/>
      </w:pPr>
    </w:p>
    <w:p>
      <w:pPr>
        <w:pBdr>
          <w:bottom w:val="single" w:color="CCCCCC" w:sz="1"/>
        </w:pBdr>
        <w:spacing w:after="80"/>
      </w:pPr>
    </w:p>
    <w:p>
      <w:pPr>
        <w:spacing w:after="80"/>
      </w:pPr>
    </w:p>
    <w:p>
      <w:pPr>
        <w:pStyle w:val="Heading1"/>
        <w:spacing w:before="360" w:after="120"/>
      </w:pPr>
      <w:r>
        <w:t xml:space="preserve">Resumen</w:t>
      </w:r>
    </w:p>
    <w:p>
      <w:pPr>
        <w:spacing w:after="100"/>
        <w:ind w:left="720" w:right="720"/>
        <w:jc w:val="both"/>
      </w:pPr>
      <w:r>
        <w:rPr>
          <w:i/>
          <w:iCs/>
          <w:sz w:val="22"/>
          <w:szCs w:val="22"/>
        </w:rPr>
        <w:t xml:space="preserve">Este trabajo presenta la Shadow Node Theory v2.2 (SNT), un modelo formal de satelización de nodos verificado en cuatro dominios históricos y regionales. La hipótesis central postula que cuando dos nodos de poder orbitan en proximidad crítica, el nodo dominante sateliza al periférico mediante un algoritmo cuya dinámica sigue una ley de potencia R(t) = a·t^b invariante a la escala temporal y al sustrato. El trabajo verifica el modelo en cuatro casos históricos (Brujas-Amberes, Toledo-Madrid, Portugal-NW Europa, Tlaxcala-Puebla), una matriz N-cuerpos de 32 entidades federativas mexicanas (b=−0.473, R²=0.838, p&lt;0.001) y un corpus de 230 pares de países del Maddison Project 2023. El hallazgo central es que el modelo binario subestimaba la satelización de Tlaxcala en 9.3× al ignorar la extracción directa hacia la CDMX que concentra el 89.2% del gradiente compuesto. Los triggers abruptos producen satelización significativamente más rápida que los graduales — la fricción institucional es el predictor más importante de la velocidad: dominios sin fricción (biológico b_media=+1.4, planetario b_media=+1.0) producen b&gt;1; dominios con alta fricción (países soberanos b_media=-0.098) producen b~0 (Mann-Whitney p=1.91×10⁻⁵, n=486). El modelo incluye seis criterios de refutabilidad (RC1-RC6) mas el RC8 — freno de interdependencia mutua y un protocolo de diagnóstico de cuatro pasos para aplicación en política regional.</w:t>
      </w:r>
    </w:p>
    <w:p>
      <w:pPr>
        <w:spacing w:after="80"/>
      </w:pPr>
    </w:p>
    <w:p>
      <w:pPr>
        <w:spacing w:after="120"/>
        <w:jc w:val="both"/>
      </w:pPr>
      <w:r>
        <w:rPr>
          <w:sz w:val="24"/>
          <w:szCs w:val="24"/>
        </w:rPr>
        <w:t xml:space="preserve">Palabras clave: satelización, ley de potencia, desigualdad regional, México, sistemas complejos, leapfrog</w:t>
      </w:r>
    </w:p>
    <w:p>
      <w:pPr>
        <w:spacing w:after="120"/>
        <w:jc w:val="both"/>
      </w:pPr>
      <w:r>
        <w:rPr>
          <w:sz w:val="24"/>
          <w:szCs w:val="24"/>
        </w:rPr>
        <w:t xml:space="preserve">Códigos JEL: O18, O11, R11, R12, C22</w:t>
      </w:r>
    </w:p>
    <w:p>
      <w:pPr>
        <w:spacing w:after="80"/>
      </w:pPr>
    </w:p>
    <w:p>
      <w:pPr>
        <w:pBdr>
          <w:bottom w:val="single" w:color="CCCCCC" w:sz="1"/>
        </w:pBdr>
        <w:spacing w:after="80"/>
      </w:pPr>
    </w:p>
    <w:p>
      <w:pPr>
        <w:spacing w:before="160" w:after="60"/>
        <w:jc w:val="center"/>
      </w:pPr>
      <w:r>
        <w:rPr>
          <w:i/>
          <w:iCs/>
          <w:color w:val="555555"/>
          <w:sz w:val="20"/>
          <w:szCs w:val="20"/>
        </w:rPr>
        <w:t xml:space="preserve">“Si te quedas quieto el tiempo suficiente, puedes ver el algoritmo que mueve el universo.”</w:t>
      </w:r>
    </w:p>
    <w:p>
      <w:pPr>
        <w:spacing w:after="240"/>
        <w:jc w:val="center"/>
      </w:pPr>
      <w:r>
        <w:rPr>
          <w:color w:val="888888"/>
          <w:sz w:val="18"/>
          <w:szCs w:val="18"/>
        </w:rPr>
        <w:t xml:space="preserve">— Adaptado de Alan Moore, Watchmen (1986)</w:t>
      </w:r>
    </w:p>
    <w:p>
      <w:pPr>
        <w:pageBreakBefore/>
      </w:pPr>
    </w:p>
    <w:p>
      <w:pPr>
        <w:pStyle w:val="Heading1"/>
        <w:spacing w:before="360" w:after="120"/>
      </w:pPr>
      <w:r>
        <w:t xml:space="preserve">1. Introducción</w:t>
      </w:r>
    </w:p>
    <w:p>
      <w:pPr>
        <w:spacing w:after="120"/>
        <w:jc w:val="both"/>
      </w:pPr>
      <w:r>
        <w:rPr>
          <w:sz w:val="24"/>
          <w:szCs w:val="24"/>
        </w:rPr>
        <w:t xml:space="preserve">La desigualdad regional persistente en México — y en particular el caso de Tlaxcala como una de las entidades más pobres del país a pesar de su ubicación geográfica privilegiada — representa un problema que los modelos convencionales de economía del desarrollo no explican satisfactoriamente. Los modelos de trampa de pobreza (Sachs 2005) atribuyen la persistencia de la pobreza a insuficiencia de capital. Los modelos institucionales (Acemoglu &amp; Robinson 2012) la atribuyen a instituciones extractivas. Ambos enfoques capturan parte del fenómeno pero no formalizan la dinámica de extracción entre nodos específicos dentro de un sistema regional.</w:t>
      </w:r>
    </w:p>
    <w:p>
      <w:pPr>
        <w:spacing w:after="80"/>
      </w:pPr>
    </w:p>
    <w:p>
      <w:pPr>
        <w:spacing w:after="120"/>
        <w:jc w:val="both"/>
      </w:pPr>
      <w:r>
        <w:rPr>
          <w:sz w:val="24"/>
          <w:szCs w:val="24"/>
        </w:rPr>
        <w:t xml:space="preserve">La Shadow Node Theory (SNT) propone un mecanismo distinto: la satelización — el proceso por el cual un nodo con mayor ventaja acumulada extrae la energía productiva residual de un nodo periférico en proximidad crítica — cuya dinámica sigue una ley de potencia invariante a la escala temporal. El hallazgo empírico más importante del modelo es que el modelo binario convencional (que analiza solo el par Tlaxcala-Puebla) subestimaba el gradiente de satelización de Tlaxcala en 9.3× al ignorar que el 89.2% de la extracción fluye directamente hacia la CDMX, no hacia Puebla.</w:t>
      </w:r>
    </w:p>
    <w:p>
      <w:pPr>
        <w:spacing w:after="80"/>
      </w:pPr>
    </w:p>
    <w:p>
      <w:pPr>
        <w:pBdr>
          <w:bottom w:val="single" w:color="CCCCCC" w:sz="1"/>
        </w:pBdr>
        <w:spacing w:after="80"/>
      </w:pPr>
    </w:p>
    <w:p>
      <w:pPr>
        <w:pageBreakBefore/>
      </w:pPr>
    </w:p>
    <w:p>
      <w:pPr>
        <w:pStyle w:val="Heading1"/>
        <w:spacing w:before="360" w:after="120"/>
      </w:pPr>
      <w:r>
        <w:t xml:space="preserve">2. Marco Teórico</w:t>
      </w:r>
    </w:p>
    <w:p>
      <w:pPr>
        <w:pStyle w:val="Heading2"/>
        <w:spacing w:before="240" w:after="80"/>
      </w:pPr>
      <w:r>
        <w:t xml:space="preserve">2.1 La hipótesis de satelización</w:t>
      </w:r>
    </w:p>
    <w:p>
      <w:pPr>
        <w:spacing w:after="120"/>
        <w:jc w:val="both"/>
      </w:pPr>
      <w:r>
        <w:rPr>
          <w:sz w:val="24"/>
          <w:szCs w:val="24"/>
        </w:rPr>
        <w:t xml:space="preserve">Cuando dos nodos orbitan en proximidad crítica dentro del mismo sistema, el ratio de satelización R(t) = producción_hub(t) / producción_nodo_sombra(t) sigue una ley de potencia R(t) = a·t^b donde b &gt; 0 indica satelización activa y b &lt; 0 indica convergencia o leapfrog. El exponente b mide la velocidad del proceso: b &gt; 0.45 corresponde a satelización acelerada asociada a triggers abruptos; 0.1 &lt; b &lt; 0.45 a satelización gradual; b &lt; −0.1 a convergencia o leapfrog.</w:t>
      </w:r>
    </w:p>
    <w:p>
      <w:pPr>
        <w:spacing w:after="80"/>
      </w:pPr>
    </w:p>
    <w:p>
      <w:pPr>
        <w:pStyle w:val="Heading2"/>
        <w:spacing w:before="240" w:after="80"/>
      </w:pPr>
      <w:r>
        <w:t xml:space="preserve">2.2 Tipos de trigger</w:t>
      </w:r>
    </w:p>
    <w:p>
      <w:pPr>
        <w:spacing w:after="120"/>
        <w:jc w:val="both"/>
      </w:pPr>
      <w:r>
        <w:rPr>
          <w:sz w:val="24"/>
          <w:szCs w:val="24"/>
        </w:rPr>
        <w:t xml:space="preserve">Los triggers de satelización se clasifican en tres categorías. Abruptos: eventos datables con efecto inmediato (decreto político, colapso de infraestructura, conquista). Graduales: procesos acumulativos sin evento central identificable. Híbridos: evento datable cuyo efecto depende de la difusión posterior de una tecnología o infraestructura. El corpus de 502 casos verifica que los abruptos producen satelización significativamente más rápida que los graduales (Mann-Whitney U=24,802, p=1.91×10⁻⁵).</w:t>
      </w:r>
    </w:p>
    <w:p>
      <w:pPr>
        <w:spacing w:after="80"/>
      </w:pPr>
    </w:p>
    <w:p>
      <w:pPr>
        <w:pStyle w:val="Heading2"/>
        <w:spacing w:before="240" w:after="80"/>
      </w:pPr>
      <w:r>
        <w:t xml:space="preserve">2.3 Criterios de refutabilidad</w:t>
      </w:r>
    </w:p>
    <w:p>
      <w:pPr>
        <w:spacing w:after="120"/>
        <w:jc w:val="both"/>
      </w:pPr>
      <w:r>
        <w:rPr>
          <w:sz w:val="24"/>
          <w:szCs w:val="24"/>
        </w:rPr>
        <w:t xml:space="preserve">El modelo incluye seis criterios explícitos de refutación (RC1-RC6). El más relevante para el dominio regional es RC6 — Irreversibilidad: el modelo queda refutado si un Nodo Sombra revierte la satelización desde adentro del sistema sin trigger exógeno, con el hub operando normalmente y sin intervención de actores externos. Los casos de Querétaro (b=−0.155, p&lt;0.01) y Nuevo León (b=−0.058, p&lt;0.001) documentan leapfrog exitoso mediante dimensión ortogonal (manufactura aeroespacial y manufactura exportadora respectivamente) — sin refutar RC6 porque ambos requirieron inversión federal y tratados internacionales como triggers exógenos.</w:t>
      </w:r>
    </w:p>
    <w:p>
      <w:pPr>
        <w:spacing w:after="80"/>
      </w:pPr>
    </w:p>
    <w:p>
      <w:pPr>
        <w:pBdr>
          <w:bottom w:val="single" w:color="CCCCCC" w:sz="1"/>
        </w:pBdr>
        <w:spacing w:after="80"/>
      </w:pPr>
    </w:p>
    <w:p>
      <w:pPr>
        <w:pageBreakBefore/>
      </w:pPr>
    </w:p>
    <w:p>
      <w:pPr>
        <w:pStyle w:val="Heading1"/>
        <w:spacing w:before="360" w:after="120"/>
      </w:pPr>
      <w:r>
        <w:t xml:space="preserve">3. Metodología</w:t>
      </w:r>
    </w:p>
    <w:p>
      <w:pPr>
        <w:pStyle w:val="Heading2"/>
        <w:spacing w:before="240" w:after="80"/>
      </w:pPr>
      <w:r>
        <w:t xml:space="preserve">3.1 Diseño general</w:t>
      </w:r>
    </w:p>
    <w:p>
      <w:pPr>
        <w:spacing w:after="120"/>
        <w:jc w:val="both"/>
      </w:pPr>
      <w:r>
        <w:rPr>
          <w:sz w:val="24"/>
          <w:szCs w:val="24"/>
        </w:rPr>
        <w:t xml:space="preserve">El estudio sigue un diseño mixto que combina análisis de casos históricos, modelado matricial N-cuerpos para el sistema regional mexicano, y verificación cruzada con el corpus Maddison 2023. El pipeline analítico unificado construye la serie temporal del ratio de satelización R(t) para cada par de nodos, aplica la transformación log-log, estima los parámetros a y b por mínimos cuadrados ordinarios, y reporta el exponente b, R², y el p-valor de la correlación de Pearson en espacio logarítmico.</w:t>
      </w:r>
    </w:p>
    <w:p>
      <w:pPr>
        <w:spacing w:after="80"/>
      </w:pPr>
    </w:p>
    <w:p>
      <w:pPr>
        <w:pStyle w:val="Heading2"/>
        <w:spacing w:before="240" w:after="80"/>
      </w:pPr>
      <w:r>
        <w:t xml:space="preserve">3.2 Fuentes de datos</w:t>
      </w:r>
    </w:p>
    <w:p>
      <w:pPr>
        <w:spacing w:after="120"/>
        <w:jc w:val="both"/>
      </w:pPr>
      <w:r>
        <w:rPr>
          <w:sz w:val="24"/>
          <w:szCs w:val="24"/>
        </w:rPr>
        <w:t xml:space="preserve">Casos históricos: Bairoch, Batou &amp; Chèvre (1988) para población urbana europea 800-1850; Maddison Project Database 2023 (Bolt &amp; van Zanden 2024) para PIB per cápita. Sistema mexicano: INEGI Sistema de Cuentas Nacionales de México (SCNM) 2022-2023, series de PIB por entidad federativa 1993-2022; estimaciones proxy del Maddison Project para 1940-1993. Corpus de países: Maddison Project Database 2023, 169 países, PIB per cápita 1820-2022.</w:t>
      </w:r>
    </w:p>
    <w:p>
      <w:pPr>
        <w:spacing w:after="80"/>
      </w:pPr>
    </w:p>
    <w:p>
      <w:pPr>
        <w:pBdr>
          <w:bottom w:val="single" w:color="CCCCCC" w:sz="1"/>
        </w:pBdr>
        <w:spacing w:after="80"/>
      </w:pPr>
    </w:p>
    <w:p>
      <w:pPr>
        <w:pageBreakBefore/>
      </w:pPr>
    </w:p>
    <w:p>
      <w:pPr>
        <w:pStyle w:val="Heading1"/>
        <w:spacing w:before="360" w:after="120"/>
      </w:pPr>
      <w:r>
        <w:t xml:space="preserve">4. Resultados — Casos Históricos</w:t>
      </w:r>
    </w:p>
    <w:p>
      <w:pPr>
        <w:pStyle w:val="Heading2"/>
        <w:spacing w:before="240" w:after="80"/>
      </w:pPr>
      <w:r>
        <w:t xml:space="preserve">4.1 Cuatro casos fundacionales</w:t>
      </w:r>
    </w:p>
    <w:p>
      <w:pPr>
        <w:spacing w:after="120"/>
        <w:jc w:val="both"/>
      </w:pPr>
      <w:r>
        <w:rPr>
          <w:sz w:val="24"/>
          <w:szCs w:val="24"/>
        </w:rPr>
        <w:t xml:space="preserve">Los cuatro casos históricos originales establecen la taxonomía de dos velocidades. Brujas→Amberes (b=+0.787, R²=0.987): trigger abrupto — sedimentación del Canal Zwin (~1490). Toledo→Madrid (b=+0.687, R²=0.894): trigger abrupto — decreto de Felipe II (1561). Portugal→NW Europa (b=+0.290, R²=0.550, p&lt;0.01): trigger híbrido — Unión Ibérica (1580) más difusión de rutas atlánticas. Tlaxcala→Puebla (b=+0.184, R²=0.567): trigger gradual — acumulación colonial diferencial.</w:t>
      </w:r>
    </w:p>
    <w:p>
      <w:pPr>
        <w:spacing w:after="80"/>
      </w:pPr>
    </w:p>
    <w:p>
      <w:pPr>
        <w:pStyle w:val="Heading2"/>
        <w:spacing w:before="240" w:after="80"/>
      </w:pPr>
      <w:r>
        <w:t xml:space="preserve">4.2 El gradiente compuesto de Tlaxcala</w:t>
      </w:r>
    </w:p>
    <w:p>
      <w:pPr>
        <w:spacing w:after="120"/>
        <w:jc w:val="both"/>
      </w:pPr>
      <w:r>
        <w:rPr>
          <w:sz w:val="24"/>
          <w:szCs w:val="24"/>
        </w:rPr>
        <w:t xml:space="preserve">El hallazgo más importante del modelo es la subestimación sistemática del modelo binario. El modelo binario medía w_ij(Tlaxcala→Puebla) = 26.2k MXN. La matriz N-cuerpos revela w_ij(Tlaxcala→CDMX, largo alcance) = 216.8k MXN. Gradiente compuesto total: 243.0k MXN. El modelo binario subestimaba la satelización de Tlaxcala en un factor de 9.3×. El 89.2% de la extracción fluye directamente a la CDMX saltando al intermediario Puebla. Cualquier política de desarrollo regional que solo ataque la relación Tlaxcala-Puebla resuelve el 10.8% del problema.</w:t>
      </w:r>
    </w:p>
    <w:p>
      <w:pPr>
        <w:spacing w:after="80"/>
      </w:pPr>
    </w:p>
    <w:p>
      <w:pPr>
        <w:pBdr>
          <w:bottom w:val="single" w:color="CCCCCC" w:sz="1"/>
        </w:pBdr>
        <w:spacing w:after="80"/>
      </w:pPr>
    </w:p>
    <w:p>
      <w:pPr>
        <w:pageBreakBefore/>
      </w:pPr>
    </w:p>
    <w:p>
      <w:pPr>
        <w:pStyle w:val="Heading1"/>
        <w:spacing w:before="360" w:after="120"/>
      </w:pPr>
      <w:r>
        <w:t xml:space="preserve">5. Resultados — Sistema Regional Mexicano</w:t>
      </w:r>
    </w:p>
    <w:p>
      <w:pPr>
        <w:pStyle w:val="Heading2"/>
        <w:spacing w:before="240" w:after="80"/>
      </w:pPr>
      <w:r>
        <w:t xml:space="preserve">5.1 Ley de potencia N-cuerpos</w:t>
      </w:r>
    </w:p>
    <w:p>
      <w:pPr>
        <w:spacing w:after="120"/>
        <w:jc w:val="both"/>
      </w:pPr>
      <w:r>
        <w:rPr>
          <w:sz w:val="24"/>
          <w:szCs w:val="24"/>
        </w:rPr>
        <w:t xml:space="preserve">La verificación con datos INEGI 2022 para las 32 entidades federativas confirma que el sistema sigue preferential attachment: b=−0.473, R²=0.838, p&lt;0.001. La taxonomía de cinco niveles clasifica: Nivel 0 (CDMX, 14.8% PIB), Nivel 1 (9 atractores secundarios, 41.0%), Nivel 2 (8 bypass logísticos, 20.2%), Nivel 3 (11 nodos sombra, 16.8%), Nivel E (3 anomalías exógenas, 4.3%).</w:t>
      </w:r>
    </w:p>
    <w:p>
      <w:pPr>
        <w:spacing w:after="80"/>
      </w:pPr>
    </w:p>
    <w:p>
      <w:pPr>
        <w:pStyle w:val="Heading2"/>
        <w:spacing w:before="240" w:after="80"/>
      </w:pPr>
      <w:r>
        <w:t xml:space="preserve">5.2 Vectorización de trayectorias (1940-2022)</w:t>
      </w:r>
    </w:p>
    <w:p>
      <w:pPr>
        <w:spacing w:after="120"/>
        <w:jc w:val="both"/>
      </w:pPr>
      <w:r>
        <w:rPr>
          <w:sz w:val="24"/>
          <w:szCs w:val="24"/>
        </w:rPr>
        <w:t xml:space="preserve">El análisis de ocho entidades revela dos grupos naturales. Satelización (b&gt;0): Chiapas (b=+0.229, R²=0.839), Oaxaca (+0.176), Guerrero (+0.176), Veracruz (+0.181), Tlaxcala (+0.147), Puebla (+0.116). Convergencia (b&lt;0): Querétaro (b=−0.155, R²=0.782, p&lt;0.01) y Nuevo León (b=−0.058, R²=0.935, p&lt;0.001). Estos dos son los primeros casos documentados de leapfrog exitoso dentro del sistema nacional.</w:t>
      </w:r>
    </w:p>
    <w:p>
      <w:pPr>
        <w:spacing w:after="80"/>
      </w:pPr>
    </w:p>
    <w:p>
      <w:pPr>
        <w:pBdr>
          <w:bottom w:val="single" w:color="CCCCCC" w:sz="1"/>
        </w:pBdr>
        <w:spacing w:after="80"/>
      </w:pPr>
    </w:p>
    <w:p>
      <w:pPr>
        <w:pageBreakBefore/>
      </w:pPr>
    </w:p>
    <w:p>
      <w:pPr>
        <w:pStyle w:val="Heading1"/>
        <w:spacing w:before="360" w:after="120"/>
      </w:pPr>
      <w:r>
        <w:t xml:space="preserve">6. Resultados — Corpus de Países</w:t>
      </w:r>
    </w:p>
    <w:p>
      <w:pPr>
        <w:spacing w:after="120"/>
        <w:jc w:val="both"/>
      </w:pPr>
      <w:r>
        <w:rPr>
          <w:sz w:val="24"/>
          <w:szCs w:val="24"/>
        </w:rPr>
        <w:t xml:space="preserve">La verificación con 230 pares de países del Maddison Project 2023 produce el hallazgo más importante sobre límites del modelo: b_media=−0.098 para el conjunto completo. Los países soberanos no se satelizan definitivamente entre sí a pesar de tener brechas de PIB per cápita de hasta 100×. La soberanía política actúa como mecanismo de freno que impide la satelización definitiva — mecanicamente idéntico al que opera en las relaciones depredador-presa en ecología (b_media=+0.102). Los triggers abruptos producen b_media=+0.552 vs graduales b_media=−0.013 (Mann-Whitney p=1.91×10⁻⁵, n=486 casos en todos los dominios).</w:t>
      </w:r>
    </w:p>
    <w:p>
      <w:pPr>
        <w:spacing w:after="80"/>
      </w:pPr>
    </w:p>
    <w:p>
      <w:pPr>
        <w:pBdr>
          <w:bottom w:val="single" w:color="CCCCCC" w:sz="1"/>
        </w:pBdr>
        <w:spacing w:after="80"/>
      </w:pPr>
    </w:p>
    <w:p>
      <w:pPr>
        <w:pageBreakBefore/>
      </w:pPr>
    </w:p>
    <w:p>
      <w:pPr>
        <w:pStyle w:val="Heading1"/>
        <w:spacing w:before="360" w:after="120"/>
      </w:pPr>
      <w:r>
        <w:t xml:space="preserve">7. Protocolo de Diagnóstico</w:t>
      </w:r>
    </w:p>
    <w:p>
      <w:pPr>
        <w:spacing w:after="120"/>
        <w:jc w:val="both"/>
      </w:pPr>
      <w:r>
        <w:rPr>
          <w:sz w:val="24"/>
          <w:szCs w:val="24"/>
        </w:rPr>
        <w:t xml:space="preserve">El modelo es prescriptivo además de descriptivo. Cuatro pasos para aplicación en cualquier sistema real con datos estructurados. Paso 1: clasificar el nivel del nodo verificando si la distribución sigue ley de potencia (R²&gt;0.7, p&lt;0.05). Paso 2: calcular el gradiente compuesto — el error más común es medir solo el gradiente hacia el hub inmediato. El caso Tlaxcala muestra que el gradiente de largo alcance puede ser 9.3× mayor. Paso 3: estimar el horizonte de sucesos con la trayectoria histórica. Paso 4: identificar la dimensión ortogonal donde el hub no ha invertido en 5-10 años y el nodo tiene ventaja inicial medible.</w:t>
      </w:r>
    </w:p>
    <w:p>
      <w:pPr>
        <w:spacing w:after="80"/>
      </w:pPr>
    </w:p>
    <w:p>
      <w:pPr>
        <w:pBdr>
          <w:bottom w:val="single" w:color="CCCCCC" w:sz="1"/>
        </w:pBdr>
        <w:spacing w:after="80"/>
      </w:pPr>
    </w:p>
    <w:p>
      <w:pPr>
        <w:pageBreakBefore/>
      </w:pPr>
    </w:p>
    <w:p>
      <w:pPr>
        <w:pStyle w:val="Heading1"/>
        <w:spacing w:before="360" w:after="120"/>
      </w:pPr>
      <w:r>
        <w:t xml:space="preserve">8. Limitaciones</w:t>
      </w:r>
    </w:p>
    <w:p>
      <w:pPr>
        <w:spacing w:after="120"/>
        <w:jc w:val="both"/>
      </w:pPr>
      <w:r>
        <w:rPr>
          <w:sz w:val="24"/>
          <w:szCs w:val="24"/>
        </w:rPr>
        <w:t xml:space="preserve">Las limitaciones del corpus empírico incluyen: incertidumbre de ±20% en datos pre-1820, N pequeño en casos históricos (4 casos fundacionales), bajo R² en el caso Portugal (0.123 — oscilación por perturbaciones exógenas), posible causalidad inversa en el caso digital. Las series de PIB estatal 1940-1993 son estimaciones proxy construidas con el Maddison Project, no datos directos del INEGI. El Modelo de Triple Resolución (Micro/Meso/Macro) tiene operacionalización parcial — los módulos Micro y Macro requieren validación empírica independiente.</w:t>
      </w:r>
    </w:p>
    <w:p>
      <w:pPr>
        <w:spacing w:after="80"/>
      </w:pPr>
    </w:p>
    <w:p>
      <w:pPr>
        <w:pBdr>
          <w:bottom w:val="single" w:color="CCCCCC" w:sz="1"/>
        </w:pBdr>
        <w:spacing w:after="80"/>
      </w:pPr>
    </w:p>
    <w:p>
      <w:pPr>
        <w:pageBreakBefore/>
      </w:pPr>
    </w:p>
    <w:p>
      <w:pPr>
        <w:pStyle w:val="Heading1"/>
        <w:spacing w:before="360" w:after="120"/>
      </w:pPr>
      <w:r>
        <w:t xml:space="preserve">9. Conclusiones</w:t>
      </w:r>
    </w:p>
    <w:p>
      <w:pPr>
        <w:spacing w:after="120"/>
        <w:jc w:val="both"/>
      </w:pPr>
      <w:r>
        <w:rPr>
          <w:sz w:val="24"/>
          <w:szCs w:val="24"/>
        </w:rPr>
        <w:t xml:space="preserve">La Shadow Node Theory v2.2 demuestra que la satelización regional sigue una ley de potencia verificable con datos INEGI. El modelo binario subestimaba la satelización de Tlaxcala en 9.3×. Los primeros casos de leapfrog exitoso dentro del sistema nacional están documentados: Querétaro y Nuevo León mediante dimensión ortogonal. El corpus de 230 pares de países confirma que la soberanía política es un mecanismo de freno de la satelización tan efectivo como la interdependencia ecológica. La implicación más importante no es teórica sino práctica: el 89.2% del problema de Tlaxcala no está en su relación con Puebla sino en su relación con la CDMX, y cualquier estrategia de desarrollo regional que ignore esa asimetría resuelve solo una fracción marginal del problema.</w:t>
      </w:r>
    </w:p>
    <w:p>
      <w:pPr>
        <w:spacing w:after="80"/>
      </w:pPr>
    </w:p>
    <w:p>
      <w:pPr>
        <w:spacing w:before="100" w:after="100"/>
        <w:ind w:left="720" w:right="720"/>
        <w:jc w:val="both"/>
      </w:pPr>
      <w:r>
        <w:rPr>
          <w:i/>
          <w:iCs/>
          <w:sz w:val="22"/>
          <w:szCs w:val="22"/>
        </w:rPr>
        <w:t xml:space="preserve">"El algoritmo de satelización es predecible. Lo que es predecible puede ser intervenido."</w:t>
      </w:r>
    </w:p>
    <w:p>
      <w:pPr>
        <w:spacing w:after="80"/>
      </w:pPr>
    </w:p>
    <w:p>
      <w:pPr>
        <w:pBdr>
          <w:bottom w:val="single" w:color="CCCCCC" w:sz="1"/>
        </w:pBdr>
        <w:spacing w:after="80"/>
      </w:pPr>
    </w:p>
    <w:p>
      <w:pPr>
        <w:pageBreakBefore/>
      </w:pPr>
    </w:p>
    <w:p>
      <w:pPr>
        <w:pStyle w:val="Heading1"/>
        <w:spacing w:before="360" w:after="120"/>
      </w:pPr>
      <w:r>
        <w:t xml:space="preserve">Referencias</w:t>
      </w:r>
    </w:p>
    <w:p>
      <w:pPr>
        <w:spacing w:after="80"/>
      </w:pPr>
      <w:r>
        <w:rPr>
          <w:sz w:val="20"/>
          <w:szCs w:val="20"/>
        </w:rPr>
        <w:t xml:space="preserve">Acemoglu, D. &amp; Robinson, J.A. (2012). Why Nations Fail. Crown Publishers.</w:t>
      </w:r>
    </w:p>
    <w:p>
      <w:pPr>
        <w:spacing w:after="80"/>
      </w:pPr>
    </w:p>
    <w:p>
      <w:pPr>
        <w:spacing w:after="80"/>
      </w:pPr>
      <w:r>
        <w:rPr>
          <w:sz w:val="20"/>
          <w:szCs w:val="20"/>
        </w:rPr>
        <w:t xml:space="preserve">Barabási, A.L. &amp; Albert, R. (1999). Emergence of scaling in random networks. Science, 286(5439), 509-512.</w:t>
      </w:r>
    </w:p>
    <w:p>
      <w:pPr>
        <w:spacing w:after="80"/>
      </w:pPr>
    </w:p>
    <w:p>
      <w:pPr>
        <w:spacing w:after="80"/>
      </w:pPr>
      <w:r>
        <w:rPr>
          <w:sz w:val="20"/>
          <w:szCs w:val="20"/>
        </w:rPr>
        <w:t xml:space="preserve">Bolt, J. &amp; van Zanden, J.L. (2024). Maddison Project Database 2023. University of Groningen. https://www.rug.nl/ggdc/historicaldevelopment/maddison/</w:t>
      </w:r>
    </w:p>
    <w:p>
      <w:pPr>
        <w:spacing w:after="80"/>
      </w:pPr>
    </w:p>
    <w:p>
      <w:pPr>
        <w:spacing w:after="80"/>
      </w:pPr>
      <w:r>
        <w:rPr>
          <w:sz w:val="20"/>
          <w:szCs w:val="20"/>
        </w:rPr>
        <w:t xml:space="preserve">Brezis, E.S. &amp; Krugman, P.R. (1993). Leapfrogging in international competition. American Economic Review, 83(5), 1211-1219.</w:t>
      </w:r>
    </w:p>
    <w:p>
      <w:pPr>
        <w:spacing w:after="80"/>
      </w:pPr>
    </w:p>
    <w:p>
      <w:pPr>
        <w:spacing w:after="80"/>
      </w:pPr>
      <w:r>
        <w:rPr>
          <w:sz w:val="20"/>
          <w:szCs w:val="20"/>
        </w:rPr>
        <w:t xml:space="preserve">Holland, J.H. (1995). Hidden Order: How Adaptation Builds Complexity. Addison-Wesley.</w:t>
      </w:r>
    </w:p>
    <w:p>
      <w:pPr>
        <w:spacing w:after="80"/>
      </w:pPr>
    </w:p>
    <w:p>
      <w:pPr>
        <w:spacing w:after="80"/>
      </w:pPr>
      <w:r>
        <w:rPr>
          <w:sz w:val="20"/>
          <w:szCs w:val="20"/>
        </w:rPr>
        <w:t xml:space="preserve">INEGI (2022). PIB per cápita por entidad federativa. Sistema de Cuentas Nacionales de México. https://www.inegi.org.mx/temas/pib/</w:t>
      </w:r>
    </w:p>
    <w:p>
      <w:pPr>
        <w:spacing w:after="80"/>
      </w:pPr>
    </w:p>
    <w:p>
      <w:pPr>
        <w:spacing w:after="80"/>
      </w:pPr>
      <w:r>
        <w:rPr>
          <w:sz w:val="20"/>
          <w:szCs w:val="20"/>
        </w:rPr>
        <w:t xml:space="preserve">Sachs, J. (2005). The End of Poverty. Penguin Press.</w:t>
      </w:r>
    </w:p>
    <w:p>
      <w:pPr>
        <w:spacing w:after="80"/>
      </w:pPr>
    </w:p>
    <w:p>
      <w:pPr>
        <w:spacing w:after="80"/>
      </w:pPr>
      <w:r>
        <w:rPr>
          <w:sz w:val="20"/>
          <w:szCs w:val="20"/>
        </w:rPr>
        <w:t xml:space="preserve">Watts, D.J. &amp; Strogatz, S.H. (1998). Collective dynamics of small-world networks. Nature, 393(6684), 440-442.</w:t>
      </w:r>
    </w:p>
    <w:p>
      <w:pPr>
        <w:spacing w:after="80"/>
      </w:pPr>
    </w:p>
    <w:p>
      <w:pPr>
        <w:spacing w:after="80"/>
      </w:pPr>
      <w:r>
        <w:rPr>
          <w:sz w:val="20"/>
          <w:szCs w:val="20"/>
        </w:rPr>
        <w:t xml:space="preserve">Zainos Corona, E. (2026). Shadow Node Theory — Replication Package v2.2. Zenodo. https://doi.org/10.5281/zenodo.19131327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2026-03-22T17:00:37.273Z</dcterms:created>
  <dcterms:modified xsi:type="dcterms:W3CDTF">2026-03-22T17:00:37.275Z</dcterms:modified>
</cp:coreProperties>
</file>

<file path=docProps/custom.xml><?xml version="1.0" encoding="utf-8"?>
<Properties xmlns="http://schemas.openxmlformats.org/officeDocument/2006/custom-properties" xmlns:vt="http://schemas.openxmlformats.org/officeDocument/2006/docPropsVTypes"/>
</file>