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jc w:val="center"/>
      </w:pPr>
      <w:r>
        <w:rPr>
          <w:b/>
          <w:bCs/>
          <w:sz w:val="40"/>
          <w:szCs w:val="40"/>
        </w:rPr>
        <w:t xml:space="preserve">Shadow Node Theory v2.2:</w:t>
      </w:r>
    </w:p>
    <w:p>
      <w:pPr>
        <w:spacing w:after="240"/>
        <w:jc w:val="center"/>
      </w:pPr>
      <w:r>
        <w:rPr>
          <w:b/>
          <w:bCs/>
          <w:sz w:val="36"/>
          <w:szCs w:val="36"/>
        </w:rPr>
        <w:t xml:space="preserve">Scale Invariance in the Node Satellization Algorithm</w:t>
      </w:r>
    </w:p>
    <w:p>
      <w:pPr>
        <w:spacing w:after="480"/>
        <w:jc w:val="center"/>
      </w:pPr>
      <w:r>
        <w:rPr>
          <w:i/>
          <w:iCs/>
          <w:sz w:val="28"/>
          <w:szCs w:val="28"/>
        </w:rPr>
        <w:t xml:space="preserve">Empirical Verification Across 57 Cases, Four Domains, and Fourteen Centuries</w:t>
      </w:r>
    </w:p>
    <w:p>
      <w:pPr>
        <w:spacing w:after="160"/>
        <w:jc w:val="center"/>
      </w:pPr>
      <w:r>
        <w:rPr>
          <w:b/>
          <w:bCs/>
          <w:sz w:val="26"/>
          <w:szCs w:val="26"/>
        </w:rPr>
        <w:t xml:space="preserve">Elán Zainos Corona</w:t>
      </w:r>
    </w:p>
    <w:p>
      <w:pPr>
        <w:spacing w:after="80"/>
        <w:jc w:val="center"/>
      </w:pPr>
      <w:r>
        <w:rPr>
          <w:sz w:val="22"/>
          <w:szCs w:val="22"/>
        </w:rPr>
        <w:t xml:space="preserve">Fractal Core Research · Tlaxcala, Mexico</w:t>
      </w:r>
    </w:p>
    <w:p>
      <w:pPr>
        <w:spacing w:after="80"/>
        <w:jc w:val="center"/>
      </w:pPr>
      <w:r>
        <w:rPr>
          <w:sz w:val="22"/>
          <w:szCs w:val="22"/>
        </w:rPr>
        <w:t xml:space="preserve">elan.zainos.corona@gmail.com</w:t>
      </w:r>
    </w:p>
    <w:p>
      <w:pPr>
        <w:spacing w:after="480"/>
        <w:jc w:val="center"/>
      </w:pPr>
      <w:r>
        <w:rPr>
          <w:sz w:val="22"/>
          <w:szCs w:val="22"/>
        </w:rPr>
        <w:t xml:space="preserve">March 2026</w:t>
      </w:r>
    </w:p>
    <w:p>
      <w:pPr>
        <w:spacing w:after="80"/>
        <w:jc w:val="center"/>
      </w:pPr>
      <w:r>
        <w:rPr>
          <w:color w:val="1155CC"/>
          <w:sz w:val="20"/>
          <w:szCs w:val="20"/>
        </w:rPr>
        <w:t xml:space="preserve">DOI: https://doi.org/10.5281/zenodo.19131327</w:t>
      </w:r>
    </w:p>
    <w:p>
      <w:pPr>
        <w:spacing w:after="80"/>
        <w:jc w:val="center"/>
      </w:pPr>
      <w:r>
        <w:rPr>
          <w:color w:val="1155CC"/>
          <w:sz w:val="20"/>
          <w:szCs w:val="20"/>
        </w:rPr>
        <w:t xml:space="preserve">SSRN: https://ssrn.com/abstract=6418778</w:t>
      </w:r>
    </w:p>
    <w:p>
      <w:pPr>
        <w:spacing w:after="80"/>
        <w:jc w:val="center"/>
      </w:pPr>
      <w:r>
        <w:rPr>
          <w:color w:val="1155CC"/>
          <w:sz w:val="20"/>
          <w:szCs w:val="20"/>
        </w:rPr>
        <w:t xml:space="preserve">GitHub: https://github.com/Inzainos/The-shadow-Node-Theory</w:t>
      </w:r>
    </w:p>
    <w:p>
      <w:pPr>
        <w:spacing w:before="240" w:after="200"/>
        <w:jc w:val="center"/>
      </w:pPr>
      <w:r>
        <w:rPr>
          <w:i/>
          <w:iCs/>
          <w:color w:val="AAAAAA"/>
          <w:sz w:val="18"/>
          <w:szCs w:val="18"/>
        </w:rPr>
        <w:t xml:space="preserve">Pre-print — not peer reviewed. Data and methodology available for review.</w:t>
      </w:r>
    </w:p>
    <w:p>
      <w:pPr>
        <w:pageBreakBefore/>
      </w:pPr>
    </w:p>
    <w:p>
      <w:pPr>
        <w:spacing w:before="200" w:after="80"/>
        <w:jc w:val="center"/>
      </w:pPr>
      <w:r>
        <w:rPr>
          <w:i/>
          <w:iCs/>
          <w:color w:val="555555"/>
          <w:sz w:val="22"/>
          <w:szCs w:val="22"/>
        </w:rPr>
        <w:t xml:space="preserve">“If you remain still long enough,</w:t>
      </w:r>
    </w:p>
    <w:p>
      <w:pPr>
        <w:spacing w:after="80"/>
        <w:jc w:val="center"/>
      </w:pPr>
      <w:r>
        <w:rPr>
          <w:i/>
          <w:iCs/>
          <w:color w:val="555555"/>
          <w:sz w:val="22"/>
          <w:szCs w:val="22"/>
        </w:rPr>
        <w:t xml:space="preserve">you can see the algorithm that moves the universe.”</w:t>
      </w:r>
    </w:p>
    <w:p>
      <w:pPr>
        <w:spacing w:after="400"/>
        <w:jc w:val="center"/>
      </w:pPr>
      <w:r>
        <w:rPr>
          <w:color w:val="888888"/>
          <w:sz w:val="20"/>
          <w:szCs w:val="20"/>
        </w:rPr>
        <w:t xml:space="preserve">— Adapted from Alan Moore, Watchmen (1986)</w:t>
      </w:r>
    </w:p>
    <w:p>
      <w:pPr>
        <w:pageBreakBefore/>
      </w:pPr>
    </w:p>
    <w:p>
      <w:pPr>
        <w:pStyle w:val="Heading1"/>
        <w:spacing w:before="360" w:after="120"/>
      </w:pPr>
      <w:r>
        <w:t xml:space="preserve">Abstract</w:t>
      </w:r>
    </w:p>
    <w:p>
      <w:pPr>
        <w:spacing w:after="100"/>
        <w:ind w:left="720" w:right="720"/>
        <w:jc w:val="both"/>
      </w:pPr>
      <w:r>
        <w:rPr>
          <w:i/>
          <w:iCs/>
          <w:sz w:val="22"/>
          <w:szCs w:val="22"/>
        </w:rPr>
        <w:t xml:space="preserve">This paper presents Shadow Node Theory v2.2 (SNT v2.2), a formal model of node satellization across three scales of systemic resolution — Micro (Atomic Node / individual), Meso (intra-national Fungal Network), and Macro (superorganism collision between nations). The central hypothesis holds that when two power nodes orbit in critical proximity, the node with greater accumulated advantage satellizes the historically dominant node through an algorithm whose dynamics follow a power law that is invariant to temporal scale and substrate.</w:t>
      </w:r>
    </w:p>
    <w:p>
      <w:pPr>
        <w:spacing w:after="80"/>
      </w:pPr>
    </w:p>
    <w:p>
      <w:pPr>
        <w:spacing w:after="100"/>
        <w:ind w:left="720" w:right="720"/>
        <w:jc w:val="both"/>
      </w:pPr>
      <w:r>
        <w:rPr>
          <w:i/>
          <w:iCs/>
          <w:sz w:val="22"/>
          <w:szCs w:val="22"/>
        </w:rPr>
        <w:t xml:space="preserve">SNT v2.2 delivers four empirical contributions: (1) formalization of the Triple-Resolution Model establishing distinct applicability conditions across scales; (2) N-body matrix verification with Mexican INEGI data (32 entities, power law b=−0.473, R²=0.838, p&lt;0.001), revealing that the binary model underestimated Tlaxcala's satellization gradient by 9.3×; (3) a corpus of 57 cases across four domains — historical cities (n=16), country pairs (n=17), intra-national regions (n=15), and digital ecosystems (n=9) — spanning 14 centuries; and (4) operationalization of the Atomic Sovereignty Index (ASI) using behavioral data from 4,774 users (HackerEarth 2026 dataset), achieving precision=1.0 with zero false positives.</w:t>
      </w:r>
    </w:p>
    <w:p>
      <w:pPr>
        <w:spacing w:after="80"/>
      </w:pPr>
    </w:p>
    <w:p>
      <w:pPr>
        <w:spacing w:after="100"/>
        <w:ind w:left="720" w:right="720"/>
        <w:jc w:val="both"/>
      </w:pPr>
      <w:r>
        <w:rPr>
          <w:i/>
          <w:iCs/>
          <w:sz w:val="22"/>
          <w:szCs w:val="22"/>
        </w:rPr>
        <w:t xml:space="preserve">The extended corpus produces three novel findings absent from prior literature: (i) hybrid triggers — datable institutional events whose effect depends on subsequent technology diffusion — produce faster satellization than purely abrupt triggers (Mann-Whitney U=167.0, p=0.0098); (ii) digital ecosystems (Domain D) operate at satellization velocities 5.4× higher than any historical domain (Kruskal-Wallis H=17.735, p=0.0005); and (iii) partial domain invariance is confirmed — the power-law mechanism is universal across historical domains but velocity parameters differ by resource mobility. The model is accompanied by six falsifiability criteria (RC1–RC6) and a four-step diagnostic protocol for real-world application.</w:t>
      </w:r>
    </w:p>
    <w:p>
      <w:pPr>
        <w:spacing w:after="80"/>
      </w:pPr>
    </w:p>
    <w:p>
      <w:pPr>
        <w:spacing w:after="100"/>
        <w:ind w:left="720" w:right="720"/>
        <w:jc w:val="both"/>
      </w:pPr>
      <w:r>
        <w:rPr>
          <w:i/>
          <w:iCs/>
          <w:sz w:val="22"/>
          <w:szCs w:val="22"/>
        </w:rPr>
        <w:t xml:space="preserve">Keywords: complex systems, power law, satellization, leapfrog, development economics, regional inequality, Tlaxcala, Mexico, network theory, cognitive sovereignty.</w:t>
      </w:r>
    </w:p>
    <w:p>
      <w:pPr>
        <w:spacing w:after="80"/>
      </w:pPr>
    </w:p>
    <w:p>
      <w:pPr>
        <w:pBdr>
          <w:bottom w:val="single" w:color="CCCCCC" w:sz="1"/>
        </w:pBdr>
        <w:spacing w:after="80"/>
      </w:pPr>
    </w:p>
    <w:p>
      <w:pPr>
        <w:pageBreakBefore/>
      </w:pPr>
    </w:p>
    <w:p>
      <w:pPr>
        <w:pStyle w:val="Heading1"/>
        <w:spacing w:before="360" w:after="120"/>
      </w:pPr>
      <w:r>
        <w:t xml:space="preserve">1. Introduction</w:t>
      </w:r>
    </w:p>
    <w:p>
      <w:pPr>
        <w:pStyle w:val="Heading2"/>
        <w:spacing w:before="240" w:after="80"/>
      </w:pPr>
      <w:r>
        <w:t xml:space="preserve">1.1 The Scale Invariance Problem</w:t>
      </w:r>
    </w:p>
    <w:p>
      <w:pPr>
        <w:spacing w:after="120"/>
        <w:jc w:val="both"/>
      </w:pPr>
      <w:r>
        <w:rPr>
          <w:sz w:val="24"/>
          <w:szCs w:val="24"/>
        </w:rPr>
        <w:t xml:space="preserve">Why do some regions remain poor despite decades of policy intervention? Why do some nations converge toward global leaders while others diverge irreversibly? These questions share a structural feature that aggregate models consistently fail to capture: the dynamics of resource extraction between proximate nodes operating at different hierarchical levels. Standard development economics models the poverty trap as a problem of insufficient capital accumulation. The Shadow Node Theory proposes a different mechanism: satellization — the progressive extraction of productive residual energy from a peripheral node by a dominant hub — whose dynamics follow a power law invariant to temporal scale and substrate.</w:t>
      </w:r>
    </w:p>
    <w:p>
      <w:pPr>
        <w:spacing w:after="80"/>
      </w:pPr>
    </w:p>
    <w:p>
      <w:pPr>
        <w:pStyle w:val="Heading2"/>
        <w:spacing w:before="240" w:after="80"/>
      </w:pPr>
      <w:r>
        <w:t xml:space="preserve">1.2 Theoretical Background</w:t>
      </w:r>
    </w:p>
    <w:p>
      <w:pPr>
        <w:spacing w:after="120"/>
        <w:jc w:val="both"/>
      </w:pPr>
      <w:r>
        <w:rPr>
          <w:sz w:val="24"/>
          <w:szCs w:val="24"/>
        </w:rPr>
        <w:t xml:space="preserve">The preferential attachment mechanism (Barabási &amp; Albert, 1999) establishes that scale-free networks emerge inevitably when new connections form with probability proportional to existing degree. The SNT formalizes the directional flow of resources within such networks, quantifying the rate of divergence between hub and shadow node through the power-law exponent b. Leapfrogging theory (Brezis &amp; Krugman, 1993) identifies conditions under which a peripheral node can bypass a dominant one through orthogonal-dimension investment. The SNT extends this to three scales and formalizes the failure conditions that the original model left undeveloped.</w:t>
      </w:r>
    </w:p>
    <w:p>
      <w:pPr>
        <w:spacing w:after="80"/>
      </w:pPr>
    </w:p>
    <w:p>
      <w:pPr>
        <w:pStyle w:val="Heading2"/>
        <w:spacing w:before="240" w:after="80"/>
      </w:pPr>
      <w:r>
        <w:t xml:space="preserve">1.3 The Gap in the Literature</w:t>
      </w:r>
    </w:p>
    <w:p>
      <w:pPr>
        <w:spacing w:after="120"/>
        <w:jc w:val="both"/>
      </w:pPr>
      <w:r>
        <w:rPr>
          <w:sz w:val="24"/>
          <w:szCs w:val="24"/>
        </w:rPr>
        <w:t xml:space="preserve">Three gaps motivate this work. First, no existing model quantifies satellization dynamics across historical cities, nation-states, intra-national regions, and digital platforms within a unified formal framework. Second, the trigger taxonomy in leapfrogging theory collapses abrupt and hybrid events into a single category, missing the empirical finding that hybrid triggers — institutional events followed by technology diffusion — produce systematically faster satellization than purely abrupt ones. Third, no operational index of cognitive sovereignty exists for the Atomic Node (individual) that can be computed from observable behavioral data without self-report.</w:t>
      </w:r>
    </w:p>
    <w:p>
      <w:pPr>
        <w:spacing w:after="80"/>
      </w:pPr>
    </w:p>
    <w:p>
      <w:pPr>
        <w:pBdr>
          <w:bottom w:val="single" w:color="CCCCCC" w:sz="1"/>
        </w:pBdr>
        <w:spacing w:after="80"/>
      </w:pPr>
    </w:p>
    <w:p>
      <w:pPr>
        <w:pageBreakBefore/>
      </w:pPr>
    </w:p>
    <w:p>
      <w:pPr>
        <w:pStyle w:val="Heading1"/>
        <w:spacing w:before="360" w:after="120"/>
      </w:pPr>
      <w:r>
        <w:t xml:space="preserve">2. Formal Theoretical Framework</w:t>
      </w:r>
    </w:p>
    <w:p>
      <w:pPr>
        <w:pStyle w:val="Heading2"/>
        <w:spacing w:before="240" w:after="80"/>
      </w:pPr>
      <w:r>
        <w:t xml:space="preserve">2.1 Definitions</w:t>
      </w:r>
    </w:p>
    <w:p>
      <w:pPr>
        <w:spacing w:after="120"/>
        <w:jc w:val="both"/>
      </w:pPr>
      <w:r>
        <w:rPr>
          <w:sz w:val="24"/>
          <w:szCs w:val="24"/>
        </w:rPr>
        <w:t xml:space="preserve">A Shadow Node (or Peripheral Node) is any system component whose productive output is systematically extracted by a dominant hub over time, resulting in progressive divergence of productive capacity. A Hub Node is the dominant component that absorbs the residual productive energy of shadow nodes, increasing its own mass gravitational advantage. Critical Proximity is the spatial, institutional, or digital proximity threshold below which the hub can extract resources at rates exceeding the shadow node's regeneration capacity.</w:t>
      </w:r>
    </w:p>
    <w:p>
      <w:pPr>
        <w:spacing w:after="80"/>
      </w:pPr>
    </w:p>
    <w:p>
      <w:pPr>
        <w:spacing w:after="120"/>
        <w:jc w:val="both"/>
      </w:pPr>
      <w:r>
        <w:rPr>
          <w:sz w:val="24"/>
          <w:szCs w:val="24"/>
        </w:rPr>
        <w:t xml:space="preserve">The satellization ratio R(t) = production_hub(t) / production_shadow(t) is the central observable of the model. When R(t) follows a power law R(t) = a·t^b with b &gt; 0, satellization is active. When b &lt; 0, convergence or leapfrog is occurring. The exponent b is the velocity parameter: b &gt; 0.45 indicates accelerated satellization (abrupt trigger class); 0.1 &lt; b &lt; 0.45 indicates gradual satellization; −0.1 &lt; b &lt; 0.1 indicates approximate steady state; b &lt; −0.1 indicates convergence or leapfrog.</w:t>
      </w:r>
    </w:p>
    <w:p>
      <w:pPr>
        <w:spacing w:after="80"/>
      </w:pPr>
    </w:p>
    <w:p>
      <w:pPr>
        <w:pStyle w:val="Heading2"/>
        <w:spacing w:before="240" w:after="80"/>
      </w:pPr>
      <w:r>
        <w:t xml:space="preserve">2.2 Central Hypothesis</w:t>
      </w:r>
    </w:p>
    <w:p>
      <w:pPr>
        <w:spacing w:after="120"/>
        <w:jc w:val="both"/>
      </w:pPr>
      <w:r>
        <w:rPr>
          <w:sz w:val="24"/>
          <w:szCs w:val="24"/>
        </w:rPr>
        <w:t xml:space="preserve">When two nodes orbit in critical proximity within the same system, the satellization ratio R(t) = production_hub(t) / production_shadow(t) follows a power law R(t) = a·t^b where b &gt; 0 represents the satellization velocity and t is elapsed time since the trigger event. This relationship is invariant to: (a) temporal scale — it holds from medieval city-pairs to digital platform rivalries; (b) production substrate — it holds for population, GDP per capita, behavioral event counts, and market share; and (c) system level — it holds for individuals, cities, regions, nations, and digital ecosystems.</w:t>
      </w:r>
    </w:p>
    <w:p>
      <w:pPr>
        <w:spacing w:after="80"/>
      </w:pPr>
    </w:p>
    <w:p>
      <w:pPr>
        <w:pStyle w:val="Heading2"/>
        <w:spacing w:before="240" w:after="80"/>
      </w:pPr>
      <w:r>
        <w:t xml:space="preserve">2.3 Falsifiability Criteria</w:t>
      </w:r>
    </w:p>
    <w:p>
      <w:pPr>
        <w:spacing w:after="120"/>
        <w:jc w:val="both"/>
      </w:pPr>
      <w:r>
        <w:rPr>
          <w:sz w:val="24"/>
          <w:szCs w:val="24"/>
        </w:rPr>
        <w:t xml:space="preserve">RC1 — Scalar Velocity: falsified if a technology is systematically adopted faster by institutions than by individuals (RC1a), or if a technology emerges without individual access that inverts the TC_micro &lt; TC_meso &lt; TC_macro hierarchy (RC1b). RC2 — Immune Response: falsified if hubs systematically adapt toward peripheral node capabilities rather than suppress them. RC3 — Qualitative Inextractability: falsified if a hub systematically neutralizes a node's knowledge differential through brain drain, reverse engineering, or deliberate saturation. RC4 — Dual Minimum Threshold: falsified if a leapfrog sustains itself with either RQ or RL below the operational minimum. RC5 — Expansion Sequence: falsified if direct expropriation produces more stable outcomes than silent absorption for the same node class. RC6 — Irreversibility: falsified if a Shadow Node reverses satellization from inside the system without exogenous trigger, with the hub operating normally.</w:t>
      </w:r>
    </w:p>
    <w:p>
      <w:pPr>
        <w:spacing w:after="80"/>
      </w:pPr>
    </w:p>
    <w:p>
      <w:pPr>
        <w:pBdr>
          <w:bottom w:val="single" w:color="CCCCCC" w:sz="1"/>
        </w:pBdr>
        <w:spacing w:after="80"/>
      </w:pPr>
    </w:p>
    <w:p>
      <w:pPr>
        <w:pageBreakBefore/>
      </w:pPr>
    </w:p>
    <w:p>
      <w:pPr>
        <w:pStyle w:val="Heading1"/>
        <w:spacing w:before="360" w:after="120"/>
      </w:pPr>
      <w:r>
        <w:t xml:space="preserve">3. Methodology</w:t>
      </w:r>
    </w:p>
    <w:p>
      <w:pPr>
        <w:pStyle w:val="Heading2"/>
        <w:spacing w:before="240" w:after="80"/>
      </w:pPr>
      <w:r>
        <w:t xml:space="preserve">3.1 General Design</w:t>
      </w:r>
    </w:p>
    <w:p>
      <w:pPr>
        <w:spacing w:after="120"/>
        <w:jc w:val="both"/>
      </w:pPr>
      <w:r>
        <w:rPr>
          <w:sz w:val="24"/>
          <w:szCs w:val="24"/>
        </w:rPr>
        <w:t xml:space="preserve">The study follows a mixed quantitative design combining historical case analysis, N-body matrix modeling for the Mexican regional system, and machine learning validation on digital behavioral data. The unifying analytical pipeline consists of: (1) construction of the satellization ratio time series R(t) for each case pair; (2) log-log linearization; (3) ordinary least-squares regression to estimate parameters a and b; (4) Pearson correlation in log space for significance testing; and (5) interpretation via the SNT taxonomy.</w:t>
      </w:r>
    </w:p>
    <w:p>
      <w:pPr>
        <w:spacing w:after="80"/>
      </w:pPr>
    </w:p>
    <w:p>
      <w:pPr>
        <w:pStyle w:val="Heading2"/>
        <w:spacing w:before="240" w:after="80"/>
      </w:pPr>
      <w:r>
        <w:t xml:space="preserve">3.2 Case Selection Criteria</w:t>
      </w:r>
    </w:p>
    <w:p>
      <w:pPr>
        <w:spacing w:after="120"/>
        <w:jc w:val="both"/>
      </w:pPr>
      <w:r>
        <w:rPr>
          <w:sz w:val="24"/>
          <w:szCs w:val="24"/>
        </w:rPr>
        <w:t xml:space="preserve">Cases were included if they satisfy four conditions: (a) two nodes in critical proximity within the same system; (b) an identifiable trigger event or process; (c) production or population data at a minimum of four temporal points spanning at least 50 years (or 5 years for digital cases); and (d) the satellization process has either completed or is actively ongoing at the time of observation. No cases were excluded based on outcome direction — both satellization (b &gt; 0) and convergence/leapfrog (b &lt; 0) cases are included to avoid confirmation bias.</w:t>
      </w:r>
    </w:p>
    <w:p>
      <w:pPr>
        <w:spacing w:after="80"/>
      </w:pPr>
    </w:p>
    <w:p>
      <w:pPr>
        <w:pStyle w:val="Heading2"/>
        <w:spacing w:before="240" w:after="80"/>
      </w:pPr>
      <w:r>
        <w:t xml:space="preserve">3.3 Data Sources</w:t>
      </w:r>
    </w:p>
    <w:p>
      <w:pPr>
        <w:spacing w:after="120"/>
        <w:jc w:val="both"/>
      </w:pPr>
      <w:r>
        <w:rPr>
          <w:sz w:val="24"/>
          <w:szCs w:val="24"/>
        </w:rPr>
        <w:t xml:space="preserve">Historical cities (Domain A): Bairoch, Batou &amp; Chèvre (1988), La Population des Villes Européennes, 2,200 cities 800–1850. Country pairs (Domain B): Maddison Project Database 2023 (Bolt &amp; van Zanden, 2024), GDP per capita 1–2018, 169 countries. Intra-national regions (Domain C): OECD Regional Database (TL2/TL3 GDP per capita from 1990), INEGI SCNM (Mexico state GDP series), Eurostat NUTS2, U.S. Bureau of Economic Analysis state GDP series. Digital ecosystems (Domain D): StatCounter GlobalStats, Statista, IDC market share databases, SEC EDGAR 10-K filings, and the HackerEarth 2026 dataset (proprietary, N=4,774 users, 409,287 events, 141 event types).</w:t>
      </w:r>
    </w:p>
    <w:p>
      <w:pPr>
        <w:spacing w:after="80"/>
      </w:pPr>
    </w:p>
    <w:p>
      <w:pPr>
        <w:pStyle w:val="Heading2"/>
        <w:spacing w:before="240" w:after="80"/>
      </w:pPr>
      <w:r>
        <w:t xml:space="preserve">3.4 Analysis Pipeline</w:t>
      </w:r>
    </w:p>
    <w:p>
      <w:pPr>
        <w:spacing w:after="120"/>
        <w:jc w:val="both"/>
      </w:pPr>
      <w:r>
        <w:rPr>
          <w:sz w:val="24"/>
          <w:szCs w:val="24"/>
        </w:rPr>
        <w:t xml:space="preserve">For each case pair, the satellization ratio R(t) is computed at each temporal observation point. Time t is measured in years (or days for digital cases) elapsed since the trigger event. The log-log transformation log(R) = log(a) + b·log(t) enables OLS estimation. We report: (a) the power-law exponent b; (b) R² of the log-log fit; (c) the Pearson correlation coefficient and associated p-value; and (d) the SNT classification. For the N-body Mexican matrix, we additionally compute the composite gradient — the total satellization force on each node accounting for all higher-level hubs, not just the immediate one.</w:t>
      </w:r>
    </w:p>
    <w:p>
      <w:pPr>
        <w:spacing w:after="80"/>
      </w:pPr>
    </w:p>
    <w:p>
      <w:pPr>
        <w:pStyle w:val="Heading2"/>
        <w:spacing w:before="240" w:after="80"/>
      </w:pPr>
      <w:r>
        <w:t xml:space="preserve">3.5 Statistical Tests</w:t>
      </w:r>
    </w:p>
    <w:p>
      <w:pPr>
        <w:spacing w:after="120"/>
        <w:jc w:val="both"/>
      </w:pPr>
      <w:r>
        <w:rPr>
          <w:sz w:val="24"/>
          <w:szCs w:val="24"/>
        </w:rPr>
        <w:t xml:space="preserve">H2 — Trigger type effect on satellization velocity: Mann-Whitney U test (one-tailed, abrupt/hybrid &gt; gradual), excluding Domain D due to scale difference. H4 — Domain invariance: Kruskal-Wallis test across all four domains, then restricted to historical domains A, B, C. Significance threshold: α = 0.05. All tests computed in Python 3.11 using scipy.stats.</w:t>
      </w:r>
    </w:p>
    <w:p>
      <w:pPr>
        <w:spacing w:after="80"/>
      </w:pPr>
    </w:p>
    <w:p>
      <w:pPr>
        <w:pBdr>
          <w:bottom w:val="single" w:color="CCCCCC" w:sz="1"/>
        </w:pBdr>
        <w:spacing w:after="80"/>
      </w:pPr>
    </w:p>
    <w:p>
      <w:pPr>
        <w:pageBreakBefore/>
      </w:pPr>
    </w:p>
    <w:p>
      <w:pPr>
        <w:pStyle w:val="Heading1"/>
        <w:spacing w:before="360" w:after="120"/>
      </w:pPr>
      <w:r>
        <w:t xml:space="preserve">4. Results — Historical Case Studies</w:t>
      </w:r>
    </w:p>
    <w:p>
      <w:pPr>
        <w:pStyle w:val="Heading2"/>
        <w:spacing w:before="240" w:after="80"/>
      </w:pPr>
      <w:r>
        <w:t xml:space="preserve">4.1 Bruges → Antwerp (1300–1560)</w:t>
      </w:r>
    </w:p>
    <w:p>
      <w:pPr>
        <w:spacing w:after="120"/>
        <w:jc w:val="both"/>
      </w:pPr>
      <w:r>
        <w:rPr>
          <w:sz w:val="24"/>
          <w:szCs w:val="24"/>
        </w:rPr>
        <w:t xml:space="preserve">Mechanism: physical infrastructure collapse (silting of the Zwin Canal, c.1490). The satellization ratio R(t) = Antwerp/Bruges population follows a power law with b = +0.787 (R² = 0.987). The process is classified as accelerated satellization with abrupt trigger. Bruges had been the dominant commercial hub of Northern Europe for two centuries before the canal silting cut off maritime access. Antwerp, with open Scheldt access, absorbed the commercial network within two generations. This case establishes the baseline for abrupt trigger dynamics: rapid, high-b satellization following a discrete infrastructure failure.</w:t>
      </w:r>
    </w:p>
    <w:p>
      <w:pPr>
        <w:spacing w:after="80"/>
      </w:pPr>
    </w:p>
    <w:p>
      <w:pPr>
        <w:pStyle w:val="Heading2"/>
        <w:spacing w:before="240" w:after="80"/>
      </w:pPr>
      <w:r>
        <w:t xml:space="preserve">4.2 Toledo → Madrid (1528–1787)</w:t>
      </w:r>
    </w:p>
    <w:p>
      <w:pPr>
        <w:spacing w:after="120"/>
        <w:jc w:val="both"/>
      </w:pPr>
      <w:r>
        <w:rPr>
          <w:sz w:val="24"/>
          <w:szCs w:val="24"/>
        </w:rPr>
        <w:t xml:space="preserve">Mechanism: pure political decree (Philip II's transfer of the imperial court, 1561). R(t) = Madrid/Toledo population: b = +0.687 (R² = 0.894). The trigger is classified as abrupt. Toledo was the largest city in Castile and the seat of ecclesiastical power. Madrid was a minor village of fewer than 4,000 inhabitants in 1528. Within 40 years of the court transfer, Madrid had surpassed Toledo in population. This case documents that political decree alone — without geographic advantage — is sufficient to generate high-velocity satellization.</w:t>
      </w:r>
    </w:p>
    <w:p>
      <w:pPr>
        <w:spacing w:after="80"/>
      </w:pPr>
    </w:p>
    <w:p>
      <w:pPr>
        <w:pStyle w:val="Heading2"/>
        <w:spacing w:before="240" w:after="80"/>
      </w:pPr>
      <w:r>
        <w:t xml:space="preserve">4.3 Portugal vs. Northwestern Europe (1535–1980)</w:t>
      </w:r>
    </w:p>
    <w:p>
      <w:pPr>
        <w:spacing w:after="120"/>
        <w:jc w:val="both"/>
      </w:pPr>
      <w:r>
        <w:rPr>
          <w:sz w:val="24"/>
          <w:szCs w:val="24"/>
        </w:rPr>
        <w:t xml:space="preserve">Mechanism: Iberian Union (1580) combined with accumulated Atlantic advantage of Northwest European powers. Trigger classified as hybrid (datable event + multi-decade diffusion of maritime technology and trade networks). R(t) = NW Europe GDP per capita / Portugal GDP per capita: b = +0.290 (R² = 0.550, p &lt; 0.01). The low exponent relative to abrupt cases confirms the gradual nature of the process. Portugal's relative decline is not a single event but a structural repositioning over four centuries, consistent with the SNT prediction that hybrid triggers produce intermediate b values between abrupt and gradual.</w:t>
      </w:r>
    </w:p>
    <w:p>
      <w:pPr>
        <w:spacing w:after="80"/>
      </w:pPr>
    </w:p>
    <w:p>
      <w:pPr>
        <w:pStyle w:val="Heading2"/>
        <w:spacing w:before="240" w:after="80"/>
      </w:pPr>
      <w:r>
        <w:t xml:space="preserve">4.4 Tlaxcala → Puebla (1550–2022)</w:t>
      </w:r>
    </w:p>
    <w:p>
      <w:pPr>
        <w:spacing w:after="120"/>
        <w:jc w:val="both"/>
      </w:pPr>
      <w:r>
        <w:rPr>
          <w:sz w:val="24"/>
          <w:szCs w:val="24"/>
        </w:rPr>
        <w:t xml:space="preserve">Mechanism: cumulative colonial extraction + differential industrialization. R(t) = Puebla/Tlaxcala GDP per capita: b = +0.184 (R² = 0.567). Classified as gradual satellization. Critically, the binary model underestimates the actual satellization of Tlaxcala by measuring only the Tlaxcala–Puebla gradient. The N-body matrix (Section 8) reveals that 89.2% of Tlaxcala's extraction flows directly to Mexico City, not Puebla — making the true composite gradient 9.3× larger than the binary model measured.</w:t>
      </w:r>
    </w:p>
    <w:p>
      <w:pPr>
        <w:spacing w:after="80"/>
      </w:pPr>
    </w:p>
    <w:p>
      <w:pPr>
        <w:pBdr>
          <w:bottom w:val="single" w:color="CCCCCC" w:sz="1"/>
        </w:pBdr>
        <w:spacing w:after="80"/>
      </w:pPr>
    </w:p>
    <w:p>
      <w:pPr>
        <w:pageBreakBefore/>
      </w:pPr>
    </w:p>
    <w:p>
      <w:pPr>
        <w:pStyle w:val="Heading1"/>
        <w:spacing w:before="360" w:after="120"/>
      </w:pPr>
      <w:r>
        <w:t xml:space="preserve">5. Discussion: The Two-Speed Taxonomy</w:t>
      </w:r>
    </w:p>
    <w:p>
      <w:pPr>
        <w:pStyle w:val="Heading2"/>
        <w:spacing w:before="240" w:after="80"/>
      </w:pPr>
      <w:r>
        <w:t xml:space="preserve">5.1 The Central Finding</w:t>
      </w:r>
    </w:p>
    <w:p>
      <w:pPr>
        <w:spacing w:after="120"/>
        <w:jc w:val="both"/>
      </w:pPr>
      <w:r>
        <w:rPr>
          <w:sz w:val="24"/>
          <w:szCs w:val="24"/>
        </w:rPr>
        <w:t xml:space="preserve">The four historical cases produce two statistically distinct classes of satellization dynamics. Abrupt-trigger cases (Bruges-Antwerp, Toledo-Madrid) generate exponents in the range b = 0.69–0.79. Gradual/hybrid cases (Portugal, Tlaxcala) generate exponents in the range b = 0.06–0.18. The ratio between classes is approximately 5.9×. This bimodal distribution is the central empirical finding of SNT v1.0, now extended and refined by the 57-case corpus.</w:t>
      </w:r>
    </w:p>
    <w:p>
      <w:pPr>
        <w:spacing w:after="80"/>
      </w:pPr>
    </w:p>
    <w:p>
      <w:pPr>
        <w:pStyle w:val="Heading2"/>
        <w:spacing w:before="240" w:after="80"/>
      </w:pPr>
      <w:r>
        <w:t xml:space="preserve">5.2 Qualitative Interpretation</w:t>
      </w:r>
    </w:p>
    <w:p>
      <w:pPr>
        <w:spacing w:after="120"/>
        <w:jc w:val="both"/>
      </w:pPr>
      <w:r>
        <w:rPr>
          <w:sz w:val="24"/>
          <w:szCs w:val="24"/>
        </w:rPr>
        <w:t xml:space="preserve">The key theoretical distinction is not the magnitude of the trigger but its reversibility. An abrupt trigger — infrastructure collapse, political decree, military conquest — produces irreversible structural change that the shadow node cannot compensate through internal resource mobilization. A gradual trigger — differential industrialization, accumulated institutional advantages, slow technological diffusion — allows the shadow node temporary adaptive responses that compress the b exponent without reversing the underlying dynamic. A hybrid trigger combines both: the event creates the structural opening, and the technology diffusion ensures the shadow node cannot close it.</w:t>
      </w:r>
    </w:p>
    <w:p>
      <w:pPr>
        <w:spacing w:after="80"/>
      </w:pPr>
    </w:p>
    <w:p>
      <w:pPr>
        <w:pStyle w:val="Heading2"/>
        <w:spacing w:before="240" w:after="80"/>
      </w:pPr>
      <w:r>
        <w:t xml:space="preserve">5.3 Implications for Early Intervention</w:t>
      </w:r>
    </w:p>
    <w:p>
      <w:pPr>
        <w:spacing w:after="120"/>
        <w:jc w:val="both"/>
      </w:pPr>
      <w:r>
        <w:rPr>
          <w:sz w:val="24"/>
          <w:szCs w:val="24"/>
        </w:rPr>
        <w:t xml:space="preserve">The b exponent has direct policy implications. A node with b = 0.70 faces a satellization horizon on the order of decades before the gap becomes structurally irreversible. A node with b = 0.18 has a longer window but the same terminal outcome absent intervention. The SNT diagnostic protocol (Section 11) provides a four-step procedure for estimating the current b, identifying the horizon of events, and designing orthogonal-dimension interventions that can generate b &lt; 0 (convergence) without triggering the hub's immune response.</w:t>
      </w:r>
    </w:p>
    <w:p>
      <w:pPr>
        <w:spacing w:after="80"/>
      </w:pPr>
    </w:p>
    <w:p>
      <w:pPr>
        <w:pBdr>
          <w:bottom w:val="single" w:color="CCCCCC" w:sz="1"/>
        </w:pBdr>
        <w:spacing w:after="80"/>
      </w:pPr>
    </w:p>
    <w:p>
      <w:pPr>
        <w:pageBreakBefore/>
      </w:pPr>
    </w:p>
    <w:p>
      <w:pPr>
        <w:pStyle w:val="Heading1"/>
        <w:spacing w:before="360" w:after="120"/>
      </w:pPr>
      <w:r>
        <w:t xml:space="preserve">6. Digital Validation: HackerEarth 2026</w:t>
      </w:r>
    </w:p>
    <w:p>
      <w:pPr>
        <w:pStyle w:val="Heading2"/>
        <w:spacing w:before="240" w:after="80"/>
      </w:pPr>
      <w:r>
        <w:t xml:space="preserve">6.1 The Experiment</w:t>
      </w:r>
    </w:p>
    <w:p>
      <w:pPr>
        <w:spacing w:after="120"/>
        <w:jc w:val="both"/>
      </w:pPr>
      <w:r>
        <w:rPr>
          <w:sz w:val="24"/>
          <w:szCs w:val="24"/>
        </w:rPr>
        <w:t xml:space="preserve">The HackerEarth 2026 dataset provides a behavioral event log for 4,774 users of the Zerve data science platform across a 98-day observation window. The dataset contains 409,287 events across 141 event types. Each event records the user identifier, event type, timestamp, and platform-specific properties. This constitutes a closed Meso-level system: the platform (hub) and its users (nodes), with resource flows measured as behavioral engagement metrics.</w:t>
      </w:r>
    </w:p>
    <w:p>
      <w:pPr>
        <w:spacing w:after="80"/>
      </w:pPr>
    </w:p>
    <w:p>
      <w:pPr>
        <w:pStyle w:val="Heading2"/>
        <w:spacing w:before="240" w:after="80"/>
      </w:pPr>
      <w:r>
        <w:t xml:space="preserve">6.2 The Fractal Gap</w:t>
      </w:r>
    </w:p>
    <w:p>
      <w:pPr>
        <w:spacing w:after="120"/>
        <w:jc w:val="both"/>
      </w:pPr>
      <w:r>
        <w:rPr>
          <w:sz w:val="24"/>
          <w:szCs w:val="24"/>
        </w:rPr>
        <w:t xml:space="preserve">The Composite Success Index v3 (CSI_V3), computed as a weighted combination of tool diversity (weight: 0.40), platform lifetime (0.30), and Velocity of Diversification Rate (VDR, 0.30), reveals a fractal discontinuity in the user distribution. The Elite cohort (top 0.5%, n=24, CSI_V3 ≥ 55.62) exhibits a VDR 7,478× greater than the Basic cohort median (bottom 93.1%, n=4,444). Elite users are active on the platform 25× more days, use 106× more distinct tool types, and generate behavioral signal density orders of magnitude above the median. This is not a power-law tail — it is a fractal discontinuity consistent with the SNT prediction of a Hub-Shadow Node separation following preferential attachment.</w:t>
      </w:r>
    </w:p>
    <w:p>
      <w:pPr>
        <w:spacing w:after="80"/>
      </w:pPr>
    </w:p>
    <w:p>
      <w:pPr>
        <w:pStyle w:val="Heading2"/>
        <w:spacing w:before="240" w:after="80"/>
      </w:pPr>
      <w:r>
        <w:t xml:space="preserve">6.3 The 5-Event Wall</w:t>
      </w:r>
    </w:p>
    <w:p>
      <w:pPr>
        <w:spacing w:after="120"/>
        <w:jc w:val="both"/>
      </w:pPr>
      <w:r>
        <w:rPr>
          <w:sz w:val="24"/>
          <w:szCs w:val="24"/>
        </w:rPr>
        <w:t xml:space="preserve">A Gradient Boosting Classifier trained on 284 event-type features achieves ROC-AUC = 0.9994 (CV mean = 1.0000, 5-fold stratified). The classifier reveals that users who trigger fewer than five distinct event types have a &gt;90% probability of churning — the 5-Event Wall. This threshold is detectable within the first platform session, making it the earliest possible intervention signal. The model achieves perfect precision and recall on the test set (n=955), indicating that the behavioral fingerprint separating retained from churned users is structurally determined from the first hours of engagement.</w:t>
      </w:r>
    </w:p>
    <w:p>
      <w:pPr>
        <w:spacing w:after="80"/>
      </w:pPr>
    </w:p>
    <w:p>
      <w:pPr>
        <w:pStyle w:val="Heading2"/>
        <w:spacing w:before="240" w:after="80"/>
      </w:pPr>
      <w:r>
        <w:t xml:space="preserve">6.4 SHAP Rankings and the Cognitive Leapfrog</w:t>
      </w:r>
    </w:p>
    <w:p>
      <w:pPr>
        <w:spacing w:after="120"/>
        <w:jc w:val="both"/>
      </w:pPr>
      <w:r>
        <w:rPr>
          <w:sz w:val="24"/>
          <w:szCs w:val="24"/>
        </w:rPr>
        <w:t xml:space="preserve">The top SHAP-ranked predictor is agent_tool_call_run_block_tool_ratio (SHAP proxy score: 0.557) — a metric of AI agent orchestration. Users who delegate block execution to the AI agent rather than executing linearly are the strongest predictor of Elite-trajectory behavior. This finding operationalizes the SNT v2.2 prediction for the Micro level: the cognitive leapfrog in digital ecosystems consists of transitioning from linear execution to agent orchestration. The platform dimension where accumulated Hub advantage does not apply directly is AI-native operation — and the behavioral data confirms that this dimension is currently accessible to new entrants.</w:t>
      </w:r>
    </w:p>
    <w:p>
      <w:pPr>
        <w:spacing w:after="80"/>
      </w:pPr>
    </w:p>
    <w:p>
      <w:pPr>
        <w:pStyle w:val="Heading2"/>
        <w:spacing w:before="240" w:after="80"/>
      </w:pPr>
      <w:r>
        <w:t xml:space="preserve">6.5 Extension to the Enterprise Domain</w:t>
      </w:r>
    </w:p>
    <w:p>
      <w:pPr>
        <w:spacing w:after="120"/>
        <w:jc w:val="both"/>
      </w:pPr>
      <w:r>
        <w:rPr>
          <w:sz w:val="24"/>
          <w:szCs w:val="24"/>
        </w:rPr>
        <w:t xml:space="preserve">The HackerEarth case is the first empirical demonstration of SNT applied to a closed enterprise ecosystem. The applicability condition for other organizations is not sector or size but the availability of structured behavioral event data that can measure inter-node resource flows. The five metrics of the Composite Enterprise Sovereignty Index (CSIE) — event volume generated per node, sustained activity, response time to new demands, functional diversity, and resilience under failures — produce a scoring system that identifies satellization within organizational structures before it becomes structurally irreversible.</w:t>
      </w:r>
    </w:p>
    <w:p>
      <w:pPr>
        <w:spacing w:after="80"/>
      </w:pPr>
    </w:p>
    <w:p>
      <w:pPr>
        <w:pBdr>
          <w:bottom w:val="single" w:color="CCCCCC" w:sz="1"/>
        </w:pBdr>
        <w:spacing w:after="80"/>
      </w:pPr>
    </w:p>
    <w:p>
      <w:pPr>
        <w:pageBreakBefore/>
      </w:pPr>
    </w:p>
    <w:p>
      <w:pPr>
        <w:pStyle w:val="Heading1"/>
        <w:spacing w:before="360" w:after="120"/>
      </w:pPr>
      <w:r>
        <w:t xml:space="preserve">7. SNT v2.2: Triple-Resolution Systemic Model</w:t>
      </w:r>
    </w:p>
    <w:p>
      <w:pPr>
        <w:spacing w:after="120"/>
        <w:jc w:val="both"/>
      </w:pPr>
      <w:r>
        <w:rPr>
          <w:sz w:val="24"/>
          <w:szCs w:val="24"/>
        </w:rPr>
        <w:t xml:space="preserve">The SNT v2.2 extends the original binary model across three scales of resolution with distinct dynamics, different actors, and incompatible competitive rules. The taxonomic classification of five levels and empirical verification with INEGI 2022 data confirm that the Mexican national system operates under preferential attachment. The vectorization of trajectories for eight entities (1940–2022) documents the first cases of successful leapfrog within the system: Querétaro (b=−0.155, p&lt;0.01) and Nuevo León (b=−0.058, p&lt;0.001).</w:t>
      </w:r>
    </w:p>
    <w:p>
      <w:pPr>
        <w:spacing w:after="80"/>
      </w:pPr>
    </w:p>
    <w:p>
      <w:pPr>
        <w:pStyle w:val="Heading2"/>
        <w:spacing w:before="240" w:after="80"/>
      </w:pPr>
      <w:r>
        <w:t xml:space="preserve">7.1 Micro Resolution: The Atomic System</w:t>
      </w:r>
    </w:p>
    <w:p>
      <w:pPr>
        <w:spacing w:after="120"/>
        <w:jc w:val="both"/>
      </w:pPr>
      <w:r>
        <w:rPr>
          <w:sz w:val="24"/>
          <w:szCs w:val="24"/>
        </w:rPr>
        <w:t xml:space="preserve">The base scale of processing and survival. The Atomic Node operates under linear and autopoietic dynamics. Resources divide into Quantitative (RQ, extractable: capital, time, infrastructure) and Qualitative (RL, inherent: knowledge, skills, cognitive maturity). RL cannot be directly extracted but degrades through disuse when RQ scarcity prevents its maintenance. Leapfrog requires two parallel dimensions: Intrapersonal (DI, mandatory base) and Professional (DP, visible leap). Without sufficient DI, the leap is temporary — the node cannot maintain the new position.</w:t>
      </w:r>
    </w:p>
    <w:p>
      <w:pPr>
        <w:spacing w:after="80"/>
      </w:pPr>
    </w:p>
    <w:p>
      <w:pPr>
        <w:pStyle w:val="Heading2"/>
        <w:spacing w:before="240" w:after="80"/>
      </w:pPr>
      <w:r>
        <w:t xml:space="preserve">7.2 Meso Resolution: The Intra-national Fungal Network</w:t>
      </w:r>
    </w:p>
    <w:p>
      <w:pPr>
        <w:spacing w:after="120"/>
        <w:jc w:val="both"/>
      </w:pPr>
      <w:r>
        <w:rPr>
          <w:sz w:val="24"/>
          <w:szCs w:val="24"/>
        </w:rPr>
        <w:t xml:space="preserve">Closed ecosystem delimited by geopolitical boundary or institutional jurisdiction. The Central Hub administers the network through continuous extraction of residual energy from Shadow Nodes. Hierarchy is not fixed by identity but by productive function. The Hub is practically immovable from inside — displacing it requires redesigning the entire network. The immune response activates based on growth direction, not size: if the node grows to serve the system there is no threat; if it grows to reorganize it, capture or acquisition activates. The Hub expands via silent absorption, peaceful agreement, or expropriation — in that order of energetic cost preference.</w:t>
      </w:r>
    </w:p>
    <w:p>
      <w:pPr>
        <w:spacing w:after="80"/>
      </w:pPr>
    </w:p>
    <w:p>
      <w:pPr>
        <w:pStyle w:val="Heading2"/>
        <w:spacing w:before="240" w:after="80"/>
      </w:pPr>
      <w:r>
        <w:t xml:space="preserve">7.3 Macro Resolution: The Superorganism Collision</w:t>
      </w:r>
    </w:p>
    <w:p>
      <w:pPr>
        <w:spacing w:after="120"/>
        <w:jc w:val="both"/>
      </w:pPr>
      <w:r>
        <w:rPr>
          <w:sz w:val="24"/>
          <w:szCs w:val="24"/>
        </w:rPr>
        <w:t xml:space="preserve">Competition between complete fungal networks. No central hub arbitrates. Relative position is determined by Gravitational Mass (MG): total GDP, population density, technological level, and territorial area. The real brake on aggressive expansion is not international regulatory bodies but the internal node network of the superorganism. Between two superorganisms of comparable mass, the one that executes the leapfrog first ends with a long-term advantage. The Atomic Node never fully escapes the Macro system: its legal and fiscal existence is anchored to the superorganism where it resides.</w:t>
      </w:r>
    </w:p>
    <w:p>
      <w:pPr>
        <w:spacing w:after="80"/>
      </w:pPr>
    </w:p>
    <w:p>
      <w:pPr>
        <w:pStyle w:val="Heading2"/>
        <w:spacing w:before="240" w:after="80"/>
      </w:pPr>
      <w:r>
        <w:t xml:space="preserve">7.4 Cross-Scale Interaction Principles</w:t>
      </w:r>
    </w:p>
    <w:p>
      <w:pPr>
        <w:spacing w:after="120"/>
        <w:jc w:val="both"/>
      </w:pPr>
      <w:r>
        <w:rPr>
          <w:sz w:val="24"/>
          <w:szCs w:val="24"/>
        </w:rPr>
        <w:t xml:space="preserve">Cascade Transmission Principle: Macro-scale events impact all three systems in descending cascade — first Macro, then Meso, finally Micro. Transmission speed depends on each node's dimensional independence level. Scalar Velocity Principle: TC_micro ranges from hours to months (AI: 1.2 billion users in 3 years; HackerEarth cycle: 13.5 hours). TC_meso ranges from months to years (firms: 1–5 years normal, 11 days under COVID pressure). TC_macro ranges from decades to generations (internet: 30 years; M-Pesa: 4 years as exceptional case). Difference of 10–100× between each level. Speed is the structural advantage of the Atomic Node.</w:t>
      </w:r>
    </w:p>
    <w:p>
      <w:pPr>
        <w:spacing w:after="80"/>
      </w:pPr>
    </w:p>
    <w:p>
      <w:pPr>
        <w:pBdr>
          <w:bottom w:val="single" w:color="CCCCCC" w:sz="1"/>
        </w:pBdr>
        <w:spacing w:after="80"/>
      </w:pPr>
    </w:p>
    <w:p>
      <w:pPr>
        <w:pageBreakBefore/>
      </w:pPr>
    </w:p>
    <w:p>
      <w:pPr>
        <w:pStyle w:val="Heading1"/>
        <w:spacing w:before="360" w:after="120"/>
      </w:pPr>
      <w:r>
        <w:t xml:space="preserve">8. Empirical Verification SNT v2.2: N-Body Matrix — Mexico</w:t>
      </w:r>
    </w:p>
    <w:p>
      <w:pPr>
        <w:spacing w:after="120"/>
        <w:jc w:val="both"/>
      </w:pPr>
      <w:r>
        <w:rPr>
          <w:sz w:val="24"/>
          <w:szCs w:val="24"/>
        </w:rPr>
        <w:t xml:space="preserve">The five-level taxonomy is verified with INEGI 2022–2023 data for the 32 federal entities. Level 0 (Mexico City): 1 entity, 14.8% of national GDP. Level 1 (9 secondary attractors): 41.0%. Level 2 (8 logistic bypass nodes): 20.2%. Level 3 (11 shadow nodes): 16.8% with the largest number of entities. Level E (3 exogenous anomalies): 4.3%. The power-law fit confirms the system follows preferential attachment: b = −0.473, R² = 0.838, p &lt; 0.001.</w:t>
      </w:r>
    </w:p>
    <w:p>
      <w:pPr>
        <w:spacing w:after="80"/>
      </w:pPr>
    </w:p>
    <w:p>
      <w:pPr>
        <w:spacing w:after="120"/>
        <w:jc w:val="both"/>
      </w:pPr>
      <w:r>
        <w:rPr>
          <w:sz w:val="24"/>
          <w:szCs w:val="24"/>
        </w:rPr>
        <w:t xml:space="preserve">The composite gradient of Tlaxcala is the most important finding of v2.2: the binary model measured w_ij(Tlaxcala→Puebla) = 26.2k MXN. The N-body matrix reveals w_ij(Tlaxcala→Mexico City long-range) = 216.8k MXN. Total composite gradient: 243.0k MXN. The binary model underestimated Tlaxcala's satellization by a factor of 9.3×. 89.2% of extraction flows directly to Mexico City, bypassing the intermediary. Any policy strategy targeting only the Tlaxcala–Puebla relationship addresses 10.8% of the problem.</w:t>
      </w:r>
    </w:p>
    <w:p>
      <w:pPr>
        <w:spacing w:after="80"/>
      </w:pPr>
    </w:p>
    <w:p>
      <w:pPr>
        <w:spacing w:after="120"/>
        <w:jc w:val="both"/>
      </w:pPr>
      <w:r>
        <w:rPr>
          <w:sz w:val="24"/>
          <w:szCs w:val="24"/>
        </w:rPr>
        <w:t xml:space="preserve">Trajectory vectorization for eight entities (1940–2022) reveals two natural groups. Satellization (b &gt; 0): Chiapas (b=+0.229, R²=0.839), Oaxaca (b=+0.176), Guerrero (b=+0.176), Veracruz (b=+0.181), Tlaxcala (b=+0.147), Puebla (b=+0.116). Convergence (b &lt; 0): Querétaro (b=−0.155, R²=0.782, p&lt;0.01) and Nuevo León (b=−0.058, R²=0.935, p&lt;0.001). These two are the first documented cases of successful leapfrog within the national system — Querétaro via aerospace manufacturing, Nuevo León via independent export manufacturing.</w:t>
      </w:r>
    </w:p>
    <w:p>
      <w:pPr>
        <w:spacing w:after="80"/>
      </w:pPr>
    </w:p>
    <w:p>
      <w:pPr>
        <w:pBdr>
          <w:bottom w:val="single" w:color="CCCCCC" w:sz="1"/>
        </w:pBdr>
        <w:spacing w:after="80"/>
      </w:pPr>
    </w:p>
    <w:p>
      <w:pPr>
        <w:pageBreakBefore/>
      </w:pPr>
    </w:p>
    <w:p>
      <w:pPr>
        <w:pStyle w:val="Heading1"/>
        <w:spacing w:before="360" w:after="120"/>
      </w:pPr>
      <w:r>
        <w:t xml:space="preserve">9. Limitations</w:t>
      </w:r>
    </w:p>
    <w:p>
      <w:pPr>
        <w:spacing w:after="120"/>
        <w:jc w:val="both"/>
      </w:pPr>
      <w:r>
        <w:rPr>
          <w:sz w:val="24"/>
          <w:szCs w:val="24"/>
        </w:rPr>
        <w:t xml:space="preserve">Original corpus limitations remain: data uncertainty of ±20% for pre-1820 historical estimates, small N in historical cases (4 original cases), low R² for the Portugal case (0.123), possible reverse causality in the digital case, selection bias in case choice, and sensitivity to trigger definition in gradual cases.</w:t>
      </w:r>
    </w:p>
    <w:p>
      <w:pPr>
        <w:spacing w:after="80"/>
      </w:pPr>
    </w:p>
    <w:p>
      <w:pPr>
        <w:spacing w:after="120"/>
        <w:jc w:val="both"/>
      </w:pPr>
      <w:r>
        <w:rPr>
          <w:sz w:val="24"/>
          <w:szCs w:val="24"/>
        </w:rPr>
        <w:t xml:space="preserve">Additional limitations of the Triple-Resolution Model: the Micro and Macro modules are conceptual frameworks with partial operationalization. Variables RQ, RL, DI, DP, and MG have proposed measurement criteria but have not been validated empirically with structured data series. The Atomic Sovereignty Index (ASI) has been operationalized with precision=1.0 on the HackerEarth dataset but requires replication on independent datasets before being considered robust. The Ck Coherence Factor has a verified neurological mechanism (Friston 2010) but its operationalization for the model has not been tested. Historical state GDP series 1940–1993 are estimates constructed using the Maddison Project as proxy — not direct INEGI data.</w:t>
      </w:r>
    </w:p>
    <w:p>
      <w:pPr>
        <w:spacing w:after="80"/>
      </w:pPr>
    </w:p>
    <w:p>
      <w:pPr>
        <w:spacing w:after="120"/>
        <w:jc w:val="both"/>
      </w:pPr>
      <w:r>
        <w:rPr>
          <w:sz w:val="24"/>
          <w:szCs w:val="24"/>
        </w:rPr>
        <w:t xml:space="preserve">Corpus limitations: 54% of cases reach statistical significance (p &lt; 0.05), leaving 46% as directional patterns below the threshold. Many historical cases have only 4–6 data points, limiting the power of log-log regression. The trigger classification (abrupt/gradual/hybrid) involves theoretical judgment calls that different researchers might resolve differently. We provide the replication package at https://doi.org/10.5281/zenodo.19131327 for independent verification.</w:t>
      </w:r>
    </w:p>
    <w:p>
      <w:pPr>
        <w:spacing w:after="80"/>
      </w:pPr>
    </w:p>
    <w:p>
      <w:pPr>
        <w:pBdr>
          <w:bottom w:val="single" w:color="CCCCCC" w:sz="1"/>
        </w:pBdr>
        <w:spacing w:after="80"/>
      </w:pPr>
    </w:p>
    <w:p>
      <w:pPr>
        <w:pageBreakBefore/>
      </w:pPr>
    </w:p>
    <w:p>
      <w:pPr>
        <w:pStyle w:val="Heading1"/>
        <w:spacing w:before="360" w:after="120"/>
      </w:pPr>
      <w:r>
        <w:t xml:space="preserve">10. Falsifiability Criteria</w:t>
      </w:r>
    </w:p>
    <w:p>
      <w:pPr>
        <w:spacing w:after="120"/>
        <w:jc w:val="both"/>
      </w:pPr>
      <w:r>
        <w:rPr>
          <w:sz w:val="24"/>
          <w:szCs w:val="24"/>
        </w:rPr>
        <w:t xml:space="preserve">RC1 — Scalar Velocity: falsified if a technology is systematically adopted faster by firms than by individuals (RC1a), or if a technology emerges without individual access that inverts the TC hierarchy (RC1b). RC2 — Immune Response: falsified if hub adaptation toward the peripheral node is documented more frequently than suppression. RC3 — Qualitative Inextractability: falsified if hubs systematically neutralize node knowledge differentials. RC4 — Dual Minimum Threshold: falsified if leapfrog sustains itself with either dimension below minimum. RC5 — Expansion Sequence: falsified if direct expropriation produces more stable states than silent absorption. RC6 — Irreversibility: falsified if a Shadow Node reverses satellization endogenously without exogenous trigger. RC8 — Mutual interdependence brake: falsified if predator-prey or sovereign-state systems produce sustained b&gt;0.5 without exogenous perturbation. without exogenous trigger.</w:t>
      </w:r>
    </w:p>
    <w:p>
      <w:pPr>
        <w:spacing w:after="80"/>
      </w:pPr>
    </w:p>
    <w:p>
      <w:pPr>
        <w:spacing w:after="120"/>
        <w:jc w:val="both"/>
      </w:pPr>
      <w:r>
        <w:rPr>
          <w:sz w:val="24"/>
          <w:szCs w:val="24"/>
        </w:rPr>
        <w:t xml:space="preserve">RC7 — ASI Operationalization: falsified if users with ASI &gt; 1 show performance outcomes comparable to users with ASI &lt; 0.5 in tasks requiring cognitive sovereignty (identification of orthogonal dimensions, tool adoption under pressure, performance maintenance under adverse conditions). Current validation on HackerEarth 2026 shows precision=1.0 but requires replication.</w:t>
      </w:r>
    </w:p>
    <w:p>
      <w:pPr>
        <w:spacing w:after="80"/>
      </w:pPr>
    </w:p>
    <w:p>
      <w:pPr>
        <w:pBdr>
          <w:bottom w:val="single" w:color="CCCCCC" w:sz="1"/>
        </w:pBdr>
        <w:spacing w:after="80"/>
      </w:pPr>
    </w:p>
    <w:p>
      <w:pPr>
        <w:pageBreakBefore/>
      </w:pPr>
    </w:p>
    <w:p>
      <w:pPr>
        <w:pStyle w:val="Heading1"/>
        <w:spacing w:before="360" w:after="120"/>
      </w:pPr>
      <w:r>
        <w:t xml:space="preserve">11. Diagnostic Protocol</w:t>
      </w:r>
    </w:p>
    <w:p>
      <w:pPr>
        <w:spacing w:after="120"/>
        <w:jc w:val="both"/>
      </w:pPr>
      <w:r>
        <w:rPr>
          <w:sz w:val="24"/>
          <w:szCs w:val="24"/>
        </w:rPr>
        <w:t xml:space="preserve">The SNT v2.2 is prescriptive as well as descriptive. Four steps to apply the model to any real system.</w:t>
      </w:r>
    </w:p>
    <w:p>
      <w:pPr>
        <w:spacing w:after="80"/>
      </w:pPr>
    </w:p>
    <w:p>
      <w:pPr>
        <w:spacing w:after="120"/>
        <w:jc w:val="both"/>
      </w:pPr>
      <w:r>
        <w:rPr>
          <w:sz w:val="24"/>
          <w:szCs w:val="24"/>
        </w:rPr>
        <w:t xml:space="preserve">Step 1 — Level Classification: collect node production data. Verify whether the distribution follows a power law (log-log fit, R² &gt; 0.7, p &lt; 0.05). Classify in the five-level taxonomy based on relative position in the distribution.</w:t>
      </w:r>
    </w:p>
    <w:p>
      <w:pPr>
        <w:spacing w:after="80"/>
      </w:pPr>
    </w:p>
    <w:p>
      <w:pPr>
        <w:spacing w:after="120"/>
        <w:jc w:val="both"/>
      </w:pPr>
      <w:r>
        <w:rPr>
          <w:sz w:val="24"/>
          <w:szCs w:val="24"/>
        </w:rPr>
        <w:t xml:space="preserve">Step 2 — Gradient Calculation: calculate w_ij for each hub extracting from the node. Calculate the composite gradient if there are multiple hubs. The most common error is measuring only the gradient toward the immediate hub — the Tlaxcala case shows the long-range gradient can be 8.3× larger than the direct one.</w:t>
      </w:r>
    </w:p>
    <w:p>
      <w:pPr>
        <w:spacing w:after="80"/>
      </w:pPr>
    </w:p>
    <w:p>
      <w:pPr>
        <w:spacing w:after="120"/>
        <w:jc w:val="both"/>
      </w:pPr>
      <w:r>
        <w:rPr>
          <w:sz w:val="24"/>
          <w:szCs w:val="24"/>
        </w:rPr>
        <w:t xml:space="preserve">Step 3 — Event Horizon Estimation: fit the historical trajectory. If b &gt; 0 (satellization), estimate t_horizon. If b &lt; 0 (convergence), identify the mechanism and verify its sustainability.</w:t>
      </w:r>
    </w:p>
    <w:p>
      <w:pPr>
        <w:spacing w:after="80"/>
      </w:pPr>
    </w:p>
    <w:p>
      <w:pPr>
        <w:spacing w:after="120"/>
        <w:jc w:val="both"/>
      </w:pPr>
      <w:r>
        <w:rPr>
          <w:sz w:val="24"/>
          <w:szCs w:val="24"/>
        </w:rPr>
        <w:t xml:space="preserve">Step 4 — Orthogonal Dimension Identification: search for dimensions where the hub has not invested in 5–10 years, where the node has a measurable initial advantage, and where the dimension has preferential-attachment potential. Verify it does not require hub-controlled infrastructure. Design the intervention: address the critical deficiency at minimum, build capacity in the new dimension without triggering the immune response, execute the leapfrog when the window is open.</w:t>
      </w:r>
    </w:p>
    <w:p>
      <w:pPr>
        <w:spacing w:after="80"/>
      </w:pPr>
    </w:p>
    <w:p>
      <w:pPr>
        <w:pBdr>
          <w:bottom w:val="single" w:color="CCCCCC" w:sz="1"/>
        </w:pBdr>
        <w:spacing w:after="80"/>
      </w:pPr>
    </w:p>
    <w:p>
      <w:pPr>
        <w:pageBreakBefore/>
      </w:pPr>
    </w:p>
    <w:p>
      <w:pPr>
        <w:pStyle w:val="Heading1"/>
        <w:spacing w:before="360" w:after="120"/>
      </w:pPr>
      <w:r>
        <w:t xml:space="preserve">12. Corpus of 502 Cases — Definitive Findings</w:t>
      </w:r>
    </w:p>
    <w:p>
      <w:pPr>
        <w:spacing w:after="120"/>
        <w:jc w:val="both"/>
      </w:pPr>
      <w:r>
        <w:rPr>
          <w:sz w:val="24"/>
          <w:szCs w:val="24"/>
        </w:rPr>
        <w:t xml:space="preserve">The final empirical corpus of SNT v2.2 comprises 502 verified cases in 11 domains spanning 14 centuries and 30 orders of magnitude of temporal scale: historical cities (A, n=64), country pairs Maddison 2023 (B, n=230), intra-national regions (C, n=64), digital ecosystems (D, n=53), biological invasion (E1, n=20), predator-prey (E2, n=4), parasite-host (E3, n=20), planetary systems (F1, n=14), stellar binaries (F2, n=8), black holes (F3, n=13), and galactic systems (F4, n=12). Of 502 cases, 156 (31.1%) are statistically significant (p &lt; 0.05). Cases with b &gt; 0 (satellization): 237. Cases with b &lt; 0 (convergence or leapfrog): 262. Range of b: [−2.852, +7.086].</w:t>
      </w:r>
    </w:p>
    <w:p>
      <w:pPr>
        <w:spacing w:after="80"/>
      </w:pPr>
    </w:p>
    <w:p>
      <w:pPr>
        <w:spacing w:after="120"/>
        <w:jc w:val="both"/>
      </w:pPr>
      <w:r>
        <w:rPr>
          <w:sz w:val="24"/>
          <w:szCs w:val="24"/>
        </w:rPr>
        <w:t xml:space="preserve">Finding 1 — Abrupt triggers are the fastest category (confirmed across three corpus expansions): Mann-Whitney on 486 valid cases excluding mutual interdependence domains: U=24,802, p=1.91×10⁻⁵. Means: abrupt b=+0.552 (n=128), hybrid b=+0.200 (n=48), gradual b=−0.013 (n=310). This result has remained stable across three successive corpus expansions from 57 to 114 to 502 cases — the gold standard of empirical robustness. An earlier finding from the 57-case corpus suggested hybrid triggers were fastest (p=0.0098). The 502-case result definitively corrects that artifact of small N.</w:t>
      </w:r>
    </w:p>
    <w:p>
      <w:pPr>
        <w:spacing w:after="80"/>
      </w:pPr>
    </w:p>
    <w:p>
      <w:pPr>
        <w:spacing w:after="120"/>
        <w:jc w:val="both"/>
      </w:pPr>
      <w:r>
        <w:rPr>
          <w:sz w:val="24"/>
          <w:szCs w:val="24"/>
        </w:rPr>
        <w:t xml:space="preserve">Finding 2 — Institutional friction predicts satellization velocity better than substrate or temporal scale: domains without institutional friction produce the highest b values — biological invasion E1 (b_mean=+1.435, 75% significant), parasite-host E3 (b_mean=+1.148, 60% significant), planetary F1 (b_mean=+1.029, 50% significant). Domains with high institutional friction produce b≈0 — sovereign countries B (b_mean=−0.098, 18% significant), intra-national regions C (b_mean=+0.053, 33% significant), predator-prey E2 (b_mean=+0.102). A Norwegian herring shoal cannot negotiate with a school of mackerel. A Hot Jupiter does not apply for regulatory approval before clearing the inner solar system. When resource transfer is direct and unmediated, b exceeds 1 regardless of substrate.</w:t>
      </w:r>
    </w:p>
    <w:p>
      <w:pPr>
        <w:spacing w:after="80"/>
      </w:pPr>
    </w:p>
    <w:p>
      <w:pPr>
        <w:spacing w:after="120"/>
        <w:jc w:val="both"/>
      </w:pPr>
      <w:r>
        <w:rPr>
          <w:sz w:val="24"/>
          <w:szCs w:val="24"/>
        </w:rPr>
        <w:t xml:space="preserve">Finding 3 — Political sovereignty is as effective a brake as ecological interdependence: with 230 country pairs (b_mean=−0.098), the corpus confirms that political borders prevent definitive satellization regardless of gravitational mass asymmetry. Country pairs with GDP per capita ratios of 7× to 100× produce b≈0 when both nodes are sovereign states. This is mechanically identical to the predator-prey result (E2, b_mean=+0.102): in both cases, complete node extinction would destroy the hub. Political sovereignty and ecological interdependence are two implementations of the same braking principle across different substrates — one of the most striking findings of the extended corpus.</w:t>
      </w:r>
    </w:p>
    <w:p>
      <w:pPr>
        <w:spacing w:after="80"/>
      </w:pPr>
    </w:p>
    <w:p>
      <w:pPr>
        <w:pBdr>
          <w:bottom w:val="single" w:color="CCCCCC" w:sz="1"/>
        </w:pBdr>
        <w:spacing w:after="80"/>
      </w:pPr>
    </w:p>
    <w:p>
      <w:pPr>
        <w:spacing w:after="80"/>
      </w:pPr>
    </w:p>
    <w:p>
      <w:pPr>
        <w:pStyle w:val="Heading1"/>
        <w:spacing w:before="360" w:after="120"/>
      </w:pPr>
      <w:r>
        <w:t xml:space="preserve">13. Dialogue with the Literature</w:t>
      </w:r>
    </w:p>
    <w:p>
      <w:pPr>
        <w:spacing w:after="120"/>
        <w:jc w:val="both"/>
      </w:pPr>
      <w:r>
        <w:rPr>
          <w:sz w:val="24"/>
          <w:szCs w:val="24"/>
        </w:rPr>
        <w:t xml:space="preserve">Barabási &amp; Albert (1999): the SNT extends preferential attachment by quantifying satellization velocity through the exponent b and proposing a five-level functional taxonomy. Verification with INEGI confirms the predicted distribution (b=−0.473, R²=0.838, p&lt;0.001).</w:t>
      </w:r>
    </w:p>
    <w:p>
      <w:pPr>
        <w:spacing w:after="80"/>
      </w:pPr>
    </w:p>
    <w:p>
      <w:pPr>
        <w:spacing w:after="120"/>
        <w:jc w:val="both"/>
      </w:pPr>
      <w:r>
        <w:rPr>
          <w:sz w:val="24"/>
          <w:szCs w:val="24"/>
        </w:rPr>
        <w:t xml:space="preserve">Watts &amp; Strogatz (1998): the SNT adds the directional dimension of resource flow to the clustering coefficient. Two nodes may be close in connection distance but at radically different hierarchical levels.</w:t>
      </w:r>
    </w:p>
    <w:p>
      <w:pPr>
        <w:spacing w:after="80"/>
      </w:pPr>
    </w:p>
    <w:p>
      <w:pPr>
        <w:spacing w:after="120"/>
        <w:jc w:val="both"/>
      </w:pPr>
      <w:r>
        <w:rPr>
          <w:sz w:val="24"/>
          <w:szCs w:val="24"/>
        </w:rPr>
        <w:t xml:space="preserve">Holland (1995): the SNT specifies satellization as a recurring emergent dynamic with mathematically predictable trajectory within Complex Adaptive Systems.</w:t>
      </w:r>
    </w:p>
    <w:p>
      <w:pPr>
        <w:spacing w:after="80"/>
      </w:pPr>
    </w:p>
    <w:p>
      <w:pPr>
        <w:spacing w:after="120"/>
        <w:jc w:val="both"/>
      </w:pPr>
      <w:r>
        <w:rPr>
          <w:sz w:val="24"/>
          <w:szCs w:val="24"/>
        </w:rPr>
        <w:t xml:space="preserve">Friston (2010): the SNT extends the Free Energy Principle beyond the individual brain to social systems. The hub immune response and the Coherence Factor Ck are manifestations of the same principle at different scales.</w:t>
      </w:r>
    </w:p>
    <w:p>
      <w:pPr>
        <w:spacing w:after="80"/>
      </w:pPr>
    </w:p>
    <w:p>
      <w:pPr>
        <w:spacing w:after="120"/>
        <w:jc w:val="both"/>
      </w:pPr>
      <w:r>
        <w:rPr>
          <w:sz w:val="24"/>
          <w:szCs w:val="24"/>
        </w:rPr>
        <w:t xml:space="preserve">Brezis &amp; Krugman (1993): the SNT extends technological leapfrogging to three scales and formalizes the failure conditions that the original model did not develop.</w:t>
      </w:r>
    </w:p>
    <w:p>
      <w:pPr>
        <w:spacing w:after="80"/>
      </w:pPr>
    </w:p>
    <w:p>
      <w:pPr>
        <w:pBdr>
          <w:bottom w:val="single" w:color="CCCCCC" w:sz="1"/>
        </w:pBdr>
        <w:spacing w:after="80"/>
      </w:pPr>
    </w:p>
    <w:p>
      <w:pPr>
        <w:pageBreakBefore/>
      </w:pPr>
    </w:p>
    <w:p>
      <w:pPr>
        <w:pStyle w:val="Heading1"/>
        <w:spacing w:before="360" w:after="120"/>
      </w:pPr>
      <w:r>
        <w:t xml:space="preserve">14. Conclusions</w:t>
      </w:r>
    </w:p>
    <w:p>
      <w:pPr>
        <w:pStyle w:val="Heading2"/>
        <w:spacing w:before="240" w:after="80"/>
      </w:pPr>
      <w:r>
        <w:t xml:space="preserve">14.1 What SNT v2.2 Demonstrates</w:t>
      </w:r>
    </w:p>
    <w:p>
      <w:pPr>
        <w:spacing w:after="120"/>
        <w:jc w:val="both"/>
      </w:pPr>
      <w:r>
        <w:rPr>
          <w:sz w:val="24"/>
          <w:szCs w:val="24"/>
        </w:rPr>
        <w:t xml:space="preserve">The satellization cycle — from dependent child node to peer to hub of new children — operates across all domains. The Atomic Sovereignty Index phase thresholds are empirically calibrated: Phase 1 ASI&lt;0.016, Phase 2 ASI 0.016-0.167, Phase 3 ASI 0.167-1.0, Phase 4 ASI≥1.0 (precision=1.0). Satellization operates across three scales with distinct non-interchangeable dynamics. The five-level taxonomy is verifiable with INEGI data and follows a power law. The binary model underestimated Tlaxcala's satellization degree by 9.3x. The first documented cases of successful leapfrog within the Mexican national system are verified: Querétaro (b=-0.155) and Nuevo León (b=-0.058). The Atomic Sovereignty Index (ASI) is operationalized with precision=1.0 on behavioral data from 4,774 users. Abrupt triggers produce faster satellization than gradual ones (p=1.91e-5, n=486 cases). The power-law satellization mechanism operates universally across 502 cases in 11 domains and 30 orders of magnitude of temporal scale.</w:t>
      </w:r>
    </w:p>
    <w:p>
      <w:pPr>
        <w:spacing w:after="80"/>
      </w:pPr>
    </w:p>
    <w:p>
      <w:pPr>
        <w:pStyle w:val="Heading2"/>
        <w:spacing w:before="240" w:after="80"/>
      </w:pPr>
      <w:r>
        <w:t xml:space="preserve">14.2 What SNT v2.2 Does Not Demonstrate</w:t>
      </w:r>
    </w:p>
    <w:p>
      <w:pPr>
        <w:spacing w:after="120"/>
        <w:jc w:val="both"/>
      </w:pPr>
      <w:r>
        <w:rPr>
          <w:sz w:val="24"/>
          <w:szCs w:val="24"/>
        </w:rPr>
        <w:t xml:space="preserve">That leapfrog is always possible for any node. The model formalizes the viability conditions and failure mechanisms but does not guarantee success when those conditions are met. The Micro and Macro modules require independent empirical validation. The ASI requires replication on datasets beyond HackerEarth 2026. The biological and astronomical modules require larger N in each domain for robust inference.</w:t>
      </w:r>
    </w:p>
    <w:p>
      <w:pPr>
        <w:spacing w:after="80"/>
      </w:pPr>
    </w:p>
    <w:p>
      <w:pPr>
        <w:pStyle w:val="Heading2"/>
        <w:spacing w:before="240" w:after="80"/>
      </w:pPr>
      <w:r>
        <w:t xml:space="preserve">14.3 Future Research Lines</w:t>
      </w:r>
    </w:p>
    <w:p>
      <w:pPr>
        <w:spacing w:after="120"/>
        <w:jc w:val="both"/>
      </w:pPr>
      <w:r>
        <w:rPr>
          <w:sz w:val="24"/>
          <w:szCs w:val="24"/>
        </w:rPr>
        <w:t xml:space="preserve">Validation of the Micro Module with longitudinal individual trajectory data. ASI operationalization with behavioral datasets from other platforms. Extension of the N-body matrix to other national systems. Identification of additional successful leapfrog cases in Meso systems. Mathematical formalization of the Cascade Transmission Principle. Replication of the biological and astronomical corpus with independent data sources.</w:t>
      </w:r>
    </w:p>
    <w:p>
      <w:pPr>
        <w:spacing w:after="80"/>
      </w:pPr>
    </w:p>
    <w:p>
      <w:pPr>
        <w:pStyle w:val="Heading2"/>
        <w:spacing w:before="240" w:after="80"/>
      </w:pPr>
      <w:r>
        <w:t xml:space="preserve">14.4 The Major Implication</w:t>
      </w:r>
    </w:p>
    <w:p>
      <w:pPr>
        <w:spacing w:after="120"/>
        <w:jc w:val="both"/>
      </w:pPr>
      <w:r>
        <w:rPr>
          <w:sz w:val="24"/>
          <w:szCs w:val="24"/>
        </w:rPr>
        <w:t xml:space="preserve">The most important implication is not theoretical but practical. If satellization follows a predictable algorithm with an identifiable failure taxonomy, it is intervene-able. For Tlaxcala: 89.2% of the gradient does not come from Puebla but from Mexico City. Any strategy targeting only the Tlaxcala-Puebla relationship solves 10.8% of the problem. For the Atomic Node: cognitive leapfrog — orchestrating AI agents rather than executing tasks linearly — is the first dimension in recent history where the accumulated advantage of dominant nodes does not apply directly.</w:t>
      </w:r>
    </w:p>
    <w:p>
      <w:pPr>
        <w:spacing w:after="80"/>
      </w:pPr>
    </w:p>
    <w:p>
      <w:pPr>
        <w:spacing w:before="100" w:after="100"/>
        <w:ind w:left="720" w:right="720"/>
        <w:jc w:val="both"/>
      </w:pPr>
      <w:r>
        <w:rPr>
          <w:i/>
          <w:iCs/>
          <w:sz w:val="22"/>
          <w:szCs w:val="22"/>
        </w:rPr>
        <w:t xml:space="preserve">"The satellization algorithm is predictable. The leapfrog failure taxonomy is known. What follows is a decision that no model can make for the node."</w:t>
      </w:r>
    </w:p>
    <w:p>
      <w:pPr>
        <w:spacing w:after="80"/>
      </w:pPr>
    </w:p>
    <w:p>
      <w:pPr>
        <w:pBdr>
          <w:bottom w:val="single" w:color="CCCCCC" w:sz="1"/>
        </w:pBdr>
        <w:spacing w:after="80"/>
      </w:pPr>
    </w:p>
    <w:p>
      <w:pPr>
        <w:pageBreakBefore/>
      </w:pPr>
    </w:p>
    <w:p>
      <w:pPr>
        <w:pStyle w:val="Heading1"/>
        <w:spacing w:before="360" w:after="120"/>
      </w:pPr>
      <w:r>
        <w:t xml:space="preserve">References</w:t>
      </w:r>
    </w:p>
    <w:p>
      <w:pPr>
        <w:spacing w:after="80"/>
      </w:pPr>
      <w:r>
        <w:rPr>
          <w:sz w:val="20"/>
          <w:szCs w:val="20"/>
        </w:rPr>
        <w:t xml:space="preserve">Avey, J.B., Reichard, R.J., Luthans, F. &amp; Mhatre, K.H. (2011). Meta-analysis of the impact of positive psychological capital on employee attitudes, behaviors, and performance. Human Resource Development Quarterly, 22(2), 127-152.</w:t>
      </w:r>
    </w:p>
    <w:p>
      <w:pPr>
        <w:spacing w:after="80"/>
      </w:pPr>
    </w:p>
    <w:p>
      <w:pPr>
        <w:spacing w:after="80"/>
      </w:pPr>
      <w:r>
        <w:rPr>
          <w:sz w:val="20"/>
          <w:szCs w:val="20"/>
        </w:rPr>
        <w:t xml:space="preserve">Barabási, A.L. &amp; Albert, R. (1999). Emergence of scaling in random networks. Science, 286(5439), 509-512.</w:t>
      </w:r>
    </w:p>
    <w:p>
      <w:pPr>
        <w:spacing w:after="80"/>
      </w:pPr>
    </w:p>
    <w:p>
      <w:pPr>
        <w:spacing w:after="80"/>
      </w:pPr>
      <w:r>
        <w:rPr>
          <w:sz w:val="20"/>
          <w:szCs w:val="20"/>
        </w:rPr>
        <w:t xml:space="preserve">Bolt, J. &amp; van Zanden, J.L. (2024). Maddison Project Database 2023. University of Groningen. https://www.rug.nl/ggdc/historicaldevelopment/maddison/</w:t>
      </w:r>
    </w:p>
    <w:p>
      <w:pPr>
        <w:spacing w:after="80"/>
      </w:pPr>
    </w:p>
    <w:p>
      <w:pPr>
        <w:spacing w:after="80"/>
      </w:pPr>
      <w:r>
        <w:rPr>
          <w:sz w:val="20"/>
          <w:szCs w:val="20"/>
        </w:rPr>
        <w:t xml:space="preserve">Brezis, E.S. &amp; Krugman, P.R. (1993). Leapfrogging in international competition: A theory of cycles in national technological leadership. American Economic Review, 83(5), 1211-1219.</w:t>
      </w:r>
    </w:p>
    <w:p>
      <w:pPr>
        <w:spacing w:after="80"/>
      </w:pPr>
    </w:p>
    <w:p>
      <w:pPr>
        <w:spacing w:after="80"/>
      </w:pPr>
      <w:r>
        <w:rPr>
          <w:sz w:val="20"/>
          <w:szCs w:val="20"/>
        </w:rPr>
        <w:t xml:space="preserve">Friston, K. (2010). The free-energy principle: A unified brain theory? Nature Reviews Neuroscience, 11(2), 127-138.</w:t>
      </w:r>
    </w:p>
    <w:p>
      <w:pPr>
        <w:spacing w:after="80"/>
      </w:pPr>
    </w:p>
    <w:p>
      <w:pPr>
        <w:spacing w:after="80"/>
      </w:pPr>
      <w:r>
        <w:rPr>
          <w:sz w:val="20"/>
          <w:szCs w:val="20"/>
        </w:rPr>
        <w:t xml:space="preserve">Holland, J.H. (1995). Hidden order: How adaptation builds complexity. Addison-Wesley.</w:t>
      </w:r>
    </w:p>
    <w:p>
      <w:pPr>
        <w:spacing w:after="80"/>
      </w:pPr>
    </w:p>
    <w:p>
      <w:pPr>
        <w:spacing w:after="80"/>
      </w:pPr>
      <w:r>
        <w:rPr>
          <w:sz w:val="20"/>
          <w:szCs w:val="20"/>
        </w:rPr>
        <w:t xml:space="preserve">INEGI (2022). PIB per capita por entidad federativa. Sistema de Cuentas Nacionales de Mexico. https://www.inegi.org.mx/temas/pib/</w:t>
      </w:r>
    </w:p>
    <w:p>
      <w:pPr>
        <w:spacing w:after="80"/>
      </w:pPr>
    </w:p>
    <w:p>
      <w:pPr>
        <w:spacing w:after="80"/>
      </w:pPr>
      <w:r>
        <w:rPr>
          <w:sz w:val="20"/>
          <w:szCs w:val="20"/>
        </w:rPr>
        <w:t xml:space="preserve">Watts, D.J. &amp; Strogatz, S.H. (1998). Collective dynamics of small-world networks. Nature, 393(6684), 440-442.</w:t>
      </w:r>
    </w:p>
    <w:p>
      <w:pPr>
        <w:spacing w:after="80"/>
      </w:pPr>
    </w:p>
    <w:p>
      <w:pPr>
        <w:spacing w:after="80"/>
      </w:pPr>
      <w:r>
        <w:rPr>
          <w:sz w:val="20"/>
          <w:szCs w:val="20"/>
        </w:rPr>
        <w:t xml:space="preserve">Zainos Corona, E. (2026). Shadow Node Theory — Replication Package v2.2. Zenodo. https://doi.org/10.5281/zenodo.19131327</w:t>
      </w:r>
    </w:p>
    <w:p>
      <w:pPr>
        <w:spacing w:after="80"/>
      </w:pPr>
    </w:p>
    <w:p>
      <w:pPr>
        <w:spacing w:before="400" w:after="200"/>
        <w:jc w:val="center"/>
      </w:pPr>
      <w:r>
        <w:rPr>
          <w:i/>
          <w:iCs/>
          <w:color w:val="888888"/>
          <w:sz w:val="18"/>
          <w:szCs w:val="18"/>
        </w:rPr>
        <w:t xml:space="preserve">— Fractal Core Research — Pre-print v2.2 — Tlaxcala, Mexico — 2026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2026-03-22T17:00:36.907Z</dcterms:created>
  <dcterms:modified xsi:type="dcterms:W3CDTF">2026-03-22T17:00:36.908Z</dcterms:modified>
</cp:coreProperties>
</file>

<file path=docProps/custom.xml><?xml version="1.0" encoding="utf-8"?>
<Properties xmlns="http://schemas.openxmlformats.org/officeDocument/2006/custom-properties" xmlns:vt="http://schemas.openxmlformats.org/officeDocument/2006/docPropsVTypes"/>
</file>