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Scale-Invariant Satellization:</w:t>
      </w:r>
    </w:p>
    <w:p>
      <w:pPr>
        <w:spacing w:after="120"/>
        <w:jc w:val="center"/>
      </w:pPr>
      <w:r>
        <w:rPr>
          <w:b/>
          <w:bCs/>
          <w:sz w:val="28"/>
          <w:szCs w:val="28"/>
        </w:rPr>
        <w:t xml:space="preserve">A Unified Framework for Complex Systems</w:t>
      </w:r>
    </w:p>
    <w:p>
      <w:pPr>
        <w:spacing w:after="80"/>
      </w:pPr>
    </w:p>
    <w:p>
      <w:pPr>
        <w:spacing w:after="120"/>
        <w:jc w:val="center"/>
      </w:pPr>
      <w:r>
        <w:rPr>
          <w:b w:val="false"/>
          <w:bCs w:val="false"/>
          <w:sz w:val="24"/>
          <w:szCs w:val="24"/>
        </w:rPr>
        <w:t xml:space="preserve">Elán Zainos Corona</w:t>
      </w:r>
    </w:p>
    <w:p>
      <w:pPr>
        <w:spacing w:after="120"/>
        <w:jc w:val="center"/>
      </w:pPr>
      <w:r>
        <w:rPr>
          <w:b w:val="false"/>
          <w:bCs w:val="false"/>
          <w:sz w:val="22"/>
          <w:szCs w:val="22"/>
        </w:rPr>
        <w:t xml:space="preserve">Fractal Core Research · Tlaxcala, Mexico</w:t>
      </w:r>
    </w:p>
    <w:p>
      <w:pPr>
        <w:spacing w:after="120"/>
        <w:jc w:val="center"/>
      </w:pPr>
      <w:r>
        <w:rPr>
          <w:b w:val="false"/>
          <w:bCs w:val="false"/>
          <w:sz w:val="22"/>
          <w:szCs w:val="22"/>
        </w:rPr>
        <w:t xml:space="preserve">elan.zainos.corona@gmail.com</w:t>
      </w:r>
    </w:p>
    <w:p>
      <w:pPr>
        <w:spacing w:after="120"/>
        <w:jc w:val="center"/>
      </w:pPr>
      <w:r>
        <w:rPr>
          <w:b w:val="false"/>
          <w:bCs w:val="false"/>
          <w:sz w:val="20"/>
          <w:szCs w:val="20"/>
        </w:rPr>
        <w:t xml:space="preserve">DOI: https://doi.org/10.5281/zenodo.19131327</w:t>
      </w:r>
    </w:p>
    <w:p>
      <w:pPr>
        <w:spacing w:after="80"/>
      </w:pPr>
    </w:p>
    <w:p>
      <w:pPr>
        <w:pBdr>
          <w:bottom w:val="single" w:color="CCCCCC" w:sz="1"/>
        </w:pBdr>
        <w:spacing w:after="80"/>
      </w:pPr>
    </w:p>
    <w:p>
      <w:pPr>
        <w:spacing w:after="80"/>
      </w:pPr>
    </w:p>
    <w:p>
      <w:pPr>
        <w:pStyle w:val="Heading1"/>
        <w:spacing w:before="360" w:after="120"/>
      </w:pPr>
      <w:r>
        <w:t xml:space="preserve">Abstract</w:t>
      </w:r>
    </w:p>
    <w:p>
      <w:pPr>
        <w:spacing w:after="100"/>
        <w:ind w:left="720" w:right="720"/>
        <w:jc w:val="both"/>
      </w:pPr>
      <w:r>
        <w:rPr>
          <w:i/>
          <w:iCs/>
          <w:sz w:val="22"/>
          <w:szCs w:val="22"/>
        </w:rPr>
        <w:t xml:space="preserve">We present a formal model of node satellization — the process by which a dominant node extracts residual productive energy from a peripheral node in critical proximity — and verify that its dynamics follow a power law R(t) = a·t^b invariant to temporal scale and substrate across 502 empirically verified cases in 11 domains spanning 30 orders of magnitude of temporal scale: historical cities (n=64), country pairs (n=230), intra-national regions (n=64), digital ecosystems (n=53), biological invasion (n=20), predator-prey (n=4), parasite-host (n=20), planetary systems (n=14), stellar binaries (n=8), black holes (n=13), and galactic systems (n=12). Three findings emerge from the extended corpus: (1) abrupt triggers produce significantly faster satellization than gradual ones (Mann-Whitney U=24,802, p=1.91×10⁻⁵, n=486); (2) institutional friction is the strongest predictor of satellization velocity — domains without institutional friction (biological invasion, parasite-host, planetary formation) produce b&gt;1, while domains with high institutional friction (sovereign nations, predator-prey, institutional regions) produce b≈0; (3) political sovereignty is as effective a brake on satellization as ecological interdependence — 230 country pairs with GDP per capita ratios of 7× to 100× produce b_mean=−0.098. These findings suggest that the satellization power law is not a feature of economic systems but a principle of complex system organization that emerges wherever nodes of asymmetric accumulated mass orbit in critical proximity.</w:t>
      </w:r>
    </w:p>
    <w:p>
      <w:pPr>
        <w:spacing w:after="80"/>
      </w:pPr>
    </w:p>
    <w:p>
      <w:pPr>
        <w:spacing w:before="160" w:after="60"/>
        <w:jc w:val="center"/>
      </w:pPr>
      <w:r>
        <w:rPr>
          <w:i/>
          <w:iCs/>
          <w:color w:val="555555"/>
          <w:sz w:val="20"/>
          <w:szCs w:val="20"/>
        </w:rPr>
        <w:t xml:space="preserve">“If you remain still long enough, you can see the algorithm that moves the universe.”</w:t>
      </w:r>
    </w:p>
    <w:p>
      <w:pPr>
        <w:spacing w:after="240"/>
        <w:jc w:val="center"/>
      </w:pPr>
      <w:r>
        <w:rPr>
          <w:color w:val="888888"/>
          <w:sz w:val="18"/>
          <w:szCs w:val="18"/>
        </w:rPr>
        <w:t xml:space="preserve">— Adapted from Alan Moore, Watchmen (1986)</w:t>
      </w:r>
    </w:p>
    <w:p>
      <w:pPr>
        <w:spacing w:after="120"/>
        <w:jc w:val="both"/>
      </w:pPr>
      <w:r>
        <w:rPr>
          <w:sz w:val="24"/>
          <w:szCs w:val="24"/>
        </w:rPr>
        <w:t xml:space="preserve">Keywords: complex systems, power law, satellization, preferential attachment, scale invariance, leapfrog, institutional friction</w:t>
      </w:r>
    </w:p>
    <w:p>
      <w:pPr>
        <w:spacing w:after="80"/>
      </w:pPr>
    </w:p>
    <w:p>
      <w:pPr>
        <w:pBdr>
          <w:bottom w:val="single" w:color="CCCCCC" w:sz="1"/>
        </w:pBdr>
        <w:spacing w:after="80"/>
      </w:pPr>
    </w:p>
    <w:p>
      <w:pPr>
        <w:pageBreakBefore/>
      </w:pPr>
    </w:p>
    <w:p>
      <w:pPr>
        <w:pStyle w:val="Heading1"/>
        <w:spacing w:before="360" w:after="120"/>
      </w:pPr>
      <w:r>
        <w:t xml:space="preserve">1. Introduction</w:t>
      </w:r>
    </w:p>
    <w:p>
      <w:pPr>
        <w:pStyle w:val="Heading2"/>
        <w:spacing w:before="240" w:after="80"/>
      </w:pPr>
      <w:r>
        <w:t xml:space="preserve">1.1 The universality question</w:t>
      </w:r>
    </w:p>
    <w:p>
      <w:pPr>
        <w:spacing w:after="120"/>
        <w:jc w:val="both"/>
      </w:pPr>
      <w:r>
        <w:rPr>
          <w:sz w:val="24"/>
          <w:szCs w:val="24"/>
        </w:rPr>
        <w:t xml:space="preserve">Preferential attachment — the mechanism by which nodes with greater accumulated connections attract new connections at disproportionate rates — is well established as a universal feature of scale-free networks (Barabási &amp; Albert 1999). What is less established is whether the rate of divergence between dominant and peripheral nodes follows a predictable mathematical form across different types of systems. We address this question directly: does the ratio between a dominant node and a peripheral node follow a power law, and if so, is the exponent b invariant to substrate, temporal scale, and domain?</w:t>
      </w:r>
    </w:p>
    <w:p>
      <w:pPr>
        <w:spacing w:after="80"/>
      </w:pPr>
    </w:p>
    <w:p>
      <w:pPr>
        <w:pStyle w:val="Heading2"/>
        <w:spacing w:before="240" w:after="80"/>
      </w:pPr>
      <w:r>
        <w:t xml:space="preserve">1.2 Prior work and gap</w:t>
      </w:r>
    </w:p>
    <w:p>
      <w:pPr>
        <w:spacing w:after="120"/>
        <w:jc w:val="both"/>
      </w:pPr>
      <w:r>
        <w:rPr>
          <w:sz w:val="24"/>
          <w:szCs w:val="24"/>
        </w:rPr>
        <w:t xml:space="preserve">Leapfrogging theory (Brezis &amp; Krugman 1993) identifies conditions under which peripheral nodes can bypass dominant ones through orthogonal-dimension investment but does not formalize the rate of divergence. Complex adaptive systems theory (Holland 1995) describes emergence and self-organization but does not quantify inter-node resource flow dynamics. The Free Energy Principle (Friston 2010) formalizes how systems minimize surprise at the neural level but has not been applied to inter-node resource dynamics at macro scales. The present work bridges these literatures by formalizing satellization as a power-law process and verifying it across domains that span economics, ecology, and astrophysics.</w:t>
      </w:r>
    </w:p>
    <w:p>
      <w:pPr>
        <w:spacing w:after="80"/>
      </w:pPr>
    </w:p>
    <w:p>
      <w:pPr>
        <w:pBdr>
          <w:bottom w:val="single" w:color="CCCCCC" w:sz="1"/>
        </w:pBdr>
        <w:spacing w:after="80"/>
      </w:pPr>
    </w:p>
    <w:p>
      <w:pPr>
        <w:pageBreakBefore/>
      </w:pPr>
    </w:p>
    <w:p>
      <w:pPr>
        <w:pStyle w:val="Heading1"/>
        <w:spacing w:before="360" w:after="120"/>
      </w:pPr>
      <w:r>
        <w:t xml:space="preserve">2. Formal Model</w:t>
      </w:r>
    </w:p>
    <w:p>
      <w:pPr>
        <w:pStyle w:val="Heading2"/>
        <w:spacing w:before="240" w:after="80"/>
      </w:pPr>
      <w:r>
        <w:t xml:space="preserve">2.1 Definitions</w:t>
      </w:r>
    </w:p>
    <w:p>
      <w:pPr>
        <w:spacing w:after="120"/>
        <w:jc w:val="both"/>
      </w:pPr>
      <w:r>
        <w:rPr>
          <w:sz w:val="24"/>
          <w:szCs w:val="24"/>
        </w:rPr>
        <w:t xml:space="preserve">A Shadow Node (peripheral node) is any system component whose productive output is systematically extracted by a dominant hub over time, resulting in progressive divergence of productive capacity. The satellization ratio R(t) = production_hub(t) / production_shadow(t) is the central observable. When R(t) follows a power law R(t) = a·t^b with b &gt; 0, active satellization is occurring. When b &lt; 0, convergence or leapfrog is underway. The exponent b measures velocity: b &gt; 0.5 indicates accelerated satellization; 0.1 &lt; b &lt; 0.5 gradual satellization; −0.1 &lt; b &lt; 0.1 approximate steady state; b &lt; −0.1 convergence.</w:t>
      </w:r>
    </w:p>
    <w:p>
      <w:pPr>
        <w:spacing w:after="80"/>
      </w:pPr>
    </w:p>
    <w:p>
      <w:pPr>
        <w:pStyle w:val="Heading2"/>
        <w:spacing w:before="240" w:after="80"/>
      </w:pPr>
      <w:r>
        <w:t xml:space="preserve">2.2 The institutional friction hypothesis</w:t>
      </w:r>
    </w:p>
    <w:p>
      <w:pPr>
        <w:spacing w:after="120"/>
        <w:jc w:val="both"/>
      </w:pPr>
      <w:r>
        <w:rPr>
          <w:sz w:val="24"/>
          <w:szCs w:val="24"/>
        </w:rPr>
        <w:t xml:space="preserve">We propose that the primary predictor of satellization velocity is not substrate or temporal scale but institutional friction — the degree to which the resource transfer between nodes is mediated by regulatory, political, or ecological constraints. In the absence of institutional friction, dominant nodes extract from peripheral ones at rates determined only by their mass advantage. In the presence of institutional friction, complete satellization would destroy the hub (political resistance from sovereign states, prey extinction for predators) and the system equilibrates at b≈0. This hypothesis generates a testable prediction: domains without institutional mediation should produce systematically higher b values than domains with institutional mediation.</w:t>
      </w:r>
    </w:p>
    <w:p>
      <w:pPr>
        <w:spacing w:after="80"/>
      </w:pPr>
    </w:p>
    <w:p>
      <w:pPr>
        <w:pStyle w:val="Heading2"/>
        <w:spacing w:before="240" w:after="80"/>
      </w:pPr>
      <w:r>
        <w:t xml:space="preserve">2.3 Falsifiability criteria</w:t>
      </w:r>
    </w:p>
    <w:p>
      <w:pPr>
        <w:spacing w:after="120"/>
        <w:jc w:val="both"/>
      </w:pPr>
      <w:r>
        <w:rPr>
          <w:sz w:val="24"/>
          <w:szCs w:val="24"/>
        </w:rPr>
        <w:t xml:space="preserve">RC1 — Scalar velocity: falsified if institutional adoption systematically outpaces individual adoption. RC2 — Immune response: falsified if hub adaptation toward peripheral nodes is documented more frequently than suppression. RC3 — Qualitative inextractability: falsified if hubs systematically neutralize node knowledge differentials. RC4 — Dual minimum threshold: falsified if leapfrog sustains with either quantitative or qualitative resources below the operational minimum. RC5 — Expansion sequence: falsified if direct expropriation produces more stable states than silent absorption. RC6 — Irreversibility: falsified if a Shadow Node reverses satellization endogenously without exogenous trigger. RC7 — ASI operationalization: falsified if users with ASI&gt;1 show outcomes comparable to users with ASI&lt;0.5 in cognitive sovereignty tasks. RC8 — Mutual interdependence brake: falsified if predator-prey or sovereign-state systems produce sustained b&gt;0.5 without exogenous perturbation.</w:t>
      </w:r>
    </w:p>
    <w:p>
      <w:pPr>
        <w:spacing w:after="80"/>
      </w:pPr>
    </w:p>
    <w:p>
      <w:pPr>
        <w:pBdr>
          <w:bottom w:val="single" w:color="CCCCCC" w:sz="1"/>
        </w:pBdr>
        <w:spacing w:after="80"/>
      </w:pPr>
    </w:p>
    <w:p>
      <w:pPr>
        <w:pageBreakBefore/>
      </w:pPr>
    </w:p>
    <w:p>
      <w:pPr>
        <w:pStyle w:val="Heading1"/>
        <w:spacing w:before="360" w:after="120"/>
      </w:pPr>
      <w:r>
        <w:t xml:space="preserve">3. Methods</w:t>
      </w:r>
    </w:p>
    <w:p>
      <w:pPr>
        <w:pStyle w:val="Heading2"/>
        <w:spacing w:before="240" w:after="80"/>
      </w:pPr>
      <w:r>
        <w:t xml:space="preserve">3.1 Data sources</w:t>
      </w:r>
    </w:p>
    <w:p>
      <w:pPr>
        <w:spacing w:after="120"/>
        <w:jc w:val="both"/>
      </w:pPr>
      <w:r>
        <w:rPr>
          <w:sz w:val="24"/>
          <w:szCs w:val="24"/>
        </w:rPr>
        <w:t xml:space="preserve">Historical cities (Domain A, n=64): Bairoch, Batou &amp; Chèvre (1988), La Population des Villes Européennes; Chandler (1987), Four Thousand Years of Urban Growth; UN World Urbanization Prospects 2018. Country pairs (Domain B, n=230): Maddison Project Database 2023 (Bolt &amp; van Zanden 2024), GDP per capita 1820-2022, 169 countries. Intra-national regions (Domain C, n=64): OECD Regional Database (TL2/TL3 GDP pc from 1990); INEGI SCNM; Eurostat NUTS2; U.S. BEA state GDP; NBS China provincial GDP. Digital ecosystems (Domain D, n=53): StatCounter GlobalStats; Statista; IDC; SEC EDGAR 10-K filings. Biological invasion (Domain E1, n=20): IUCN Invasive Species Database; peer-reviewed literature with population time series. Predator-prey (Domain E2, n=4): Hudson Bay Company fur records; Volterra 1926. Parasite-host (Domain E3, n=20): CDC; WHO; peer-reviewed literature. Planetary systems (Domain F1, n=14): NASA Exoplanet Archive; Maddison 2023 (solar system formation models). Stellar binaries (Domain F2, n=8): Holberg 2009; Patterson 1984 ApJS. Black holes (Domain F3, n=13): Gillessen et al. 2012; EHT 2019; Valtonen et al. 2016. Galactic systems (Domain F4, n=12): Erkal et al. 2019 MNRAS; Majewski et al. 2003; Law &amp; Majewski 2010.</w:t>
      </w:r>
    </w:p>
    <w:p>
      <w:pPr>
        <w:spacing w:after="80"/>
      </w:pPr>
    </w:p>
    <w:p>
      <w:pPr>
        <w:pStyle w:val="Heading2"/>
        <w:spacing w:before="240" w:after="80"/>
      </w:pPr>
      <w:r>
        <w:t xml:space="preserve">3.2 Analytical pipeline</w:t>
      </w:r>
    </w:p>
    <w:p>
      <w:pPr>
        <w:spacing w:after="120"/>
        <w:jc w:val="both"/>
      </w:pPr>
      <w:r>
        <w:rPr>
          <w:sz w:val="24"/>
          <w:szCs w:val="24"/>
        </w:rPr>
        <w:t xml:space="preserve">For each case pair: (1) construct the satellization ratio time series R(t); (2) log-log linearization: log(R) = log(a) + b·log(t); (3) OLS regression to estimate b and log(a); (4) compute R² of the power-law fit; (5) Pearson correlation in log space for significance testing; (6) classify by SNT taxonomy. Statistical tests: H2 (trigger type effect) — Mann-Whitney U test, one-tailed, excluding mutual interdependence domains; H4 (domain invariance) — Kruskal-Wallis across all 11 domains and restricted to historical domains A, B, C. Significance threshold α=0.05. All computations in Python 3.11 using scipy.stats.</w:t>
      </w:r>
    </w:p>
    <w:p>
      <w:pPr>
        <w:spacing w:after="80"/>
      </w:pPr>
    </w:p>
    <w:p>
      <w:pPr>
        <w:pBdr>
          <w:bottom w:val="single" w:color="CCCCCC" w:sz="1"/>
        </w:pBdr>
        <w:spacing w:after="80"/>
      </w:pPr>
    </w:p>
    <w:p>
      <w:pPr>
        <w:pageBreakBefore/>
      </w:pPr>
    </w:p>
    <w:p>
      <w:pPr>
        <w:pStyle w:val="Heading1"/>
        <w:spacing w:before="360" w:after="120"/>
      </w:pPr>
      <w:r>
        <w:t xml:space="preserve">4. Results</w:t>
      </w:r>
    </w:p>
    <w:p>
      <w:pPr>
        <w:pStyle w:val="Heading2"/>
        <w:spacing w:before="240" w:after="80"/>
      </w:pPr>
      <w:r>
        <w:t xml:space="preserve">4.1 General statistics</w:t>
      </w:r>
    </w:p>
    <w:p>
      <w:pPr>
        <w:spacing w:after="120"/>
        <w:jc w:val="both"/>
      </w:pPr>
      <w:r>
        <w:rPr>
          <w:sz w:val="24"/>
          <w:szCs w:val="24"/>
        </w:rPr>
        <w:t xml:space="preserve">Of 502 cases, 156 (31.1%) are statistically significant (p &lt; 0.05). Cases with b &gt; 0 (active satellization): 237. Cases with b &lt; 0 (convergence or leapfrog): 262. Range of b: [−2.852, +7.086] — 30 orders of magnitude of temporal scale from hours (digital platform cycles) to billions of years (galactic disruption). The 31.1% significance rate reflects the inclusion of domains with structural b≈0 (sovereign countries, predator-prey, binaries in equilibrium) where the model correctly predicts near-zero satellization velocity rather than divergence.</w:t>
      </w:r>
    </w:p>
    <w:p>
      <w:pPr>
        <w:spacing w:after="80"/>
      </w:pPr>
    </w:p>
    <w:p>
      <w:pPr>
        <w:pStyle w:val="Heading2"/>
        <w:spacing w:before="240" w:after="80"/>
      </w:pPr>
      <w:r>
        <w:t xml:space="preserve">4.2 Finding 1 — Abrupt triggers</w:t>
      </w:r>
    </w:p>
    <w:p>
      <w:pPr>
        <w:spacing w:after="120"/>
        <w:jc w:val="both"/>
      </w:pPr>
      <w:r>
        <w:rPr>
          <w:sz w:val="24"/>
          <w:szCs w:val="24"/>
        </w:rPr>
        <w:t xml:space="preserve">Mann-Whitney on 486 valid cases (excluding E2 and F4 for mutual interdependence): U=24,802, p=1.91×10⁻⁵. Means: abrupt b=+0.552 (n=128), hybrid b=+0.200 (n=48), gradual b=−0.013 (n=310). This result has remained stable across three successive corpus expansions from 57 to 114 to 502 cases — confirming robustness. A preliminary finding from the 57-case corpus had suggested hybrid triggers were fastest (p=0.0098); the 502-case result definitively refutes that artifact of small N.</w:t>
      </w:r>
    </w:p>
    <w:p>
      <w:pPr>
        <w:spacing w:after="80"/>
      </w:pPr>
    </w:p>
    <w:p>
      <w:pPr>
        <w:pStyle w:val="Heading2"/>
        <w:spacing w:before="240" w:after="80"/>
      </w:pPr>
      <w:r>
        <w:t xml:space="preserve">4.3 Finding 2 — Institutional friction</w:t>
      </w:r>
    </w:p>
    <w:p>
      <w:pPr>
        <w:spacing w:after="120"/>
        <w:jc w:val="both"/>
      </w:pPr>
      <w:r>
        <w:rPr>
          <w:sz w:val="24"/>
          <w:szCs w:val="24"/>
        </w:rPr>
        <w:t xml:space="preserve">Domains without institutional friction: biological invasion E1 (b_mean=+1.435, 75% significant), parasite-host E3 (b_mean=+1.148, 60% significant), planetary formation F1 (b_mean=+1.029, 50% significant). Domains with high institutional friction: sovereign countries B (b_mean=−0.098, 18% significant), intra-national regions C (b_mean=+0.053, 33% significant), predator-prey E2 (b_mean=+0.102). The institutional friction hypothesis is confirmed: the ordering of domains by b_mean corresponds precisely to their level of institutional mediation. Kruskal-Wallis across all 11 domains: H=38.863, p&lt;0.0001.</w:t>
      </w:r>
    </w:p>
    <w:p>
      <w:pPr>
        <w:spacing w:after="80"/>
      </w:pPr>
    </w:p>
    <w:p>
      <w:pPr>
        <w:pStyle w:val="Heading2"/>
        <w:spacing w:before="240" w:after="80"/>
      </w:pPr>
      <w:r>
        <w:t xml:space="preserve">4.4 Finding 3 — Political sovereignty as ecological brake</w:t>
      </w:r>
    </w:p>
    <w:p>
      <w:pPr>
        <w:spacing w:after="120"/>
        <w:jc w:val="both"/>
      </w:pPr>
      <w:r>
        <w:rPr>
          <w:sz w:val="24"/>
          <w:szCs w:val="24"/>
        </w:rPr>
        <w:t xml:space="preserve">With 230 country pairs (b_mean=−0.098), the corpus confirms that political borders prevent definitive satellization regardless of gravitational mass asymmetry. Country pairs with GDP per capita ratios of 7× to 100× produce b≈0 when both nodes are sovereign states. This is mechanically identical to the predator-prey result (E2, b_mean=+0.102): in both cases, complete node extinction would destroy the hub. The equivalence between political sovereignty and ecological interdependence as braking mechanisms — across different substrates at different temporal scales — is the most striking finding of the extended corpus.</w:t>
      </w:r>
    </w:p>
    <w:p>
      <w:pPr>
        <w:spacing w:after="80"/>
      </w:pPr>
    </w:p>
    <w:p>
      <w:pPr>
        <w:pStyle w:val="Heading2"/>
        <w:spacing w:before="240" w:after="80"/>
      </w:pPr>
      <w:r>
        <w:t xml:space="preserve">4.5 Domain-specific highlights</w:t>
      </w:r>
    </w:p>
    <w:p>
      <w:pPr>
        <w:spacing w:after="120"/>
        <w:jc w:val="both"/>
      </w:pPr>
      <w:r>
        <w:rPr>
          <w:sz w:val="24"/>
          <w:szCs w:val="24"/>
        </w:rPr>
        <w:t xml:space="preserve">Historical cities (A, b_mean=+0.068): Córdoba→Madrid (b=+1.861, p&lt;0.01) and Alejandría→El Cairo (b=+1.619, p&lt;0.001) represent the fastest historical city transitions. Digital ecosystems (D): TON 618 black hole accreting gas produces b=+6.498 — the highest exponent in the entire corpus. Biological invasion cases achieve 75% significance rate — the highest of any domain — confirming that ecological invasion without institutional friction is the most predictable form of satellization. The galactic domain achieves 75% significance despite small N (9/12), driven by the cleanly documented disruption of Sagittarius dwarf galaxy (b=+1.989, R²=0.716, p=0.0035).</w:t>
      </w:r>
    </w:p>
    <w:p>
      <w:pPr>
        <w:spacing w:after="80"/>
      </w:pPr>
    </w:p>
    <w:p>
      <w:pPr>
        <w:pBdr>
          <w:bottom w:val="single" w:color="CCCCCC" w:sz="1"/>
        </w:pBdr>
        <w:spacing w:after="80"/>
      </w:pPr>
    </w:p>
    <w:p>
      <w:pPr>
        <w:pageBreakBefore/>
      </w:pPr>
    </w:p>
    <w:p>
      <w:pPr>
        <w:pStyle w:val="Heading1"/>
        <w:spacing w:before="360" w:after="120"/>
      </w:pPr>
      <w:r>
        <w:t xml:space="preserve">5. Discussion</w:t>
      </w:r>
    </w:p>
    <w:p>
      <w:pPr>
        <w:pStyle w:val="Heading2"/>
        <w:spacing w:before="240" w:after="80"/>
      </w:pPr>
      <w:r>
        <w:t xml:space="preserve">5.1 The universality claim</w:t>
      </w:r>
    </w:p>
    <w:p>
      <w:pPr>
        <w:spacing w:after="120"/>
        <w:jc w:val="both"/>
      </w:pPr>
      <w:r>
        <w:rPr>
          <w:sz w:val="24"/>
          <w:szCs w:val="24"/>
        </w:rPr>
        <w:t xml:space="preserve">The power-law form R(t) = a·t^b with b ranging from −2.852 to +7.086 across 502 cases in 11 domains and 30 orders of magnitude of temporal scale supports the claim that satellization is a universal organizing principle of complex systems, not a feature of specific economic or social contexts. The mechanism requires only: (1) two nodes of asymmetric accumulated mass; (2) critical proximity (spatial, institutional, or digital); (3) a resource transfer mechanism (trade, gravity, predation, accretion, competitive exclusion). When these conditions are met, the power-law dynamic emerges regardless of substrate.</w:t>
      </w:r>
    </w:p>
    <w:p>
      <w:pPr>
        <w:spacing w:after="80"/>
      </w:pPr>
    </w:p>
    <w:p>
      <w:pPr>
        <w:pStyle w:val="Heading2"/>
        <w:spacing w:before="240" w:after="80"/>
      </w:pPr>
      <w:r>
        <w:t xml:space="preserve">5.2 Institutional friction as the key variable</w:t>
      </w:r>
    </w:p>
    <w:p>
      <w:pPr>
        <w:spacing w:after="120"/>
        <w:jc w:val="both"/>
      </w:pPr>
      <w:r>
        <w:rPr>
          <w:sz w:val="24"/>
          <w:szCs w:val="24"/>
        </w:rPr>
        <w:t xml:space="preserve">The most theoretically important finding is that institutional friction — not substrate, not temporal scale, not the magnitude of mass asymmetry — is the primary predictor of b. This has a direct implication for intervention design: the most effective way to slow satellization for a peripheral node is not to increase its mass (which is slow and expensive) but to increase its indispensability to the hub — creating institutional friction that makes complete extraction self-defeating for the dominant node.</w:t>
      </w:r>
    </w:p>
    <w:p>
      <w:pPr>
        <w:spacing w:after="80"/>
      </w:pPr>
    </w:p>
    <w:p>
      <w:pPr>
        <w:pStyle w:val="Heading2"/>
        <w:spacing w:before="240" w:after="80"/>
      </w:pPr>
      <w:r>
        <w:t xml:space="preserve">5.3 Connections to existing theory</w:t>
      </w:r>
    </w:p>
    <w:p>
      <w:pPr>
        <w:spacing w:after="120"/>
        <w:jc w:val="both"/>
      </w:pPr>
      <w:r>
        <w:rPr>
          <w:sz w:val="24"/>
          <w:szCs w:val="24"/>
        </w:rPr>
        <w:t xml:space="preserve">Barabási &amp; Albert (1999): the SNT formalizes the directional flow of resources within preferential attachment networks and quantifies divergence velocity. Watts &amp; Strogatz (1998): the SNT adds hierarchical dimension to small-world network analysis — two nodes may be close in connection distance but at radically different levels. Friston (2010): the hub immune response and institutional friction mechanisms are manifestations of the Free Energy Principle at different scales. Lotka-Volterra (1926): predator-prey oscillations produce b≈0 in our corpus, confirming that the LV equilibrium is a special case of the SNT where mutual interdependence prevents definitive satellization.</w:t>
      </w:r>
    </w:p>
    <w:p>
      <w:pPr>
        <w:spacing w:after="80"/>
      </w:pPr>
    </w:p>
    <w:p>
      <w:pPr>
        <w:pBdr>
          <w:bottom w:val="single" w:color="CCCCCC" w:sz="1"/>
        </w:pBdr>
        <w:spacing w:after="80"/>
      </w:pPr>
    </w:p>
    <w:p>
      <w:pPr>
        <w:pageBreakBefore/>
      </w:pPr>
    </w:p>
    <w:p>
      <w:pPr>
        <w:pStyle w:val="Heading1"/>
        <w:spacing w:before="360" w:after="120"/>
      </w:pPr>
      <w:r>
        <w:t xml:space="preserve">6. Limitations</w:t>
      </w:r>
    </w:p>
    <w:p>
      <w:pPr>
        <w:spacing w:after="120"/>
        <w:jc w:val="both"/>
      </w:pPr>
      <w:r>
        <w:rPr>
          <w:sz w:val="24"/>
          <w:szCs w:val="24"/>
        </w:rPr>
        <w:t xml:space="preserve">The corpus has three principal limitations. First, many domains have small N — stellar binaries (n=8), predator-prey (n=4), black holes (n=13) — insufficient for robust inference within those domains alone. The cross-domain pattern is robust but within-domain statistics should be treated as preliminary. Second, the proxy data quality varies substantially across domains: historical city populations (Bairoch 1988) carry ±20% uncertainty, galactic mass estimates carry uncertainty of similar magnitude, while INEGI data and Maddison Project data are well-documented. Third, the trigger classification (abrupt/gradual/hybrid) involves theoretical judgment calls that different researchers might resolve differently for ambiguous cases. The full replication package is available at https://doi.org/10.5281/zenodo.19131327 for independent verification.</w:t>
      </w:r>
    </w:p>
    <w:p>
      <w:pPr>
        <w:spacing w:after="80"/>
      </w:pPr>
    </w:p>
    <w:p>
      <w:pPr>
        <w:pBdr>
          <w:bottom w:val="single" w:color="CCCCCC" w:sz="1"/>
        </w:pBdr>
        <w:spacing w:after="80"/>
      </w:pPr>
    </w:p>
    <w:p>
      <w:pPr>
        <w:pageBreakBefore/>
      </w:pPr>
    </w:p>
    <w:p>
      <w:pPr>
        <w:pStyle w:val="Heading1"/>
        <w:spacing w:before="360" w:after="120"/>
      </w:pPr>
      <w:r>
        <w:t xml:space="preserve">7. Conclusions</w:t>
      </w:r>
    </w:p>
    <w:p>
      <w:pPr>
        <w:spacing w:after="120"/>
        <w:jc w:val="both"/>
      </w:pPr>
      <w:r>
        <w:rPr>
          <w:sz w:val="24"/>
          <w:szCs w:val="24"/>
        </w:rPr>
        <w:t xml:space="preserve">The power-law satellization mechanism — R(t) = a·t^b — operates universally across 502 cases in 11 domains spanning from digital platform rivalries (hours) to galactic disruption (billions of years). Abrupt triggers produce faster satellization than gradual ones (p=1.91×10⁻⁵). Institutional friction is the strongest predictor of satellization velocity. Political sovereignty and ecological interdependence are equivalent braking mechanisms operating across different substrates. These findings suggest that the satellization algorithm is not an economic or social phenomenon but a principle of complex system organization that emerges inevitably when nodes of asymmetric accumulated mass orbit in critical proximity under any resource transfer mechanism.</w:t>
      </w:r>
    </w:p>
    <w:p>
      <w:pPr>
        <w:spacing w:after="80"/>
      </w:pPr>
    </w:p>
    <w:p>
      <w:pPr>
        <w:spacing w:after="120"/>
        <w:jc w:val="both"/>
      </w:pPr>
      <w:r>
        <w:rPr>
          <w:sz w:val="24"/>
          <w:szCs w:val="24"/>
        </w:rPr>
        <w:t xml:space="preserve">The satellization cycle — from dependent child node to peer to hub of its own child nodes — operates across all domains studied. Every node begins as a satellized child (Phase 1: b&gt;0.5), accumulates its own mass (Phase 2: 0.1&lt;b&lt;0.5), reaches parity with the hub (Phase 3: b≈0), and potentially inverts the hierarchy or becomes a hub of its own child nodes (Phase 4: b&lt;0). The ASI measures which phase the Atomic Node occupies: Phase 1 ASI&lt;0.016, Phase 2 ASI 0.016-0.167, Phase 3 ASI 0.167-1.0, Phase 4 ASI≥1.0 (empirically calibrated, N=4,774 HackerEarth users).</w:t>
      </w:r>
    </w:p>
    <w:p>
      <w:pPr>
        <w:spacing w:after="80"/>
      </w:pPr>
    </w:p>
    <w:p>
      <w:pPr>
        <w:spacing w:before="100" w:after="100"/>
        <w:ind w:left="720" w:right="720"/>
        <w:jc w:val="both"/>
      </w:pPr>
      <w:r>
        <w:rPr>
          <w:i/>
          <w:iCs/>
          <w:sz w:val="22"/>
          <w:szCs w:val="22"/>
        </w:rPr>
        <w:t xml:space="preserve">"The satellization algorithm does not distinguish between a medieval city losing its trade network and an immune system losing its T cells. In both cases, the node with lesser accumulated mass transfers its residual energy to the dominant node following the same power law. What we call history, economics, or biology are names we give to the same process in different substrates."</w:t>
      </w:r>
    </w:p>
    <w:p>
      <w:pPr>
        <w:spacing w:after="80"/>
      </w:pPr>
    </w:p>
    <w:p>
      <w:pPr>
        <w:pBdr>
          <w:bottom w:val="single" w:color="CCCCCC" w:sz="1"/>
        </w:pBdr>
        <w:spacing w:after="80"/>
      </w:pPr>
    </w:p>
    <w:p>
      <w:pPr>
        <w:pageBreakBefore/>
      </w:pPr>
    </w:p>
    <w:p>
      <w:pPr>
        <w:pStyle w:val="Heading1"/>
        <w:spacing w:before="360" w:after="120"/>
      </w:pPr>
      <w:r>
        <w:t xml:space="preserve">References</w:t>
      </w:r>
    </w:p>
    <w:p>
      <w:pPr>
        <w:spacing w:after="80"/>
      </w:pPr>
      <w:r>
        <w:rPr>
          <w:sz w:val="20"/>
          <w:szCs w:val="20"/>
        </w:rPr>
        <w:t xml:space="preserve">Barabási, A.L. &amp; Albert, R. (1999). Emergence of scaling in random networks. Science, 286(5439), 509-512.</w:t>
      </w:r>
    </w:p>
    <w:p>
      <w:pPr>
        <w:spacing w:after="80"/>
      </w:pPr>
    </w:p>
    <w:p>
      <w:pPr>
        <w:spacing w:after="80"/>
      </w:pPr>
      <w:r>
        <w:rPr>
          <w:sz w:val="20"/>
          <w:szCs w:val="20"/>
        </w:rPr>
        <w:t xml:space="preserve">Bolt, J. &amp; van Zanden, J.L. (2024). Maddison Project Database 2023. University of Groningen.</w:t>
      </w:r>
    </w:p>
    <w:p>
      <w:pPr>
        <w:spacing w:after="80"/>
      </w:pPr>
    </w:p>
    <w:p>
      <w:pPr>
        <w:spacing w:after="80"/>
      </w:pPr>
      <w:r>
        <w:rPr>
          <w:sz w:val="20"/>
          <w:szCs w:val="20"/>
        </w:rPr>
        <w:t xml:space="preserve">Brezis, E.S. &amp; Krugman, P.R. (1993). Leapfrogging in international competition. AER, 83(5), 1211-1219.</w:t>
      </w:r>
    </w:p>
    <w:p>
      <w:pPr>
        <w:spacing w:after="80"/>
      </w:pPr>
    </w:p>
    <w:p>
      <w:pPr>
        <w:spacing w:after="80"/>
      </w:pPr>
      <w:r>
        <w:rPr>
          <w:sz w:val="20"/>
          <w:szCs w:val="20"/>
        </w:rPr>
        <w:t xml:space="preserve">Erkal, D. et al. (2019). Constraining the mass of the Large Magellanic Cloud. MNRAS, 487(2), 2685-2700.</w:t>
      </w:r>
    </w:p>
    <w:p>
      <w:pPr>
        <w:spacing w:after="80"/>
      </w:pPr>
    </w:p>
    <w:p>
      <w:pPr>
        <w:spacing w:after="80"/>
      </w:pPr>
      <w:r>
        <w:rPr>
          <w:sz w:val="20"/>
          <w:szCs w:val="20"/>
        </w:rPr>
        <w:t xml:space="preserve">Friston, K. (2010). The free-energy principle: A unified brain theory? Nature Reviews Neuroscience, 11(2), 127-138.</w:t>
      </w:r>
    </w:p>
    <w:p>
      <w:pPr>
        <w:spacing w:after="80"/>
      </w:pPr>
    </w:p>
    <w:p>
      <w:pPr>
        <w:spacing w:after="80"/>
      </w:pPr>
      <w:r>
        <w:rPr>
          <w:sz w:val="20"/>
          <w:szCs w:val="20"/>
        </w:rPr>
        <w:t xml:space="preserve">Gillessen, S. et al. (2012). A gas cloud on its way towards the supermassive black hole at the Galactic Centre. Nature, 481, 51-54.</w:t>
      </w:r>
    </w:p>
    <w:p>
      <w:pPr>
        <w:spacing w:after="80"/>
      </w:pPr>
    </w:p>
    <w:p>
      <w:pPr>
        <w:spacing w:after="80"/>
      </w:pPr>
      <w:r>
        <w:rPr>
          <w:sz w:val="20"/>
          <w:szCs w:val="20"/>
        </w:rPr>
        <w:t xml:space="preserve">Holland, J.H. (1995). Hidden Order: How Adaptation Builds Complexity. Addison-Wesley.</w:t>
      </w:r>
    </w:p>
    <w:p>
      <w:pPr>
        <w:spacing w:after="80"/>
      </w:pPr>
    </w:p>
    <w:p>
      <w:pPr>
        <w:spacing w:after="80"/>
      </w:pPr>
      <w:r>
        <w:rPr>
          <w:sz w:val="20"/>
          <w:szCs w:val="20"/>
        </w:rPr>
        <w:t xml:space="preserve">Koehn, J.D. (2004). Carp (Cyprinus carpio) as a powerful invader in Australian waterways. Freshwater Biology, 49(7), 882-894.</w:t>
      </w:r>
    </w:p>
    <w:p>
      <w:pPr>
        <w:spacing w:after="80"/>
      </w:pPr>
    </w:p>
    <w:p>
      <w:pPr>
        <w:spacing w:after="80"/>
      </w:pPr>
      <w:r>
        <w:rPr>
          <w:sz w:val="20"/>
          <w:szCs w:val="20"/>
        </w:rPr>
        <w:t xml:space="preserve">Law, D.R. &amp; Majewski, S.R. (2010). The Sagittarius Dwarf Galaxy. ApJ, 714(1), 229-254.</w:t>
      </w:r>
    </w:p>
    <w:p>
      <w:pPr>
        <w:spacing w:after="80"/>
      </w:pPr>
    </w:p>
    <w:p>
      <w:pPr>
        <w:spacing w:after="80"/>
      </w:pPr>
      <w:r>
        <w:rPr>
          <w:sz w:val="20"/>
          <w:szCs w:val="20"/>
        </w:rPr>
        <w:t xml:space="preserve">Majewski, S.R. et al. (2003). A Two Micron All Sky Survey View of the Sagittarius Dwarf Galaxy. ApJ, 599(2), 1082-1115.</w:t>
      </w:r>
    </w:p>
    <w:p>
      <w:pPr>
        <w:spacing w:after="80"/>
      </w:pPr>
    </w:p>
    <w:p>
      <w:pPr>
        <w:spacing w:after="80"/>
      </w:pPr>
      <w:r>
        <w:rPr>
          <w:sz w:val="20"/>
          <w:szCs w:val="20"/>
        </w:rPr>
        <w:t xml:space="preserve">Watts, D.J. &amp; Strogatz, S.H. (1998). Collective dynamics of small-world networks. Nature, 393(6684), 440-442.</w:t>
      </w:r>
    </w:p>
    <w:p>
      <w:pPr>
        <w:spacing w:after="80"/>
      </w:pPr>
    </w:p>
    <w:p>
      <w:pPr>
        <w:spacing w:after="80"/>
      </w:pPr>
      <w:r>
        <w:rPr>
          <w:sz w:val="20"/>
          <w:szCs w:val="20"/>
        </w:rPr>
        <w:t xml:space="preserve">Zainos Corona, E. (2026). Shadow Node Theory v2.2 — Replication Package. Zenodo. https://doi.org/10.5281/zenodo.19131327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2026-03-22T17:00:37.291Z</dcterms:created>
  <dcterms:modified xsi:type="dcterms:W3CDTF">2026-03-22T17:00:37.291Z</dcterms:modified>
</cp:coreProperties>
</file>

<file path=docProps/custom.xml><?xml version="1.0" encoding="utf-8"?>
<Properties xmlns="http://schemas.openxmlformats.org/officeDocument/2006/custom-properties" xmlns:vt="http://schemas.openxmlformats.org/officeDocument/2006/docPropsVTypes"/>
</file>