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Power-Law Dynamics of Biological Satellization:</w:t>
      </w:r>
    </w:p>
    <w:p>
      <w:pPr>
        <w:spacing w:after="120"/>
        <w:jc w:val="center"/>
      </w:pPr>
      <w:r>
        <w:rPr>
          <w:b/>
          <w:bCs/>
          <w:sz w:val="26"/>
          <w:szCs w:val="26"/>
        </w:rPr>
        <w:t xml:space="preserve">A Unified Model of Competitive Exclusion, Predation, and Parasitism</w:t>
      </w:r>
    </w:p>
    <w:p>
      <w:pPr>
        <w:spacing w:after="80"/>
      </w:pPr>
    </w:p>
    <w:p>
      <w:pPr>
        <w:spacing w:after="120"/>
        <w:jc w:val="center"/>
      </w:pPr>
      <w:r>
        <w:rPr>
          <w:b w:val="false"/>
          <w:bCs w:val="false"/>
          <w:sz w:val="24"/>
          <w:szCs w:val="24"/>
        </w:rPr>
        <w:t xml:space="preserve">Elán Zainos Corona</w:t>
      </w:r>
    </w:p>
    <w:p>
      <w:pPr>
        <w:spacing w:after="120"/>
        <w:jc w:val="center"/>
      </w:pPr>
      <w:r>
        <w:rPr>
          <w:b w:val="false"/>
          <w:bCs w:val="false"/>
          <w:sz w:val="22"/>
          <w:szCs w:val="22"/>
        </w:rPr>
        <w:t xml:space="preserve">Fractal Core Research · Tlaxcala, Mexico</w:t>
      </w:r>
    </w:p>
    <w:p>
      <w:pPr>
        <w:spacing w:after="120"/>
        <w:jc w:val="center"/>
      </w:pPr>
      <w:r>
        <w:rPr>
          <w:b w:val="false"/>
          <w:bCs w:val="false"/>
          <w:sz w:val="20"/>
          <w:szCs w:val="20"/>
        </w:rPr>
        <w:t xml:space="preserve">elan.zainos.corona@gmail.com · DOI: https://doi.org/10.5281/zenodo.19131327</w:t>
      </w:r>
    </w:p>
    <w:p>
      <w:pPr>
        <w:spacing w:after="80"/>
      </w:pPr>
    </w:p>
    <w:p>
      <w:pPr>
        <w:pBdr>
          <w:bottom w:val="single" w:color="CCCCCC" w:sz="1"/>
        </w:pBdr>
        <w:spacing w:after="80"/>
      </w:pPr>
    </w:p>
    <w:p>
      <w:pPr>
        <w:spacing w:after="80"/>
      </w:pPr>
    </w:p>
    <w:p>
      <w:pPr>
        <w:pStyle w:val="Heading1"/>
        <w:spacing w:before="360" w:after="120"/>
      </w:pPr>
      <w:r>
        <w:t xml:space="preserve">Abstract</w:t>
      </w:r>
    </w:p>
    <w:p>
      <w:pPr>
        <w:spacing w:after="100"/>
        <w:ind w:left="720" w:right="720"/>
        <w:jc w:val="both"/>
      </w:pPr>
      <w:r>
        <w:rPr>
          <w:i/>
          <w:iCs/>
          <w:sz w:val="22"/>
          <w:szCs w:val="22"/>
        </w:rPr>
        <w:t xml:space="preserve">We apply a power-law model of node satellization — originally developed in economic history — to 28 biological case pairs across three ecological relationship types: competitive exclusion (E1, n=12), predator-prey (E2, n=4), and parasite-host (E3, n=12). The satellization ratio R(t) = abundance_dominant(t) / abundance_displaced(t) follows a power law R(t) = a·t^b in 27 of 28 cases, with 33 of 44 cases statistically significant (p &lt; 0.05) when combined with historical and economic domains. Three findings emerge: (1) competitive exclusion (b_mean=+1.435) and parasite-host (b_mean=+1.148) produce substantially faster displacement dynamics than predator-prey (b_mean=+0.102); (2) the near-zero b in predator-prey systems reflects the mutual interdependence brake — predator extinction follows prey extinction, creating an ecological analogue of political sovereignty in economic systems; (3) introduced species with no evolutionary history in the invaded ecosystem produce the highest b values (African honeybees b=+2.437; zebra mussels b=+2.543), consistent with the absence of institutional friction in naive ecosystems. The model provides a unified quantitative framework for comparing displacement rates across ecological relationship types and invasion scenarios.</w:t>
      </w:r>
    </w:p>
    <w:p>
      <w:pPr>
        <w:spacing w:after="80"/>
      </w:pPr>
    </w:p>
    <w:p>
      <w:pPr>
        <w:spacing w:before="160" w:after="60"/>
        <w:jc w:val="center"/>
      </w:pPr>
      <w:r>
        <w:rPr>
          <w:i/>
          <w:iCs/>
          <w:color w:val="555555"/>
          <w:sz w:val="20"/>
          <w:szCs w:val="20"/>
        </w:rPr>
        <w:t xml:space="preserve">“If you remain still long enough, you can see the algorithm that moves the universe.”</w:t>
      </w:r>
    </w:p>
    <w:p>
      <w:pPr>
        <w:spacing w:after="240"/>
        <w:jc w:val="center"/>
      </w:pPr>
      <w:r>
        <w:rPr>
          <w:color w:val="888888"/>
          <w:sz w:val="18"/>
          <w:szCs w:val="18"/>
        </w:rPr>
        <w:t xml:space="preserve">— Adapted from Alan Moore, Watchmen (1986)</w:t>
      </w:r>
    </w:p>
    <w:p>
      <w:pPr>
        <w:spacing w:after="120"/>
        <w:jc w:val="both"/>
      </w:pPr>
      <w:r>
        <w:rPr>
          <w:sz w:val="24"/>
          <w:szCs w:val="24"/>
        </w:rPr>
        <w:t xml:space="preserve">Keywords: competitive exclusion, biological invasion, parasite-host dynamics, power law, Lotka-Volterra, invasive species, ecological satellization</w:t>
      </w:r>
    </w:p>
    <w:p>
      <w:pPr>
        <w:spacing w:after="80"/>
      </w:pPr>
    </w:p>
    <w:p>
      <w:pPr>
        <w:pBdr>
          <w:bottom w:val="single" w:color="CCCCCC" w:sz="1"/>
        </w:pBdr>
        <w:spacing w:after="80"/>
      </w:pPr>
    </w:p>
    <w:p>
      <w:pPr>
        <w:pageBreakBefore/>
      </w:pPr>
    </w:p>
    <w:p>
      <w:pPr>
        <w:pStyle w:val="Heading1"/>
        <w:spacing w:before="360" w:after="120"/>
      </w:pPr>
      <w:r>
        <w:t xml:space="preserve">1. Introduction</w:t>
      </w:r>
    </w:p>
    <w:p>
      <w:pPr>
        <w:spacing w:after="120"/>
        <w:jc w:val="both"/>
      </w:pPr>
      <w:r>
        <w:rPr>
          <w:sz w:val="24"/>
          <w:szCs w:val="24"/>
        </w:rPr>
        <w:t xml:space="preserve">Competitive exclusion (Gause 1934), predator-prey dynamics (Lotka 1925; Volterra 1926), and host-parasite coevolution (Hamilton 1980) are among the most studied processes in theoretical ecology. Each has well-developed mathematical frameworks — the competitive exclusion principle, Lotka-Volterra equations, and host-parasite coevolution models respectively. What is less developed is a unified quantitative framework that can compare displacement rates across these three relationship types and across invasion scenarios involving species with and without prior coevolutionary history.</w:t>
      </w:r>
    </w:p>
    <w:p>
      <w:pPr>
        <w:spacing w:after="80"/>
      </w:pPr>
    </w:p>
    <w:p>
      <w:pPr>
        <w:spacing w:after="120"/>
        <w:jc w:val="both"/>
      </w:pPr>
      <w:r>
        <w:rPr>
          <w:sz w:val="24"/>
          <w:szCs w:val="24"/>
        </w:rPr>
        <w:t xml:space="preserve">We propose that the satellization ratio R(t) = abundance_dominant(t) / abundance_displaced(t), when fitted to a power law R(t) = a·t^b, provides such a framework. The exponent b measures the velocity of ecological displacement independently of the relationship type, allowing direct comparison across competitive exclusion, predation, and parasitism. This approach extends the preferential attachment framework (Barabási &amp; Albert 1999) from network topology to ecological resource dynamics.</w:t>
      </w:r>
    </w:p>
    <w:p>
      <w:pPr>
        <w:spacing w:after="80"/>
      </w:pPr>
    </w:p>
    <w:p>
      <w:pPr>
        <w:pBdr>
          <w:bottom w:val="single" w:color="CCCCCC" w:sz="1"/>
        </w:pBdr>
        <w:spacing w:after="80"/>
      </w:pPr>
    </w:p>
    <w:p>
      <w:pPr>
        <w:pageBreakBefore/>
      </w:pPr>
    </w:p>
    <w:p>
      <w:pPr>
        <w:pStyle w:val="Heading1"/>
        <w:spacing w:before="360" w:after="120"/>
      </w:pPr>
      <w:r>
        <w:t xml:space="preserve">2. Data and Methods</w:t>
      </w:r>
    </w:p>
    <w:p>
      <w:pPr>
        <w:pStyle w:val="Heading2"/>
        <w:spacing w:before="240" w:after="80"/>
      </w:pPr>
      <w:r>
        <w:t xml:space="preserve">2.1 Case selection</w:t>
      </w:r>
    </w:p>
    <w:p>
      <w:pPr>
        <w:spacing w:after="120"/>
        <w:jc w:val="both"/>
      </w:pPr>
      <w:r>
        <w:rPr>
          <w:sz w:val="24"/>
          <w:szCs w:val="24"/>
        </w:rPr>
        <w:t xml:space="preserve">Cases were included if they satisfy: (a) two species in ecological competition, predation, or host-parasite relationship; (b) population or abundance data at minimum four temporal points; (c) the displacement process has either completed or is actively ongoing. Cases were selected to maximize taxonomic and geographic diversity. No cases were excluded based on outcome direction — both displacement (b&gt;0) and resistance (b≈0) cases are included.</w:t>
      </w:r>
    </w:p>
    <w:p>
      <w:pPr>
        <w:spacing w:after="80"/>
      </w:pPr>
    </w:p>
    <w:p>
      <w:pPr>
        <w:pStyle w:val="Heading2"/>
        <w:spacing w:before="240" w:after="80"/>
      </w:pPr>
      <w:r>
        <w:t xml:space="preserve">2.2 Data sources</w:t>
      </w:r>
    </w:p>
    <w:p>
      <w:pPr>
        <w:spacing w:after="120"/>
        <w:jc w:val="both"/>
      </w:pPr>
      <w:r>
        <w:rPr>
          <w:sz w:val="24"/>
          <w:szCs w:val="24"/>
        </w:rPr>
        <w:t xml:space="preserve">Competitive exclusion: IUCN Invasive Species Database; Koehn 2004 (carp, Murray-Darling); Ficetola 2007 (bullfrog, Europe); Ricciardi 1998 (zebra mussel, Great Lakes); He Yu et al. 2022 Nature Communications (rat displacement, Europe); Kerr 1967 (African honeybees, Brazil); Current Biology 2022 (Rattus tiomanicus, Thailand islands). Predator-prey: Hudson Bay Company fur records, Maclulich 1937 (lynx-hare); D'Ancona 1924, Volterra 1926 (Adriatic fish); Beschta &amp; Ripple 2009 (wolf-elk, Yellowstone); Sinclair et al. 1975 (lion-wildebeest, Serengeti). Parasite-host: Pantaleo et al. 1993 NEJM (HIV-CD4); CDC Antibiotic Resistance Reports (resistant bacteria); Scheele et al. 2019 Science (Bd-amphibians); Walsh 2003 Nature (Ebola-gorillas).</w:t>
      </w:r>
    </w:p>
    <w:p>
      <w:pPr>
        <w:spacing w:after="80"/>
      </w:pPr>
    </w:p>
    <w:p>
      <w:pPr>
        <w:pBdr>
          <w:bottom w:val="single" w:color="CCCCCC" w:sz="1"/>
        </w:pBdr>
        <w:spacing w:after="80"/>
      </w:pPr>
    </w:p>
    <w:p>
      <w:pPr>
        <w:pageBreakBefore/>
      </w:pPr>
    </w:p>
    <w:p>
      <w:pPr>
        <w:pStyle w:val="Heading1"/>
        <w:spacing w:before="360" w:after="120"/>
      </w:pPr>
      <w:r>
        <w:t xml:space="preserve">3. Results</w:t>
      </w:r>
    </w:p>
    <w:p>
      <w:pPr>
        <w:pStyle w:val="Heading2"/>
        <w:spacing w:before="240" w:after="80"/>
      </w:pPr>
      <w:r>
        <w:t xml:space="preserve">3.1 Competitive exclusion — b_mean = +1.435</w:t>
      </w:r>
    </w:p>
    <w:p>
      <w:pPr>
        <w:spacing w:after="120"/>
        <w:jc w:val="both"/>
      </w:pPr>
      <w:r>
        <w:rPr>
          <w:sz w:val="24"/>
          <w:szCs w:val="24"/>
        </w:rPr>
        <w:t xml:space="preserve">Competitive exclusion cases produce the highest and most consistent b values of the three ecological domains. The most extreme cases are: zebra mussel vs native unionids Great Lakes (b=+2.543, R²=0.885, p&lt;0.001) — the best-fitted case in the biological corpus; African honeybee vs European honeybee Brazil (b=+2.437, R²=0.376, p=0.001); domestic cat vs island nesting birds (b=+1.984, R²=0.279, p=0.003); brown tree snake vs Guam fauna (b=+1.984, p&lt;0.01). The 12 competitive exclusion cases achieve 75% significance rate. The pattern is consistent: introduced species with no prior coevolutionary history in the invaded ecosystem produce the fastest displacement dynamics, consistent with the absence of coevolved resistance mechanisms — an ecological analogue of institutional friction.</w:t>
      </w:r>
    </w:p>
    <w:p>
      <w:pPr>
        <w:spacing w:after="80"/>
      </w:pPr>
    </w:p>
    <w:p>
      <w:pPr>
        <w:pStyle w:val="Heading2"/>
        <w:spacing w:before="240" w:after="80"/>
      </w:pPr>
      <w:r>
        <w:t xml:space="preserve">3.2 Predator-prey — b_mean = +0.102</w:t>
      </w:r>
    </w:p>
    <w:p>
      <w:pPr>
        <w:spacing w:after="120"/>
        <w:jc w:val="both"/>
      </w:pPr>
      <w:r>
        <w:rPr>
          <w:sz w:val="24"/>
          <w:szCs w:val="24"/>
        </w:rPr>
        <w:t xml:space="preserve">The four predator-prey cases produce b values close to zero, consistent with the SNT prediction that mutual interdependence prevents definitive satellization. The lynx-hare system (Hudson Bay Company records) produces b=−0.201 (n.s.) — the oscillatory dynamic of the ~10-year cycle prevents monotonic divergence. The Adriatic fish case (Volterra 1926) produces b=+0.198 (n.s.). The wolf-elk Yellowstone case (post-1995 reintroduction) shows the system re-establishing predator-prey equilibrium after an exogenous trigger (wolf reintroduction) temporarily disrupted it. The Serengeti lion-wildebeest system shows stable ratios consistent with b≈0. The near-zero b in predator-prey systems is not a failure of the model — it is the correct prediction: predators that fully satellize their prey face extinction.</w:t>
      </w:r>
    </w:p>
    <w:p>
      <w:pPr>
        <w:spacing w:after="80"/>
      </w:pPr>
    </w:p>
    <w:p>
      <w:pPr>
        <w:pStyle w:val="Heading2"/>
        <w:spacing w:before="240" w:after="80"/>
      </w:pPr>
      <w:r>
        <w:t xml:space="preserve">3.3 Parasite-host — b_mean = +1.148</w:t>
      </w:r>
    </w:p>
    <w:p>
      <w:pPr>
        <w:spacing w:after="120"/>
        <w:jc w:val="both"/>
      </w:pPr>
      <w:r>
        <w:rPr>
          <w:sz w:val="24"/>
          <w:szCs w:val="24"/>
        </w:rPr>
        <w:t xml:space="preserve">Parasite-host cases produce b values intermediate between predator-prey and competitive exclusion. Resistant bacteria vs sensitive bacteria (b=+1.401, R²=0.935, p&lt;0.001) is the best-fitted case in the entire biological corpus — antibiotic selection pressure acts as an abrupt trigger that inverts the dominance ratio within 60 months. HIV vs CD4 cells (b=+1.113, R²=0.622, p=0.011) documents accelerated satellization at the cellular level. Batrachochytrium dendrobatidis vs amphibians globally (b=+1.437, R²=0.586, p=0.005) documents the most taxonomically broad case — a single pathogen affecting &gt;500 amphibian species. The antiretroviral therapy case (HAART post-1996) provides the clearest biological leapfrog: the drug functions as an orthogonal dimension that inverts the HIV-CD4 ratio within months.</w:t>
      </w:r>
    </w:p>
    <w:p>
      <w:pPr>
        <w:spacing w:after="80"/>
      </w:pPr>
    </w:p>
    <w:p>
      <w:pPr>
        <w:pBdr>
          <w:bottom w:val="single" w:color="CCCCCC" w:sz="1"/>
        </w:pBdr>
        <w:spacing w:after="80"/>
      </w:pPr>
    </w:p>
    <w:p>
      <w:pPr>
        <w:pageBreakBefore/>
      </w:pPr>
    </w:p>
    <w:p>
      <w:pPr>
        <w:pStyle w:val="Heading1"/>
        <w:spacing w:before="360" w:after="120"/>
      </w:pPr>
      <w:r>
        <w:t xml:space="preserve">4. The Mutual Interdependence Brake</w:t>
      </w:r>
    </w:p>
    <w:p>
      <w:pPr>
        <w:spacing w:after="120"/>
        <w:jc w:val="both"/>
      </w:pPr>
      <w:r>
        <w:rPr>
          <w:sz w:val="24"/>
          <w:szCs w:val="24"/>
        </w:rPr>
        <w:t xml:space="preserve">The consistent near-zero b in predator-prey systems deserves theoretical attention. We propose the mutual interdependence brake as a general principle: in any ecological relationship where the hub node (predator, dominant competitor) depends on the continued existence of the peripheral node (prey, displaced species) for its own survival, the power-law exponent b is constrained toward zero by the self-destructive consequence of complete satellization. This principle operates identically in predator-prey ecology, sovereign-state geopolitics, and stellar binary systems in equilibrium accretion — the same mathematical constraint across different substrates. The mutual interdependence brake is falsified if predator-prey systems with no alternative prey sources sustain b &gt; 0.5 without exogenous perturbation.</w:t>
      </w:r>
    </w:p>
    <w:p>
      <w:pPr>
        <w:spacing w:after="80"/>
      </w:pPr>
    </w:p>
    <w:p>
      <w:pPr>
        <w:pBdr>
          <w:bottom w:val="single" w:color="CCCCCC" w:sz="1"/>
        </w:pBdr>
        <w:spacing w:after="80"/>
      </w:pPr>
    </w:p>
    <w:p>
      <w:pPr>
        <w:pageBreakBefore/>
      </w:pPr>
    </w:p>
    <w:p>
      <w:pPr>
        <w:pStyle w:val="Heading1"/>
        <w:spacing w:before="360" w:after="120"/>
      </w:pPr>
      <w:r>
        <w:t xml:space="preserve">5. Conclusions</w:t>
      </w:r>
    </w:p>
    <w:p>
      <w:pPr>
        <w:spacing w:after="120"/>
        <w:jc w:val="both"/>
      </w:pPr>
      <w:r>
        <w:rPr>
          <w:sz w:val="24"/>
          <w:szCs w:val="24"/>
        </w:rPr>
        <w:t xml:space="preserve">The power-law model of ecological satellization provides a unified quantitative framework for comparing displacement rates across competitive exclusion, predation, and parasitism. The exponent b systematically distinguishes ecological relationship types: competitive exclusion b_mean=+1.435, parasite-host b_mean=+1.148, predator-prey b_mean=+0.102. The near-zero b in predator-prey systems reflects the mutual interdependence brake — a constraint that operates identically in ecology and geopolitics. Species introduced without prior coevolutionary history produce the fastest displacement dynamics, consistent with naive ecosystem vulnerability to invasion without developed resistance mechanisms. The full replication package is available at https://doi.org/10.5281/zenodo.19131327.</w:t>
      </w:r>
    </w:p>
    <w:p>
      <w:pPr>
        <w:spacing w:after="80"/>
      </w:pPr>
    </w:p>
    <w:p>
      <w:pPr>
        <w:pBdr>
          <w:bottom w:val="single" w:color="CCCCCC" w:sz="1"/>
        </w:pBdr>
        <w:spacing w:after="80"/>
      </w:pPr>
    </w:p>
    <w:p>
      <w:pPr>
        <w:pageBreakBefore/>
      </w:pPr>
    </w:p>
    <w:p>
      <w:pPr>
        <w:pStyle w:val="Heading1"/>
        <w:spacing w:before="360" w:after="120"/>
      </w:pPr>
      <w:r>
        <w:t xml:space="preserve">References</w:t>
      </w:r>
    </w:p>
    <w:p>
      <w:pPr>
        <w:spacing w:after="80"/>
      </w:pPr>
      <w:r>
        <w:rPr>
          <w:sz w:val="20"/>
          <w:szCs w:val="20"/>
        </w:rPr>
        <w:t xml:space="preserve">Barabási, A.L. &amp; Albert, R. (1999). Emergence of scaling in random networks. Science, 286(5439), 509-512.</w:t>
      </w:r>
    </w:p>
    <w:p>
      <w:pPr>
        <w:spacing w:after="80"/>
      </w:pPr>
    </w:p>
    <w:p>
      <w:pPr>
        <w:spacing w:after="80"/>
      </w:pPr>
      <w:r>
        <w:rPr>
          <w:sz w:val="20"/>
          <w:szCs w:val="20"/>
        </w:rPr>
        <w:t xml:space="preserve">Ficetola, G.F. et al. (2007). Invasions: the line between predictions and caution. Molecular Ecology Notes, 7(4), 587-590.</w:t>
      </w:r>
    </w:p>
    <w:p>
      <w:pPr>
        <w:spacing w:after="80"/>
      </w:pPr>
    </w:p>
    <w:p>
      <w:pPr>
        <w:spacing w:after="80"/>
      </w:pPr>
      <w:r>
        <w:rPr>
          <w:sz w:val="20"/>
          <w:szCs w:val="20"/>
        </w:rPr>
        <w:t xml:space="preserve">Gause, G.F. (1934). The Struggle for Existence. Williams &amp; Wilkins.</w:t>
      </w:r>
    </w:p>
    <w:p>
      <w:pPr>
        <w:spacing w:after="80"/>
      </w:pPr>
    </w:p>
    <w:p>
      <w:pPr>
        <w:spacing w:after="80"/>
      </w:pPr>
      <w:r>
        <w:rPr>
          <w:sz w:val="20"/>
          <w:szCs w:val="20"/>
        </w:rPr>
        <w:t xml:space="preserve">He Yu et al. (2022). Introgression, displacement, and collapse: The replacement of the black rat by the brown rat in Europe. Nature Communications, 13, 2656.</w:t>
      </w:r>
    </w:p>
    <w:p>
      <w:pPr>
        <w:spacing w:after="80"/>
      </w:pPr>
    </w:p>
    <w:p>
      <w:pPr>
        <w:spacing w:after="80"/>
      </w:pPr>
      <w:r>
        <w:rPr>
          <w:sz w:val="20"/>
          <w:szCs w:val="20"/>
        </w:rPr>
        <w:t xml:space="preserve">Kerr, W.E. (1967). The history of the introduction of African bees in Brazil. South African Bee Journal, 39, 3-5.</w:t>
      </w:r>
    </w:p>
    <w:p>
      <w:pPr>
        <w:spacing w:after="80"/>
      </w:pPr>
    </w:p>
    <w:p>
      <w:pPr>
        <w:spacing w:after="80"/>
      </w:pPr>
      <w:r>
        <w:rPr>
          <w:sz w:val="20"/>
          <w:szCs w:val="20"/>
        </w:rPr>
        <w:t xml:space="preserve">Koehn, J.D. (2004). Carp (Cyprinus carpio) as a powerful invader in Australian waterways. Freshwater Biology, 49, 882-894.</w:t>
      </w:r>
    </w:p>
    <w:p>
      <w:pPr>
        <w:spacing w:after="80"/>
      </w:pPr>
    </w:p>
    <w:p>
      <w:pPr>
        <w:spacing w:after="80"/>
      </w:pPr>
      <w:r>
        <w:rPr>
          <w:sz w:val="20"/>
          <w:szCs w:val="20"/>
        </w:rPr>
        <w:t xml:space="preserve">Maclulich, D.A. (1937). Fluctuations in the numbers of the varying hare. University of Toronto Studies, Biol. Ser. 43.</w:t>
      </w:r>
    </w:p>
    <w:p>
      <w:pPr>
        <w:spacing w:after="80"/>
      </w:pPr>
    </w:p>
    <w:p>
      <w:pPr>
        <w:spacing w:after="80"/>
      </w:pPr>
      <w:r>
        <w:rPr>
          <w:sz w:val="20"/>
          <w:szCs w:val="20"/>
        </w:rPr>
        <w:t xml:space="preserve">Pantaleo, G. et al. (1993). New concepts in the immunopathogenesis of human immunodeficiency virus infection. NEJM, 328(5), 327-335.</w:t>
      </w:r>
    </w:p>
    <w:p>
      <w:pPr>
        <w:spacing w:after="80"/>
      </w:pPr>
    </w:p>
    <w:p>
      <w:pPr>
        <w:spacing w:after="80"/>
      </w:pPr>
      <w:r>
        <w:rPr>
          <w:sz w:val="20"/>
          <w:szCs w:val="20"/>
        </w:rPr>
        <w:t xml:space="preserve">Ricciardi, A. et al. (1998). Impending extinctions of North American freshwater mussels following the zebra mussel invasion. Conservation Biology, 12(6), 1295-1304.</w:t>
      </w:r>
    </w:p>
    <w:p>
      <w:pPr>
        <w:spacing w:after="80"/>
      </w:pPr>
    </w:p>
    <w:p>
      <w:pPr>
        <w:spacing w:after="80"/>
      </w:pPr>
      <w:r>
        <w:rPr>
          <w:sz w:val="20"/>
          <w:szCs w:val="20"/>
        </w:rPr>
        <w:t xml:space="preserve">Scheele, B.C. et al. (2019). Amphibian fungal panzootic causes catastrophic and ongoing loss of biodiversity. Science, 363(6434), 1459-1463.</w:t>
      </w:r>
    </w:p>
    <w:p>
      <w:pPr>
        <w:spacing w:after="80"/>
      </w:pPr>
    </w:p>
    <w:p>
      <w:pPr>
        <w:spacing w:after="80"/>
      </w:pPr>
      <w:r>
        <w:rPr>
          <w:sz w:val="20"/>
          <w:szCs w:val="20"/>
        </w:rPr>
        <w:t xml:space="preserve">Volterra, V. (1926). Fluctuations in the abundance of a species considered mathematically. Nature, 118, 558-560.</w:t>
      </w:r>
    </w:p>
    <w:p>
      <w:pPr>
        <w:spacing w:after="80"/>
      </w:pPr>
    </w:p>
    <w:p>
      <w:pPr>
        <w:spacing w:after="80"/>
      </w:pPr>
      <w:r>
        <w:rPr>
          <w:sz w:val="20"/>
          <w:szCs w:val="20"/>
        </w:rPr>
        <w:t xml:space="preserve">Walsh, P.D. et al. (2003). Catastrophic ape decline in western equatorial Africa. Nature, 422, 611-614.</w:t>
      </w:r>
    </w:p>
    <w:p>
      <w:pPr>
        <w:spacing w:after="80"/>
      </w:pPr>
    </w:p>
    <w:p>
      <w:pPr>
        <w:spacing w:after="80"/>
      </w:pPr>
      <w:r>
        <w:rPr>
          <w:sz w:val="20"/>
          <w:szCs w:val="20"/>
        </w:rPr>
        <w:t xml:space="preserve">Zainos Corona, E. (2026). Shadow Node Theory v2.2 — Replication Package. Zenodo. https://doi.org/10.5281/zenodo.19131327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2026-03-22T17:00:37.299Z</dcterms:created>
  <dcterms:modified xsi:type="dcterms:W3CDTF">2026-03-22T17:00:37.299Z</dcterms:modified>
</cp:coreProperties>
</file>

<file path=docProps/custom.xml><?xml version="1.0" encoding="utf-8"?>
<Properties xmlns="http://schemas.openxmlformats.org/officeDocument/2006/custom-properties" xmlns:vt="http://schemas.openxmlformats.org/officeDocument/2006/docPropsVTypes"/>
</file>