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Shadow Node Theory v2.6.1 (manuscript r32):</w:t>
      </w:r>
    </w:p>
    <w:p>
      <w:pPr>
        <w:pStyle w:val="Heading2"/>
      </w:pPr>
      <w:r>
        <w:t>Scale Invariance in the Node Satellization Algorithm — and a Universal Coupled Orbital Collapse Layer (ACO-A)</w:t>
      </w:r>
    </w:p>
    <w:p>
      <w:r>
        <w:rPr>
          <w:i/>
        </w:rPr>
        <w:t>Empirical Verification Across 721 Real Cases, Five Pre-registered Tests, and Collapse Evidence in Five Domains</w:t>
      </w:r>
    </w:p>
    <w:p>
      <w:r>
        <w:rPr>
          <w:b/>
        </w:rPr>
        <w:t>Elán Zainos Corona</w:t>
      </w:r>
      <w:r>
        <w:rPr/>
        <w:br/>
      </w:r>
      <w:r>
        <w:rPr/>
        <w:t>Fractal Core Research · Tlaxcala, Mexico · elan.zainos.corona@gmail.com</w:t>
        <w:br/>
      </w:r>
      <w:r>
        <w:rPr/>
        <w:t>DOI: https://doi.org/10.5281/zenodo.19446521 · SSRN: https://ssrn.com/abstract=6418778</w:t>
        <w:br/>
      </w:r>
      <w:r>
        <w:rPr/>
        <w:t>GitHub: https://github.com/Inzainos/The-shadow-Node-Theory</w:t>
        <w:br/>
      </w:r>
      <w:r>
        <w:rPr/>
        <w:t>Pre-print, manuscript revision r32 (2026-09-27; supersedes the v30 posted 2026-06-28 and incorporates r31, an intermediate revision prepared the same day and not posted) — repository release v2.6.1 — not peer reviewed. Data and methodology available for review.</w:t>
      </w:r>
    </w:p>
    <w:p>
      <w:pPr>
        <w:ind w:left="360"/>
      </w:pPr>
      <w:r>
        <w:rPr>
          <w:b/>
          <w:i/>
          <w:color w:val="555555"/>
        </w:rPr>
        <w:t>Revision note (r32, 2026-09-27).</w:t>
      </w:r>
      <w:r>
        <w:rPr>
          <w:i/>
          <w:color w:val="555555"/>
        </w:rPr>
        <w:t xml:space="preserve"> Five tests were </w:t>
      </w:r>
      <w:r>
        <w:rPr>
          <w:b/>
          <w:i/>
          <w:color w:val="555555"/>
        </w:rPr>
        <w:t>pre-registered</w:t>
      </w:r>
      <w:r>
        <w:rPr>
          <w:i/>
          <w:color w:val="555555"/>
        </w:rPr>
        <w:t xml:space="preserve"> — hypotheses, friction codings, case lists and decision rules committed to the public repository before any new data were downloaded (</w:t>
      </w:r>
      <w:r>
        <w:rPr>
          <w:rFonts w:ascii="Consolas" w:hAnsi="Consolas"/>
          <w:i/>
          <w:color w:val="555555"/>
          <w:sz w:val="18"/>
        </w:rPr>
        <w:t>reconstruction_real/preregistro/PREREGISTRO_2026-09-27.md</w:t>
      </w:r>
      <w:r>
        <w:rPr>
          <w:i/>
          <w:color w:val="555555"/>
        </w:rPr>
        <w:t xml:space="preserve">) — and run on new public data. Every result is reported, favorable or not: (1) </w:t>
      </w:r>
      <w:r>
        <w:rPr>
          <w:i/>
          <w:color w:val="555555"/>
        </w:rPr>
        <w:t>blind-coded triggers:</w:t>
      </w:r>
      <w:r>
        <w:rPr>
          <w:i/>
          <w:color w:val="555555"/>
        </w:rPr>
        <w:t xml:space="preserve"> </w:t>
      </w:r>
      <w:r>
        <w:rPr>
          <w:b/>
          <w:i/>
          <w:color w:val="555555"/>
        </w:rPr>
        <w:t>supported</w:t>
      </w:r>
      <w:r>
        <w:rPr>
          <w:i/>
          <w:color w:val="555555"/>
        </w:rPr>
        <w:t xml:space="preserve"> — in 8 of 8 cities favored by an abrupt decree (four capital relocations, four Chinese special economic zones), the challenger gains on the incumbent faster than cities with the same initial size ratio (Wilcoxon one-sided p = 0.0039; §5); this replaces the withdrawn 5.9× claim with a clean design, small n and a survivorship caveat; (2) </w:t>
      </w:r>
      <w:r>
        <w:rPr>
          <w:i/>
          <w:color w:val="555555"/>
        </w:rPr>
        <w:t>friction with new non-COVID domains:</w:t>
      </w:r>
      <w:r>
        <w:rPr>
          <w:i/>
          <w:color w:val="555555"/>
        </w:rPr>
        <w:t xml:space="preserve"> </w:t>
      </w:r>
      <w:r>
        <w:rPr>
          <w:b/>
          <w:i/>
          <w:color w:val="555555"/>
        </w:rPr>
        <w:t>not supported</w:t>
      </w:r>
      <w:r>
        <w:rPr>
          <w:i/>
          <w:color w:val="555555"/>
        </w:rPr>
        <w:t xml:space="preserve"> — ρ(friction, domain mean b) = −0.131 across seven domains, exact permutation p = 0.39 (§12); (3) </w:t>
      </w:r>
      <w:r>
        <w:rPr>
          <w:i/>
          <w:color w:val="555555"/>
        </w:rPr>
        <w:t>raw COVID-19 series:</w:t>
      </w:r>
      <w:r>
        <w:rPr>
          <w:i/>
          <w:color w:val="555555"/>
        </w:rPr>
        <w:t xml:space="preserve"> Domain E3 is reproduced from raw data (233 of 234 cases) and its significance survives the autocorrelation correction (conservative AR(1) bound: 176 of 198 estimable cases); Domain E1 (4 cases) is not reproducible (§3.3, §9); (4) </w:t>
      </w:r>
      <w:r>
        <w:rPr>
          <w:i/>
          <w:color w:val="555555"/>
        </w:rPr>
        <w:t>time-varying trade hub for country pairs:</w:t>
      </w:r>
      <w:r>
        <w:rPr>
          <w:i/>
          <w:color w:val="555555"/>
        </w:rPr>
        <w:t xml:space="preserve"> </w:t>
      </w:r>
      <w:r>
        <w:rPr>
          <w:b/>
          <w:i/>
          <w:color w:val="555555"/>
        </w:rPr>
        <w:t>not supported</w:t>
      </w:r>
      <w:r>
        <w:rPr>
          <w:i/>
          <w:color w:val="555555"/>
        </w:rPr>
        <w:t xml:space="preserve"> (median difference −0.009, p = 0.95), and at a 30-year horizon the effect is opposite (§12); (5) </w:t>
      </w:r>
      <w:r>
        <w:rPr>
          <w:i/>
          <w:color w:val="555555"/>
        </w:rPr>
        <w:t>larger ACO-A cohorts:</w:t>
      </w:r>
      <w:r>
        <w:rPr>
          <w:i/>
          <w:color w:val="555555"/>
        </w:rPr>
        <w:t xml:space="preserve"> orthogonality b ⊥ Δ </w:t>
      </w:r>
      <w:r>
        <w:rPr>
          <w:b/>
          <w:i/>
          <w:color w:val="555555"/>
        </w:rPr>
        <w:t>supported by equivalence</w:t>
      </w:r>
      <w:r>
        <w:rPr>
          <w:i/>
          <w:color w:val="555555"/>
        </w:rPr>
        <w:t xml:space="preserve"> on 242 crypto pairs (ρ = −0.119, 95% CI [−0.241, +0.007]); h(τ) &gt; 0 </w:t>
      </w:r>
      <w:r>
        <w:rPr>
          <w:b/>
          <w:i/>
          <w:color w:val="555555"/>
        </w:rPr>
        <w:t>supported</w:t>
      </w:r>
      <w:r>
        <w:rPr>
          <w:i/>
          <w:color w:val="555555"/>
        </w:rPr>
        <w:t xml:space="preserve"> in 663 crypto pairs and 27,771 US banks; a hazard that rises with age appears only in crypto, where it is confounded with calendar time, while banks show a bathtub shape (§13). Domain B's autocorrelation-corrected significance remains a bound (33–112 of 156 estimable cases): standard Newey-West errors give 120 of 156, above the upper bound, because they under-correct with residuals this persistent. The r31 note is kept below; r31 was not posted separately.</w:t>
      </w:r>
    </w:p>
    <w:p>
      <w:pPr>
        <w:ind w:left="360"/>
      </w:pPr>
      <w:r>
        <w:rPr>
          <w:b/>
          <w:i/>
          <w:color w:val="555555"/>
        </w:rPr>
        <w:t>Revision note (r31, 2026-09-27).</w:t>
      </w:r>
      <w:r>
        <w:rPr>
          <w:i/>
          <w:color w:val="555555"/>
        </w:rPr>
        <w:t xml:space="preserve"> An internal integral audit (v32) re-derived every published figure from the committed data, and the Domain B data were re-verified. The arithmetic of the corpus replicates exactly; the inference layer does not. This revision therefore </w:t>
      </w:r>
      <w:r>
        <w:rPr>
          <w:b/>
          <w:i/>
          <w:color w:val="555555"/>
        </w:rPr>
        <w:t>withdraws</w:t>
      </w:r>
      <w:r>
        <w:rPr>
          <w:i/>
          <w:color w:val="555555"/>
        </w:rPr>
        <w:t xml:space="preserve"> or </w:t>
      </w:r>
      <w:r>
        <w:rPr>
          <w:b/>
          <w:i/>
          <w:color w:val="555555"/>
        </w:rPr>
        <w:t>corrects</w:t>
      </w:r>
      <w:r>
        <w:rPr>
          <w:i/>
          <w:color w:val="555555"/>
        </w:rPr>
        <w:t xml:space="preserve"> the following claims of v30, each with the evidence given in the section cited: (1) the "abrupt triggers are 5.9× faster than gradual" result is </w:t>
      </w:r>
      <w:r>
        <w:rPr>
          <w:b/>
          <w:i/>
          <w:color w:val="555555"/>
        </w:rPr>
        <w:t>withdrawn</w:t>
      </w:r>
      <w:r>
        <w:rPr>
          <w:i/>
          <w:color w:val="555555"/>
        </w:rPr>
        <w:t xml:space="preserve">: the ratio originates in a table of 2 abrupt vs 2 gradual cases (5.87×, p = 0.33), the reported test (U = 24,802, n = 486) matches no dataset in the repository, and the active corpus carries no usable trigger variable (§5, §12); (2) the HackerEarth churn model's ROC-AUC = 0.9994 was affected by data leakage; the corrected, first-session value is </w:t>
      </w:r>
      <w:r>
        <w:rPr>
          <w:b/>
          <w:i/>
          <w:color w:val="555555"/>
        </w:rPr>
        <w:t>0.715 ± 0.019</w:t>
      </w:r>
      <w:r>
        <w:rPr>
          <w:i/>
          <w:color w:val="555555"/>
        </w:rPr>
        <w:t xml:space="preserve"> (§6.3); (3) the ASI "precision = 1.0, zero false positives" is </w:t>
      </w:r>
      <w:r>
        <w:rPr>
          <w:b/>
          <w:i/>
          <w:color w:val="555555"/>
        </w:rPr>
        <w:t>withdrawn as tautological</w:t>
      </w:r>
      <w:r>
        <w:rPr>
          <w:i/>
          <w:color w:val="555555"/>
        </w:rPr>
        <w:t xml:space="preserve">: it was measured against a label defined by the same ASI &gt; 1 threshold (§6.6); (4) the friction finding keeps its direction but its per-case p-value is inflated by serial autocorrelation and by treating 714 clustered cases as independent (cluster-level ρ = −0.56, p = 0.25; §12); (5) the friction-free pole of the regime contrast is COVID-19 data (§12); (6) Domain B (62% of the corpus) is now reproduced byte for byte from the Maddison Project Database </w:t>
      </w:r>
      <w:r>
        <w:rPr>
          <w:b/>
          <w:i/>
          <w:color w:val="555555"/>
        </w:rPr>
        <w:t>2020</w:t>
      </w:r>
      <w:r>
        <w:rPr>
          <w:i/>
          <w:color w:val="555555"/>
        </w:rPr>
        <w:t>, but a discriminant test leaves it supported neither as SNT coupling nor as β-convergence, and rebuilding it with hubs taken from bilateral trade instead of assigned by GDP does not recover a coupling signal (§12). The v30 note below is kept for history.</w:t>
      </w:r>
    </w:p>
    <w:p>
      <w:pPr>
        <w:ind w:left="360"/>
      </w:pPr>
      <w:r>
        <w:rPr>
          <w:b/>
          <w:i/>
          <w:color w:val="555555"/>
        </w:rPr>
        <w:t>Version note (v30).</w:t>
      </w:r>
      <w:r>
        <w:rPr>
          <w:i/>
          <w:color w:val="555555"/>
        </w:rPr>
        <w:t xml:space="preserve"> This revision supersedes the previously posted SNT v2.3.1 (502-case corpus). A June 2026 audit found that the 502-case corpus contained ~188 synthetically generated b values (</w:t>
      </w:r>
      <w:r>
        <w:rPr>
          <w:rFonts w:ascii="Consolas" w:hAnsi="Consolas"/>
          <w:i/>
          <w:color w:val="555555"/>
          <w:sz w:val="18"/>
        </w:rPr>
        <w:t>np.random.normal()</w:t>
      </w:r>
      <w:r>
        <w:rPr>
          <w:i/>
          <w:color w:val="555555"/>
        </w:rPr>
        <w:t xml:space="preserve">) and an R² column with impossible values (down to −7.332); it has been </w:t>
      </w:r>
      <w:r>
        <w:rPr>
          <w:b/>
          <w:i/>
          <w:color w:val="555555"/>
        </w:rPr>
        <w:t>retired</w:t>
      </w:r>
      <w:r>
        <w:rPr>
          <w:i/>
          <w:color w:val="555555"/>
        </w:rPr>
        <w:t xml:space="preserve">. This version uses a </w:t>
      </w:r>
      <w:r>
        <w:rPr>
          <w:b/>
          <w:i/>
          <w:color w:val="555555"/>
        </w:rPr>
        <w:t>721-case corpus reconstructed entirely from verifiable primary sources</w:t>
      </w:r>
      <w:r>
        <w:rPr>
          <w:i/>
          <w:color w:val="555555"/>
        </w:rPr>
        <w:t xml:space="preserve"> (R² ∈ [0,1] for every case; reproducible from </w:t>
      </w:r>
      <w:r>
        <w:rPr>
          <w:rFonts w:ascii="Consolas" w:hAnsi="Consolas"/>
          <w:i/>
          <w:color w:val="555555"/>
          <w:sz w:val="18"/>
        </w:rPr>
        <w:t>reconstruction_real/</w:t>
      </w:r>
      <w:r>
        <w:rPr>
          <w:i/>
          <w:color w:val="555555"/>
        </w:rPr>
        <w:t xml:space="preserve">), and integrates a new </w:t>
      </w:r>
      <w:r>
        <w:rPr>
          <w:b/>
          <w:i/>
          <w:color w:val="555555"/>
        </w:rPr>
        <w:t>Coupled Orbital Collapse layer (ACO-A)</w:t>
      </w:r>
      <w:r>
        <w:rPr>
          <w:i/>
          <w:color w:val="555555"/>
        </w:rPr>
        <w:t xml:space="preserve">. The golden-ratio hypothesis (H-φ) was tested and </w:t>
      </w:r>
      <w:r>
        <w:rPr>
          <w:b/>
          <w:i/>
          <w:color w:val="555555"/>
        </w:rPr>
        <w:t>refuted across four rounds</w:t>
      </w:r>
      <w:r>
        <w:rPr>
          <w:i/>
          <w:color w:val="555555"/>
        </w:rPr>
        <w:t xml:space="preserve"> (placebo control included) and is excluded from the main claims.</w:t>
      </w:r>
    </w:p>
    <w:p/>
    <w:p>
      <w:pPr>
        <w:pStyle w:val="Heading2"/>
      </w:pPr>
      <w:r>
        <w:t>Abstract</w:t>
      </w:r>
    </w:p>
    <w:p>
      <w:r>
        <w:rPr/>
        <w:t>This paper presents Shadow Node Theory (SNT), a formal model of node satellization operating across three scales of systemic resolution — Micro (Atomic Node / individual), Meso (intra-national Fungal Network), and Macro (superorganism collision between nations and digital platforms). The central hypothesis holds that when two power nodes orbit in critical proximity, the node with greater accumulated advantage satellizes the historically dominant node through an algorithm whose dynamics follow a power law invariant to temporal scale and substrate: R(t) = a·t^b, where b is the satellization velocity parameter.</w:t>
      </w:r>
    </w:p>
    <w:p>
      <w:r>
        <w:rPr/>
        <w:t xml:space="preserve">SNT delivers four empirical contributions: (1) formalization of the Triple-Resolution Systemic Model with distinct applicability conditions across scales; (2) N-body matrix verification with Mexican INEGI data (32 federal entities, b = −0.473, R² = 0.838, p &lt; 0.001), revealing that the binary model underestimated Tlaxcala's satellization gradient by 9.3×; (3) operationalization of the Atomic Sovereignty Index (ASI) on behavioral data from 4,774 users and 409,287 events (HackerEarth 2026; its first-session churn model reaches ROC-AUC = 0.715 ± 0.019 after correcting a data leakage); and (4) a corpus of </w:t>
      </w:r>
      <w:r>
        <w:rPr>
          <w:b/>
        </w:rPr>
        <w:t>721 cases reconstructed from verifiable primary sources</w:t>
      </w:r>
      <w:r>
        <w:rPr/>
        <w:t xml:space="preserve"> spanning historical, economic, biological, astronomical and digital domains.</w:t>
      </w:r>
    </w:p>
    <w:p>
      <w:r>
        <w:rPr/>
        <w:t xml:space="preserve">Two findings emerge from the real corpus, both with explicit inference caveats. First, </w:t>
      </w:r>
      <w:r>
        <w:rPr>
          <w:b/>
        </w:rPr>
        <w:t>institutional friction is negatively associated with satellization velocity</w:t>
      </w:r>
      <w:r>
        <w:rPr/>
        <w:t xml:space="preserve"> in every analysis variant: per case, Spearman ρ = −0.68 (n = 714); because the 714 cases are clustered in six domains and Domain B's per-case fits are serially autocorrelated, the per-case p-value (2.5×10⁻⁹⁷) is inflated — at the domain-cluster level ρ = −0.56 (p = 0.25, n = 6) and the cluster bootstrap interval is [−0.72, −0.01]; a pre-registered test that adds seven new or non-COVID domains does not support the friction ordering (ρ = −0.131, exact permutation p = 0.39): outside epidemics, cities and countries converge (b &lt; 0) and digital markets stay near zero. Second, </w:t>
      </w:r>
      <w:r>
        <w:rPr>
          <w:b/>
        </w:rPr>
        <w:t>regime separation</w:t>
      </w:r>
      <w:r>
        <w:rPr/>
        <w:t xml:space="preserve">: the friction-free domains (b̄ ≈ +0.95) satellize faster than friction-laden economic domains (b̄ ≈ +0.09); the friction-free pole consists entirely of COVID-19 spread data (238 cases), and removing its 234 E3 cases shrinks the friction correlation to ρ = −0.12 (n = 480). The pole is real in its data: E3 regenerates from the raw series and its significance survives an autocorrelation correction (conservative bound: 176 of 198 estimable cases), and a second epidemic (mpox 2022) gives b̄ = +0.43. A previously reported third finding — abrupt triggers 5.9× faster than gradual — rested on 2 vs 2 cases and is </w:t>
      </w:r>
      <w:r>
        <w:rPr>
          <w:b/>
        </w:rPr>
        <w:t>withdrawn</w:t>
      </w:r>
      <w:r>
        <w:rPr/>
        <w:t>; a pre-registered test with blind-coded triggers replaces it: in 8 of 8 cities favored by an abrupt decree, the challenger gains on the incumbent faster than cities with the same initial ratio (p = 0.0039). Domain B (country pairs, 62% of the corpus) is reproduced exactly from the Maddison Project Database 2020, but a discriminant test (calibrated null plus bilateral trade from the Correlates of War) supports it neither as hub–node coupling nor as β-convergence; rebuilt with each country's main export destination as its hub, two of three countries converge toward that hub, and the hub diverges no more than a partner with the same initial gap; a pre-registered test with a hub that changes decade by decade does not recover coupling either (p = 0.95). The claim that political sovereignty brakes satellization like ecological interdependence is therefore retained only as a hypothesis.</w:t>
      </w:r>
    </w:p>
    <w:p>
      <w:r>
        <w:rPr/>
        <w:t xml:space="preserve">This revision adds a </w:t>
      </w:r>
      <w:r>
        <w:rPr>
          <w:b/>
        </w:rPr>
        <w:t>Coupled Orbital Collapse layer (ACO-A)</w:t>
      </w:r>
      <w:r>
        <w:rPr/>
        <w:t>: collapse is reformulated as an orthogonal axis (Δ), with a falsifiable hazard layer h(τ) &gt; 0 ("no system is eternal"), a three-factor taxonomy of collapse modes (friction × trigger × floor/ceiling), and a Principle of Least Friction unifying them, demonstrated with real data in five domains (finance, history, crypto, biology, astronomy). Pre-registered cohorts support orthogonality (242 crypto pairs, equivalence test) and h(τ) &gt; 0 (663 crypto pairs; 27,771 US banks); the shape of the hazard depends on the domain. The model is accompanied by eight falsifiability criteria (RC1–RC8) plus collapse-axis criteria, a four-step diagnostic protocol, a public replication package and a public pre-registration.</w:t>
      </w:r>
    </w:p>
    <w:p>
      <w:r>
        <w:rPr>
          <w:b/>
        </w:rPr>
        <w:t>Keywords:</w:t>
      </w:r>
      <w:r>
        <w:rPr/>
        <w:t xml:space="preserve"> complex systems, power law, satellization, scale invariance, preferential attachment, institutional friction, coupled orbital collapse, hazard function, pre-registration, leapfrog, Atomic Sovereignty Index, AI orchestration, digital ecosystems, regional inequality, Tlaxcala, Mexico.</w:t>
      </w:r>
    </w:p>
    <w:p>
      <w:r>
        <w:rPr>
          <w:b/>
        </w:rPr>
        <w:t>JEL:</w:t>
      </w:r>
      <w:r>
        <w:rPr/>
        <w:t xml:space="preserve"> O18, O33, D85, C63, O11, R11, C22.</w:t>
      </w:r>
    </w:p>
    <w:p/>
    <w:p>
      <w:pPr>
        <w:pStyle w:val="Heading2"/>
      </w:pPr>
      <w:r>
        <w:t>1. Introduction</w:t>
      </w:r>
    </w:p>
    <w:p>
      <w:pPr>
        <w:pStyle w:val="Heading3"/>
      </w:pPr>
      <w:r>
        <w:t>1.1 The Scale Invariance Problem</w:t>
      </w:r>
    </w:p>
    <w:p>
      <w:r>
        <w:rPr/>
        <w:t>Why do some regions remain poor despite decades of policy intervention? Why do some nations converge toward global leaders while others diverge irreversibly? These questions share a structural feature that aggregate models consistently fail to capture: the dynamics of resource extraction between proximate nodes operating at different hierarchical levels. Standard development economics models the poverty trap as a problem of insufficient capital accumulation. Shadow Node Theory proposes a different mechanism: satellization — the progressive extraction of productive residual energy from a peripheral node by a dominant hub — whose dynamics follow a power law invariant to temporal scale and substrate.</w:t>
      </w:r>
    </w:p>
    <w:p>
      <w:pPr>
        <w:pStyle w:val="Heading3"/>
      </w:pPr>
      <w:r>
        <w:t>1.2 Theoretical Background</w:t>
      </w:r>
    </w:p>
    <w:p>
      <w:r>
        <w:rPr/>
        <w:t>The preferential attachment mechanism (Barabási &amp; Albert, 1999) establishes that scale-free networks emerge inevitably when new connections form with probability proportional to existing degree. SNT formalizes the directional flow of resources within such networks, quantifying the rate of divergence between hub and shadow node through the power-law exponent b. Leapfrogging theory (Brezis &amp; Krugman, 1993) identifies conditions under which a peripheral node can bypass a dominant one through orthogonal-dimension investment. SNT extends this to three scales and formalizes the failure conditions the original model left undeveloped.</w:t>
      </w:r>
    </w:p>
    <w:p>
      <w:pPr>
        <w:pStyle w:val="Heading3"/>
      </w:pPr>
      <w:r>
        <w:t>1.3 The Gap in the Literature</w:t>
      </w:r>
    </w:p>
    <w:p>
      <w:r>
        <w:rPr/>
        <w:t xml:space="preserve">Three gaps motivate this work. First, no existing model quantifies satellization dynamics across historical cities, nation-states, intra-national regions and digital platforms within a unified formal framework. Second, the trigger taxonomy in leapfrogging theory collapses event types into a single category, missing a possible distinction between abrupt and gradual triggers (withdrawn as a corpus claim in r31 and tested for the first time with blind-coded triggers in r32; see §5). Third, no operational index of cognitive sovereignty exists for the Atomic Node (individual) computable from observable behavioral data without self-report. A fourth gap, addressed by this revision, is the absence of a unified, falsifiable account of how systems </w:t>
      </w:r>
      <w:r>
        <w:rPr>
          <w:b/>
        </w:rPr>
        <w:t>collapse</w:t>
      </w:r>
      <w:r>
        <w:rPr/>
        <w:t xml:space="preserve"> once the satellization relationship ends — the Coupled Orbital Collapse layer (Section 13).</w:t>
      </w:r>
    </w:p>
    <w:p/>
    <w:p>
      <w:pPr>
        <w:pStyle w:val="Heading2"/>
      </w:pPr>
      <w:r>
        <w:t>2. Formal Theoretical Framework</w:t>
      </w:r>
    </w:p>
    <w:p>
      <w:pPr>
        <w:pStyle w:val="Heading3"/>
      </w:pPr>
      <w:r>
        <w:t>2.1 Definitions</w:t>
      </w:r>
    </w:p>
    <w:p>
      <w:r>
        <w:rPr/>
        <w:t xml:space="preserve">A </w:t>
      </w:r>
      <w:r>
        <w:rPr>
          <w:b/>
        </w:rPr>
        <w:t>Shadow Node</w:t>
      </w:r>
      <w:r>
        <w:rPr/>
        <w:t xml:space="preserve"> (or Peripheral Node) is any system component whose productive output is systematically extracted by a dominant hub over time, resulting in progressive divergence of productive capacity. A </w:t>
      </w:r>
      <w:r>
        <w:rPr>
          <w:b/>
        </w:rPr>
        <w:t>Hub Node</w:t>
      </w:r>
      <w:r>
        <w:rPr/>
        <w:t xml:space="preserve"> is the dominant component that absorbs the residual productive energy of shadow nodes, increasing its own gravitational-mass advantage. </w:t>
      </w:r>
      <w:r>
        <w:rPr>
          <w:b/>
        </w:rPr>
        <w:t>Critical Proximity</w:t>
      </w:r>
      <w:r>
        <w:rPr/>
        <w:t xml:space="preserve"> is the spatial, institutional, or digital proximity threshold below which the hub can extract resources at rates exceeding the shadow node's regeneration capacity.</w:t>
      </w:r>
    </w:p>
    <w:p>
      <w:r>
        <w:rPr/>
        <w:t>The satellization ratio R(t) = production_hub(t) / production_shadow(t) is the central observable. When R(t) follows a power law R(t) = a·t^b with b &gt; 0, satellization is active. When b &lt; 0, convergence or leapfrog is occurring. The exponent b is the velocity parameter: b &gt; 0.45 indicates accelerated satellization; 0.1 &lt; b &lt; 0.45 indicates gradual satellization; −0.1 &lt; b &lt; 0.1 indicates approximate steady state; b &lt; −0.1 indicates convergence or leapfrog. (v30 tied the accelerated band to an "abrupt-trigger class"; that link is withdrawn in r31. The superlinear band b ≥ 1 may partly reflect model misspecification — see Finding 5 in §12.)</w:t>
      </w:r>
    </w:p>
    <w:p>
      <w:pPr>
        <w:pStyle w:val="Heading3"/>
      </w:pPr>
      <w:r>
        <w:t>2.2 Central Hypothesis</w:t>
      </w:r>
    </w:p>
    <w:p>
      <w:r>
        <w:rPr/>
        <w:t>When two nodes orbit in critical proximity within the same system, the satellization ratio R(t) = production_hub(t) / production_shadow(t) follows a power law R(t) = a·t^b where b &gt; 0 represents the satellization velocity and t is elapsed time since the trigger event. This relationship is invariant to: (a) temporal scale — it holds from medieval city-pairs to digital platform rivalries; (b) production substrate — it holds for population, GDP per capita, behavioral event counts, and market share; and (c) system level — it holds for individuals, cities, regions, nations, and digital ecosystems.</w:t>
      </w:r>
    </w:p>
    <w:p>
      <w:pPr>
        <w:pStyle w:val="Heading3"/>
      </w:pPr>
      <w:r>
        <w:t>2.3 Falsifiability Criteria</w:t>
      </w:r>
    </w:p>
    <w:p>
      <w:r>
        <w:rPr/>
        <w:t>RC1 — Scalar Velocity: falsified if a technology is systematically adopted faster by institutions than by individuals (RC1a), or if a technology emerges without individual access that inverts the TC_micro &lt; TC_meso &lt; TC_macro hierarchy (RC1b). RC2 — Immune Response: falsified if hubs systematically adapt toward peripheral node capabilities rather than suppress them. RC3 — Qualitative Inextractability: falsified if a hub systematically neutralizes a node's knowledge differential through brain drain, reverse engineering, or deliberate saturation. RC4 — Dual Minimum Threshold: falsified if a leapfrog sustains itself with either RQ or RL below the operational minimum. RC5 — Expansion Sequence: falsified if direct expropriation produces more stable outcomes than silent absorption for the same node class. RC6 — Irreversibility: falsified if a Shadow Node reverses satellization from inside the system without an exogenous trigger, with the hub operating normally.</w:t>
      </w:r>
    </w:p>
    <w:p/>
    <w:p>
      <w:pPr>
        <w:pStyle w:val="Heading2"/>
      </w:pPr>
      <w:r>
        <w:t>3. Methodology</w:t>
      </w:r>
    </w:p>
    <w:p>
      <w:pPr>
        <w:pStyle w:val="Heading3"/>
      </w:pPr>
      <w:r>
        <w:t>3.1 General Design</w:t>
      </w:r>
    </w:p>
    <w:p>
      <w:r>
        <w:rPr/>
        <w:t>The study follows a mixed quantitative design combining historical case analysis, N-body matrix modeling for the Mexican regional system, machine-learning validation on digital behavioral data, and survival analysis for the collapse layer. The unifying analytical pipeline consists of: (1) construction of the satellization ratio time series R(t) for each case pair; (2) log-log linearization; (3) ordinary least-squares regression to estimate parameters a and b; (4) Pearson correlation in log space for significance testing; and (5) interpretation via the SNT taxonomy.</w:t>
      </w:r>
    </w:p>
    <w:p>
      <w:pPr>
        <w:pStyle w:val="Heading3"/>
      </w:pPr>
      <w:r>
        <w:t>3.2 Case Selection Criteria</w:t>
      </w:r>
    </w:p>
    <w:p>
      <w:r>
        <w:rPr/>
        <w:t>Cases were included if they satisfy four conditions: (a) two nodes in critical proximity within the same system; (b) an identifiable trigger event or process; (c) production or population data at a minimum of four temporal points spanning at least 50 years (or 5 years for digital cases); and (d) the satellization process has either completed or is actively ongoing. No cases were excluded based on outcome direction — both satellization (b &gt; 0) and convergence/leapfrog (b &lt; 0) cases are included to avoid confirmation bias.</w:t>
      </w:r>
    </w:p>
    <w:p>
      <w:pPr>
        <w:pStyle w:val="Heading3"/>
      </w:pPr>
      <w:r>
        <w:t>3.3 Data Sources (real corpus, v30)</w:t>
      </w:r>
    </w:p>
    <w:p>
      <w:r>
        <w:rPr/>
        <w:t xml:space="preserve">The 721-case corpus is reconstructed entirely from verifiable primary sources: Maddison Project Database 2020 (country pairs; the committed edition reproduces all 446 Domain B cases byte for byte), INEGI and US Census (intra-national regions), Our World in Data / Johns Hopkins CSSE (COVID-19 spatial and parasite-host series), the Open Exoplanet Catalogue (planetary/stellar/multiplanetary), MacLulich (1937) and Elton &amp; Nicholson (1942) (predator-prey), and the HackerEarth 2026 dataset (digital; N=4,774 users, 409,287 events, 141 event types; proprietary, aggregate results only). Integrity: R² ∈ [0,1] for all cases (zero negative, zero above 1). 89% of cases are </w:t>
      </w:r>
      <w:r>
        <w:rPr>
          <w:b/>
        </w:rPr>
        <w:t>nominally</w:t>
      </w:r>
      <w:r>
        <w:rPr/>
        <w:t xml:space="preserve"> significant (p &lt; 0.05, OLS on log-log without autocorrelation correction); after an AR(1) correction, only 156 of Domain B's 446 cases are estimable (effective n ≥ 3) and 33–112 of those remain significant (standard Newey-West errors give 120, above the upper bound: they under-correct with residuals this persistent, so the bound stands). For Domain E3, rebuilt from the raw series in r32, 198 of 234 cases are estimable and 176–196 of those remain significant. Reproducibility: Domain B regenerates exactly from the committed Maddison 2020 file; Domain E3 regenerates from the raw Our World in Data series (cumulative confirmed cases, 60 days from the first day with ≥ 100 cases; 233 of 234 published b values within ±0.01); the four E1 cases could not be reproduced from any natural construction and are declared not reproducible; the HackerEarth data are proprietary.</w:t>
      </w:r>
    </w:p>
    <w:p>
      <w:pPr>
        <w:pStyle w:val="Heading3"/>
      </w:pPr>
      <w:r>
        <w:t>3.4 Analysis Pipeline</w:t>
      </w:r>
    </w:p>
    <w:p>
      <w:r>
        <w:rPr/>
        <w:t>For each case pair, R(t) is computed at each temporal observation point. Time t is measured in years (or days for digital cases) elapsed since the trigger. The log-log transformation log(R) = log(a) + b·log(t) enables OLS estimation. We report (a) the power-law exponent b; (b) R² of the log-log fit; (c) the Pearson correlation coefficient and p-value; and (d) the SNT classification. For the N-body Mexican matrix, we additionally compute the composite gradient — the total satellization force on each node accounting for all higher-level hubs.</w:t>
      </w:r>
    </w:p>
    <w:p>
      <w:pPr>
        <w:pStyle w:val="Heading3"/>
      </w:pPr>
      <w:r>
        <w:t>3.5 Statistical Tests</w:t>
      </w:r>
    </w:p>
    <w:p>
      <w:r>
        <w:rPr/>
        <w:t>Institutional-friction effect: Spearman correlation between an a-priori friction index (ordinal 0–3) and b per case (social/biological domains). Regime separation: Mann-Whitney U between friction-free and friction-laden economic domains. Because cases are clustered within domains, r31 adds cluster-level Spearman (domain means), a cluster bootstrap and domain-exclusion variants (without E3; without E3 and B); serial autocorrelation of Domain B fits is handled with an AR(1) effective-n correction (Durbin-Watson). The trigger-type effect (abrupt vs gradual) was recalculated on every trigger-labeled dataset in the repository (§5). Domain B's construct is examined with a discriminant test: correlation of b with the initial GDP gap compared against a synthetic null calibrated to the Maddison data (the hub is assigned by mean GDP, which couples gap and slope by construction), and correlation of b with bilateral trade shares (Correlates of War Trade v4.0). Domain B is also rebuilt with a hub that emerges from trade (each country's largest export destination in its first decade of data), fitted identically, and the trade hub is compared with partners matched on initial gap. Collapse layer: Spearman ρ(b, Δ) for orthogonality and Kaplan-Meier survival for the hazard. Significance threshold α = 0.05; all tests in Python 3.11 (scipy.stats); scripts in the public repository.</w:t>
      </w:r>
    </w:p>
    <w:p>
      <w:r>
        <w:rPr>
          <w:b/>
        </w:rPr>
        <w:t>Pre-registered tests (r32).</w:t>
      </w:r>
      <w:r>
        <w:rPr/>
        <w:t xml:space="preserve"> Before any new data were downloaded, the hypotheses, friction codings, case lists, decision rules and random seed of five tests were committed to the public repository; the commit date is the timestamp, and every deviation is reported with its reason (</w:t>
      </w:r>
      <w:r>
        <w:rPr>
          <w:rFonts w:ascii="Consolas" w:hAnsi="Consolas"/>
          <w:sz w:val="18"/>
        </w:rPr>
        <w:t>reconstruction_real/audits/RESULTADOS_PREREGISTRO_2026-09-27.md</w:t>
      </w:r>
      <w:r>
        <w:rPr/>
        <w:t>). New public sources, each archived with its SHA-256: UN World Urbanization Prospects 2018 (annual urban agglomerations ≥ 300,000, 1950–2018), Our World in Data COVID-19 and mpox, StatCounter global market shares (2009–2024), Correlates of War Trade v4.0 by decade, the Binance public archive (daily closes of 663 spot pairs, 2017–2026) and FDIC BankFind (27,834 insured institutions). The unit of inference is always the coarsest independent unit (domain, node, hub or case). Tests: exact permutation of the domain-level Spearman correlation (friction); one-sided Wilcoxon signed-rank on matched differences (hubs, triggers); equivalence with a 95% CI inside ±0.3 (orthogonality); age-band hazards with delayed entry (survival).</w:t>
      </w:r>
    </w:p>
    <w:p/>
    <w:p>
      <w:pPr>
        <w:pStyle w:val="Heading2"/>
      </w:pPr>
      <w:r>
        <w:t>4. Results — Historical Case Studies</w:t>
      </w:r>
    </w:p>
    <w:p>
      <w:r>
        <w:rPr>
          <w:i/>
        </w:rPr>
        <w:t>Note (r31): the four historical cases below come from the original v1.0 study. They are illustrative case studies, not part of the 721-case active corpus, and their values are reported as originally estimated.</w:t>
      </w:r>
    </w:p>
    <w:p>
      <w:pPr>
        <w:pStyle w:val="Heading3"/>
      </w:pPr>
      <w:r>
        <w:t>4.1 Bruges → Antwerp (1300–1560)</w:t>
      </w:r>
    </w:p>
    <w:p>
      <w:r>
        <w:rPr/>
        <w:t>Mechanism: physical infrastructure collapse (silting of the Zwin Canal, c.1490). R(t) = Antwerp/Bruges population follows a power law with b = +0.739 (R² = 0.868). Classified as accelerated satellization with abrupt trigger. Bruges had been the dominant commercial hub of Northern Europe for two centuries before the canal silting cut off maritime access; Antwerp, with open Scheldt access, absorbed the commercial network within two generations.</w:t>
      </w:r>
    </w:p>
    <w:p>
      <w:pPr>
        <w:pStyle w:val="Heading3"/>
      </w:pPr>
      <w:r>
        <w:t>4.2 Toledo → Madrid (1528–1787)</w:t>
      </w:r>
    </w:p>
    <w:p>
      <w:r>
        <w:rPr/>
        <w:t>Mechanism: pure political decree (Philip II's transfer of the imperial court, 1561). R(t) = Madrid/Toledo population: b = +0.694 (R² = 0.924), the best fit of the set. Toledo was the largest city in Castile; Madrid a village of fewer than 4,000 in 1528. Within 40 years of the court transfer, Madrid had surpassed Toledo — political decree alone, without geographic advantage, is sufficient to generate high-velocity satellization.</w:t>
      </w:r>
    </w:p>
    <w:p>
      <w:pPr>
        <w:pStyle w:val="Heading3"/>
      </w:pPr>
      <w:r>
        <w:t>4.3 Portugal vs. Northwestern Europe (1535–1980)</w:t>
      </w:r>
    </w:p>
    <w:p>
      <w:r>
        <w:rPr/>
        <w:t>Mechanism: Iberian Union (1580) combined with the accumulated Atlantic advantage of NW European powers. Trigger classified as hybrid. R(t) = NW Europe GDP pc / Portugal GDP pc: b = +0.060, R² = 0.123 — the low fit reflects an oscillatory process (Brazilian gold caused partial recoveries 1700–1750). The long-run trend is unambiguously divergent (the gap multiplied 3.5× between 1535 and 1913).</w:t>
      </w:r>
    </w:p>
    <w:p>
      <w:pPr>
        <w:pStyle w:val="Heading3"/>
      </w:pPr>
      <w:r>
        <w:t>4.4 Tlaxcala → Puebla (1550–2022)</w:t>
      </w:r>
    </w:p>
    <w:p>
      <w:r>
        <w:rPr/>
        <w:t>Mechanism: cumulative colonial extraction + differential industrialization. R(t) = Puebla/Tlaxcala GDP per capita: b = +0.184 (R² = 0.567), gradual satellization. Critically, the binary model underestimates Tlaxcala's actual satellization by measuring only the Tlaxcala–Puebla gradient; the N-body matrix (Section 8) reveals that 89.2% of extraction flows directly to Mexico City, making the true composite gradient 9.3× larger.</w:t>
      </w:r>
    </w:p>
    <w:p/>
    <w:p>
      <w:pPr>
        <w:pStyle w:val="Heading2"/>
      </w:pPr>
      <w:r>
        <w:t>5. Discussion: The Two-Speed Taxonomy</w:t>
      </w:r>
    </w:p>
    <w:p>
      <w:pPr>
        <w:pStyle w:val="Heading3"/>
      </w:pPr>
      <w:r>
        <w:t>5.1 The Central Finding</w:t>
      </w:r>
    </w:p>
    <w:p>
      <w:r>
        <w:rPr/>
        <w:t xml:space="preserve">The historical cases suggest two classes of satellization dynamics. Abrupt-trigger cases (Bruges-Antwerp, Toledo-Madrid) generate exponents in the range b = 0.69–0.74; gradual/hybrid cases (Portugal, Tlaxcala) generate b = 0.06–0.18; the ratio of class means is 5.87×. </w:t>
      </w:r>
      <w:r>
        <w:rPr>
          <w:b/>
        </w:rPr>
        <w:t>This is a hypothesis, not a confirmed result</w:t>
      </w:r>
      <w:r>
        <w:rPr/>
        <w:t xml:space="preserve"> (revised in r31). With 2 cases per class the Mann-Whitney test cannot reach significance (p = 0.33, its smallest attainable value). v30 stated that the ordering was "confirmed at scale" in the 721-case corpus (U = 24,802, p = 1.91×10⁻⁵, n = 486); the audit found that n = 486 matches no dataset in the repository and that the active corpus has no usable trigger variable (the 446 Domain B cases are all coded "gradual" by assignment), so that statement is withdrawn. A historical 57-case corpus gives a ratio of 6.3 (p = 0.053), but it predates the verified corpus and contains impossible R² values, so it is not citable. The only active data with a trigger label are the 18 cases of the collapse layer, which measure a different exponent (absorption after the hub's functional extinction); there gradual ≥ abrupt (ratio 0.47, p = 0.10), with the trigger confounded with domain. Testing the two-speed hypothesis requires a satellization corpus with independently coded triggers.</w:t>
      </w:r>
    </w:p>
    <w:p>
      <w:r>
        <w:rPr>
          <w:b/>
        </w:rPr>
        <w:t>Pre-registered test with blind-coded triggers (r32).</w:t>
      </w:r>
      <w:r>
        <w:rPr/>
        <w:t xml:space="preserve"> Twelve abrupt, decree-driven cases were coded before any population series was seen: eight capital relocations and four Chinese special economic zones (1980). The data are the UN World Urbanization Prospects 2018 annual agglomeration series (1950–2018). For each case, R = population of the challenger / population of the incumbent from the effective year to 2018, fitted like the corpus; its b is compared with that of up to five control cities of the same country (or of any country when fewer than three exist) matched on the initial ratio. Three cases drop out because a city is missing from the file (Dodoma, Yamoussoukro, Zomba) and Berlin/Bonn has no matched controls, leaving eight: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Case</w:t>
            </w:r>
          </w:p>
        </w:tc>
        <w:tc>
          <w:tcPr>
            <w:tcW w:type="dxa" w:w="1728"/>
          </w:tcPr>
          <w:p>
            <w:r>
              <w:rPr>
                <w:b/>
              </w:rPr>
              <w:t>Year</w:t>
            </w:r>
          </w:p>
        </w:tc>
        <w:tc>
          <w:tcPr>
            <w:tcW w:type="dxa" w:w="1728"/>
          </w:tcPr>
          <w:p>
            <w:r>
              <w:rPr>
                <w:b/>
              </w:rPr>
              <w:t>b (case)</w:t>
            </w:r>
          </w:p>
        </w:tc>
        <w:tc>
          <w:tcPr>
            <w:tcW w:type="dxa" w:w="1728"/>
          </w:tcPr>
          <w:p>
            <w:r>
              <w:rPr>
                <w:b/>
              </w:rPr>
              <w:t>mean b (controls)</w:t>
            </w:r>
          </w:p>
        </w:tc>
        <w:tc>
          <w:tcPr>
            <w:tcW w:type="dxa" w:w="1728"/>
          </w:tcPr>
          <w:p>
            <w:r>
              <w:rPr>
                <w:b/>
              </w:rPr>
              <w:t>d</w:t>
            </w:r>
          </w:p>
        </w:tc>
      </w:tr>
      <w:tr>
        <w:tc>
          <w:tcPr>
            <w:tcW w:type="dxa" w:w="1728"/>
          </w:tcPr>
          <w:p>
            <w:r>
              <w:rPr/>
              <w:t>Brasília / Rio de Janeiro</w:t>
            </w:r>
          </w:p>
        </w:tc>
        <w:tc>
          <w:tcPr>
            <w:tcW w:type="dxa" w:w="1728"/>
          </w:tcPr>
          <w:p>
            <w:r>
              <w:rPr/>
              <w:t>1960</w:t>
            </w:r>
          </w:p>
        </w:tc>
        <w:tc>
          <w:tcPr>
            <w:tcW w:type="dxa" w:w="1728"/>
          </w:tcPr>
          <w:p>
            <w:r>
              <w:rPr/>
              <w:t>+0.740</w:t>
            </w:r>
          </w:p>
        </w:tc>
        <w:tc>
          <w:tcPr>
            <w:tcW w:type="dxa" w:w="1728"/>
          </w:tcPr>
          <w:p>
            <w:r>
              <w:rPr/>
              <w:t>+0.456</w:t>
            </w:r>
          </w:p>
        </w:tc>
        <w:tc>
          <w:tcPr>
            <w:tcW w:type="dxa" w:w="1728"/>
          </w:tcPr>
          <w:p>
            <w:r>
              <w:rPr/>
              <w:t>+0.284</w:t>
            </w:r>
          </w:p>
        </w:tc>
      </w:tr>
      <w:tr>
        <w:tc>
          <w:tcPr>
            <w:tcW w:type="dxa" w:w="1728"/>
          </w:tcPr>
          <w:p>
            <w:r>
              <w:rPr/>
              <w:t>Islamabad / Karachi</w:t>
            </w:r>
          </w:p>
        </w:tc>
        <w:tc>
          <w:tcPr>
            <w:tcW w:type="dxa" w:w="1728"/>
          </w:tcPr>
          <w:p>
            <w:r>
              <w:rPr/>
              <w:t>1967</w:t>
            </w:r>
          </w:p>
        </w:tc>
        <w:tc>
          <w:tcPr>
            <w:tcW w:type="dxa" w:w="1728"/>
          </w:tcPr>
          <w:p>
            <w:r>
              <w:rPr/>
              <w:t>+0.396</w:t>
            </w:r>
          </w:p>
        </w:tc>
        <w:tc>
          <w:tcPr>
            <w:tcW w:type="dxa" w:w="1728"/>
          </w:tcPr>
          <w:p>
            <w:r>
              <w:rPr/>
              <w:t>+0.066</w:t>
            </w:r>
          </w:p>
        </w:tc>
        <w:tc>
          <w:tcPr>
            <w:tcW w:type="dxa" w:w="1728"/>
          </w:tcPr>
          <w:p>
            <w:r>
              <w:rPr/>
              <w:t>+0.331</w:t>
            </w:r>
          </w:p>
        </w:tc>
      </w:tr>
      <w:tr>
        <w:tc>
          <w:tcPr>
            <w:tcW w:type="dxa" w:w="1728"/>
          </w:tcPr>
          <w:p>
            <w:r>
              <w:rPr/>
              <w:t>Abuja / Lagos</w:t>
            </w:r>
          </w:p>
        </w:tc>
        <w:tc>
          <w:tcPr>
            <w:tcW w:type="dxa" w:w="1728"/>
          </w:tcPr>
          <w:p>
            <w:r>
              <w:rPr/>
              <w:t>1991</w:t>
            </w:r>
          </w:p>
        </w:tc>
        <w:tc>
          <w:tcPr>
            <w:tcW w:type="dxa" w:w="1728"/>
          </w:tcPr>
          <w:p>
            <w:r>
              <w:rPr/>
              <w:t>+0.391</w:t>
            </w:r>
          </w:p>
        </w:tc>
        <w:tc>
          <w:tcPr>
            <w:tcW w:type="dxa" w:w="1728"/>
          </w:tcPr>
          <w:p>
            <w:r>
              <w:rPr/>
              <w:t>−0.089</w:t>
            </w:r>
          </w:p>
        </w:tc>
        <w:tc>
          <w:tcPr>
            <w:tcW w:type="dxa" w:w="1728"/>
          </w:tcPr>
          <w:p>
            <w:r>
              <w:rPr/>
              <w:t>+0.480</w:t>
            </w:r>
          </w:p>
        </w:tc>
      </w:tr>
      <w:tr>
        <w:tc>
          <w:tcPr>
            <w:tcW w:type="dxa" w:w="1728"/>
          </w:tcPr>
          <w:p>
            <w:r>
              <w:rPr/>
              <w:t>Astana / Almaty</w:t>
            </w:r>
          </w:p>
        </w:tc>
        <w:tc>
          <w:tcPr>
            <w:tcW w:type="dxa" w:w="1728"/>
          </w:tcPr>
          <w:p>
            <w:r>
              <w:rPr/>
              <w:t>1997</w:t>
            </w:r>
          </w:p>
        </w:tc>
        <w:tc>
          <w:tcPr>
            <w:tcW w:type="dxa" w:w="1728"/>
          </w:tcPr>
          <w:p>
            <w:r>
              <w:rPr/>
              <w:t>+0.259</w:t>
            </w:r>
          </w:p>
        </w:tc>
        <w:tc>
          <w:tcPr>
            <w:tcW w:type="dxa" w:w="1728"/>
          </w:tcPr>
          <w:p>
            <w:r>
              <w:rPr/>
              <w:t>−0.081</w:t>
            </w:r>
          </w:p>
        </w:tc>
        <w:tc>
          <w:tcPr>
            <w:tcW w:type="dxa" w:w="1728"/>
          </w:tcPr>
          <w:p>
            <w:r>
              <w:rPr/>
              <w:t>+0.340</w:t>
            </w:r>
          </w:p>
        </w:tc>
      </w:tr>
      <w:tr>
        <w:tc>
          <w:tcPr>
            <w:tcW w:type="dxa" w:w="1728"/>
          </w:tcPr>
          <w:p>
            <w:r>
              <w:rPr/>
              <w:t>Shenzhen / Guangzhou</w:t>
            </w:r>
          </w:p>
        </w:tc>
        <w:tc>
          <w:tcPr>
            <w:tcW w:type="dxa" w:w="1728"/>
          </w:tcPr>
          <w:p>
            <w:r>
              <w:rPr/>
              <w:t>1980</w:t>
            </w:r>
          </w:p>
        </w:tc>
        <w:tc>
          <w:tcPr>
            <w:tcW w:type="dxa" w:w="1728"/>
          </w:tcPr>
          <w:p>
            <w:r>
              <w:rPr/>
              <w:t>+1.241</w:t>
            </w:r>
          </w:p>
        </w:tc>
        <w:tc>
          <w:tcPr>
            <w:tcW w:type="dxa" w:w="1728"/>
          </w:tcPr>
          <w:p>
            <w:r>
              <w:rPr/>
              <w:t>+0.003</w:t>
            </w:r>
          </w:p>
        </w:tc>
        <w:tc>
          <w:tcPr>
            <w:tcW w:type="dxa" w:w="1728"/>
          </w:tcPr>
          <w:p>
            <w:r>
              <w:rPr/>
              <w:t>+1.238</w:t>
            </w:r>
          </w:p>
        </w:tc>
      </w:tr>
      <w:tr>
        <w:tc>
          <w:tcPr>
            <w:tcW w:type="dxa" w:w="1728"/>
          </w:tcPr>
          <w:p>
            <w:r>
              <w:rPr/>
              <w:t>Zhuhai / Guangzhou</w:t>
            </w:r>
          </w:p>
        </w:tc>
        <w:tc>
          <w:tcPr>
            <w:tcW w:type="dxa" w:w="1728"/>
          </w:tcPr>
          <w:p>
            <w:r>
              <w:rPr/>
              <w:t>1980</w:t>
            </w:r>
          </w:p>
        </w:tc>
        <w:tc>
          <w:tcPr>
            <w:tcW w:type="dxa" w:w="1728"/>
          </w:tcPr>
          <w:p>
            <w:r>
              <w:rPr/>
              <w:t>+0.665</w:t>
            </w:r>
          </w:p>
        </w:tc>
        <w:tc>
          <w:tcPr>
            <w:tcW w:type="dxa" w:w="1728"/>
          </w:tcPr>
          <w:p>
            <w:r>
              <w:rPr/>
              <w:t>+0.167</w:t>
            </w:r>
          </w:p>
        </w:tc>
        <w:tc>
          <w:tcPr>
            <w:tcW w:type="dxa" w:w="1728"/>
          </w:tcPr>
          <w:p>
            <w:r>
              <w:rPr/>
              <w:t>+0.499</w:t>
            </w:r>
          </w:p>
        </w:tc>
      </w:tr>
      <w:tr>
        <w:tc>
          <w:tcPr>
            <w:tcW w:type="dxa" w:w="1728"/>
          </w:tcPr>
          <w:p>
            <w:r>
              <w:rPr/>
              <w:t>Shantou / Guangzhou</w:t>
            </w:r>
          </w:p>
        </w:tc>
        <w:tc>
          <w:tcPr>
            <w:tcW w:type="dxa" w:w="1728"/>
          </w:tcPr>
          <w:p>
            <w:r>
              <w:rPr/>
              <w:t>1980</w:t>
            </w:r>
          </w:p>
        </w:tc>
        <w:tc>
          <w:tcPr>
            <w:tcW w:type="dxa" w:w="1728"/>
          </w:tcPr>
          <w:p>
            <w:r>
              <w:rPr/>
              <w:t>+0.200</w:t>
            </w:r>
          </w:p>
        </w:tc>
        <w:tc>
          <w:tcPr>
            <w:tcW w:type="dxa" w:w="1728"/>
          </w:tcPr>
          <w:p>
            <w:r>
              <w:rPr/>
              <w:t>−0.324</w:t>
            </w:r>
          </w:p>
        </w:tc>
        <w:tc>
          <w:tcPr>
            <w:tcW w:type="dxa" w:w="1728"/>
          </w:tcPr>
          <w:p>
            <w:r>
              <w:rPr/>
              <w:t>+0.524</w:t>
            </w:r>
          </w:p>
        </w:tc>
      </w:tr>
      <w:tr>
        <w:tc>
          <w:tcPr>
            <w:tcW w:type="dxa" w:w="1728"/>
          </w:tcPr>
          <w:p>
            <w:r>
              <w:rPr/>
              <w:t>Xiamen / Fuzhou</w:t>
            </w:r>
          </w:p>
        </w:tc>
        <w:tc>
          <w:tcPr>
            <w:tcW w:type="dxa" w:w="1728"/>
          </w:tcPr>
          <w:p>
            <w:r>
              <w:rPr/>
              <w:t>1980</w:t>
            </w:r>
          </w:p>
        </w:tc>
        <w:tc>
          <w:tcPr>
            <w:tcW w:type="dxa" w:w="1728"/>
          </w:tcPr>
          <w:p>
            <w:r>
              <w:rPr/>
              <w:t>+0.192</w:t>
            </w:r>
          </w:p>
        </w:tc>
        <w:tc>
          <w:tcPr>
            <w:tcW w:type="dxa" w:w="1728"/>
          </w:tcPr>
          <w:p>
            <w:r>
              <w:rPr/>
              <w:t>−0.064</w:t>
            </w:r>
          </w:p>
        </w:tc>
        <w:tc>
          <w:tcPr>
            <w:tcW w:type="dxa" w:w="1728"/>
          </w:tcPr>
          <w:p>
            <w:r>
              <w:rPr/>
              <w:t>+0.256</w:t>
            </w:r>
          </w:p>
        </w:tc>
      </w:tr>
    </w:tbl>
    <w:p>
      <w:r>
        <w:rPr/>
        <w:t xml:space="preserve">d &gt; 0 in 8 of 8 cases (median d = +0.410; one-sided Wilcoxon p = 0.0039), and the same with the decision year instead of the effective year. The pre-registered hypothesis is </w:t>
      </w:r>
      <w:r>
        <w:rPr>
          <w:b/>
        </w:rPr>
        <w:t>supported</w:t>
      </w:r>
      <w:r>
        <w:rPr/>
        <w:t>: a city favored by an abrupt decree gains on the incumbent faster than comparable cities. For the four capitals alone, 4 of 4 (p = 0.0625, the smallest attainable with n = 4) and the ratio of mean b is 5.1×, close to v1.0's 5.9×, but on four cases. Two caveats bound the result: the file lists only agglomerations with ≥ 300,000 inhabitants in 2018, so relocations that grew little (Dodoma, Yamoussoukro) are excluded and the case sample leans toward successes; and the test compares an abrupt decree with the baseline dynamics of cities with the same initial ratio, not abrupt with gradual triggers in the v1.0 sense.</w:t>
      </w:r>
    </w:p>
    <w:p>
      <w:pPr>
        <w:pStyle w:val="Heading3"/>
      </w:pPr>
      <w:r>
        <w:t>5.2 Qualitative Interpretation (hypothesis)</w:t>
      </w:r>
    </w:p>
    <w:p>
      <w:r>
        <w:rPr/>
        <w:t>The key theoretical distinction is not the magnitude of the trigger but its reversibility. An abrupt trigger — infrastructure collapse, political decree — produces irreversible structural change the shadow node cannot compensate through internal resource mobilization. A gradual trigger — differential industrialization, slow technological diffusion — allows temporary adaptive responses that compress the b exponent without reversing the underlying dynamic.</w:t>
      </w:r>
    </w:p>
    <w:p>
      <w:pPr>
        <w:pStyle w:val="Heading3"/>
      </w:pPr>
      <w:r>
        <w:t>5.3 Implications for Early Intervention</w:t>
      </w:r>
    </w:p>
    <w:p>
      <w:r>
        <w:rPr/>
        <w:t>The b exponent has direct policy implications. A node with b = 0.70 faces a satellization horizon on the order of decades before the gap becomes structurally irreversible. A node with b = 0.18 has a longer window but the same terminal outcome absent intervention. The SNT diagnostic protocol (Section 11) provides a four-step procedure for estimating the current b, identifying the horizon of events, and designing orthogonal-dimension interventions that can generate b &lt; 0 (convergence) without triggering the hub's immune response.</w:t>
      </w:r>
    </w:p>
    <w:p/>
    <w:p>
      <w:pPr>
        <w:pStyle w:val="Heading2"/>
      </w:pPr>
      <w:r>
        <w:t>6. Digital Validation: HackerEarth 2026</w:t>
      </w:r>
    </w:p>
    <w:p>
      <w:pPr>
        <w:pStyle w:val="Heading3"/>
      </w:pPr>
      <w:r>
        <w:t>6.1 The Experiment</w:t>
      </w:r>
    </w:p>
    <w:p>
      <w:r>
        <w:rPr/>
        <w:t>The HackerEarth 2026 dataset provides a behavioral event log for 4,774 users of the Zerve data-science platform across a 98-day window: 409,287 events, 141 event types. This constitutes a closed Meso-level system: the platform (hub) and its users (nodes), with resource flows measured as behavioral engagement metrics.</w:t>
      </w:r>
    </w:p>
    <w:p>
      <w:pPr>
        <w:pStyle w:val="Heading3"/>
      </w:pPr>
      <w:r>
        <w:t>6.2 The Fractal Gap</w:t>
      </w:r>
    </w:p>
    <w:p>
      <w:r>
        <w:rPr/>
        <w:t>The Composite Success Index v3 (CSI_V3), a weighted combination of tool diversity (0.40), platform lifetime (0.30) and Velocity of Diversification Rate (VDR, 0.30), reveals a fractal discontinuity. The Elite cohort (top 0.5%, n=24) shows a VDR 7,478× greater than the Basic cohort median (bottom 93.1%, n=4,444). This is not a power-law tail — it is a fractal discontinuity consistent with the SNT prediction of a Hub–Shadow Node separation following preferential attachment.</w:t>
      </w:r>
    </w:p>
    <w:p>
      <w:pPr>
        <w:pStyle w:val="Heading3"/>
      </w:pPr>
      <w:r>
        <w:t>6.3 The 5-Event Wall</w:t>
      </w:r>
    </w:p>
    <w:p>
      <w:r>
        <w:rPr/>
        <w:t xml:space="preserve">A Gradient Boosting Classifier predicting churn from </w:t>
      </w:r>
      <w:r>
        <w:rPr>
          <w:b/>
        </w:rPr>
        <w:t>first-session</w:t>
      </w:r>
      <w:r>
        <w:rPr/>
        <w:t xml:space="preserve"> features reaches ROC-AUC = 0.715 ± 0.019 (5-fold CV). </w:t>
      </w:r>
      <w:r>
        <w:rPr>
          <w:i/>
        </w:rPr>
        <w:t>Correction (r31):</w:t>
      </w:r>
      <w:r>
        <w:rPr/>
        <w:t xml:space="preserve"> v30 reported ROC-AUC = 0.9994 (1.0000 in CV); that model used features accumulated over each user's whole trajectory, including post-churn activity — a data leakage already corrected in the repository's validation script. Users triggering fewer than five distinct event types churn far more often — the 5-Event Wall — detectable within the first session. These figures come from the proprietary event log and cannot be re-derived from the public repository (the retention target is not distributed).</w:t>
      </w:r>
    </w:p>
    <w:p>
      <w:pPr>
        <w:pStyle w:val="Heading3"/>
      </w:pPr>
      <w:r>
        <w:t>6.4 SHAP Rankings and the Cognitive Leapfrog</w:t>
      </w:r>
    </w:p>
    <w:p>
      <w:r>
        <w:rPr/>
        <w:t>The top SHAP-ranked predictor is AI-agent orchestration (agent_accept_suggestion, SHAP proxy ~0.5). Users who delegate execution to the AI agent rather than executing linearly are the strongest predictor of Elite-trajectory behavior — the cognitive leapfrog: transitioning from linear execution to agent orchestration, a dimension where accumulated hub advantage does not apply and which is currently accessible to new entrants.</w:t>
      </w:r>
    </w:p>
    <w:p>
      <w:pPr>
        <w:pStyle w:val="Heading3"/>
      </w:pPr>
      <w:r>
        <w:t>6.5 Extension to the Enterprise Domain</w:t>
      </w:r>
    </w:p>
    <w:p>
      <w:r>
        <w:rPr/>
        <w:t>The HackerEarth case is the first empirical demonstration of SNT applied to a closed enterprise ecosystem. The applicability condition is not sector or size but the availability of structured behavioral event data measuring inter-node resource flows. Five metrics of the Composite Enterprise Sovereignty Index (CSIE) — event volume per node, sustained activity, response time, functional diversity, and failure resilience — identify satellization within organizational structures before it becomes structurally irreversible.</w:t>
      </w:r>
    </w:p>
    <w:p>
      <w:pPr>
        <w:pStyle w:val="Heading3"/>
      </w:pPr>
      <w:r>
        <w:t>6.6 The Atomic Sovereignty Index (ASI) — status (r31)</w:t>
      </w:r>
    </w:p>
    <w:p>
      <w:r>
        <w:rPr/>
        <w:t xml:space="preserve">ASI = δH · α / F is computable from behavioral data (the formula replicates from the published scores to numerical precision), and the threshold ASI &gt; 1 singles out 13 of 4,774 users (0.27%). v30 reported that ASI classifies sovereignty with "precision = 1.0, zero false positives". That figure is </w:t>
      </w:r>
      <w:r>
        <w:rPr>
          <w:b/>
        </w:rPr>
        <w:t>withdrawn</w:t>
      </w:r>
      <w:r>
        <w:rPr/>
        <w:t>: the sovereignty label it was scored against is defined as ASI &gt; 1, so the classification is tautological. A valid test requires an outcome measured independently of ASI (e.g., observed retention); the corrected first-session churn model (§6.3) is the only external check available so far, and it is not reproducible from public data.</w:t>
      </w:r>
    </w:p>
    <w:p/>
    <w:p>
      <w:pPr>
        <w:pStyle w:val="Heading2"/>
      </w:pPr>
      <w:r>
        <w:t>7. SNT Triple-Resolution Systemic Model</w:t>
      </w:r>
    </w:p>
    <w:p>
      <w:r>
        <w:rPr/>
        <w:t>The model extends the original binary model across three scales with distinct dynamics, actors, and incompatible competitive rules. The five-level taxonomy and INEGI 2022 verification are consistent with the Mexican national system operating under preferential attachment (a rank-size fit; see the caveat in §8); trajectory vectorization for eight entities (1940–2022) documents the first cases of successful leapfrog within the system: Querétaro (b = −0.155, p &lt; 0.01) and Nuevo León (b = −0.058, p &lt; 0.001).</w:t>
      </w:r>
    </w:p>
    <w:p>
      <w:r>
        <w:rPr>
          <w:b/>
        </w:rPr>
        <w:t>7.1 Micro Resolution — The Atomic System.</w:t>
      </w:r>
      <w:r>
        <w:rPr/>
        <w:t xml:space="preserve"> The base scale of processing and survival. Resources divide into Quantitative (RQ, extractable: capital, time, infrastructure) and Qualitative (RL, inherent: knowledge, skills, cognitive maturity). RL cannot be directly extracted but degrades through disuse when RQ scarcity prevents its maintenance. Leapfrog requires two parallel dimensions: Intrapersonal (DI, mandatory base) and Professional (DP, visible leap).</w:t>
      </w:r>
    </w:p>
    <w:p>
      <w:r>
        <w:rPr>
          <w:b/>
        </w:rPr>
        <w:t>7.2 Meso Resolution — The Intra-national Fungal Network.</w:t>
      </w:r>
      <w:r>
        <w:rPr/>
        <w:t xml:space="preserve"> A closed ecosystem delimited by geopolitical or institutional jurisdiction. The Central Hub administers the network through continuous extraction of residual energy from Shadow Nodes. The hub is practically immovable from inside; its immune response activates based on growth direction, not size. The hub expands via silent absorption, peaceful agreement, or expropriation — in that order of energetic-cost preference.</w:t>
      </w:r>
    </w:p>
    <w:p>
      <w:r>
        <w:rPr>
          <w:b/>
        </w:rPr>
        <w:t>7.3 Macro Resolution — The Superorganism Collision.</w:t>
      </w:r>
      <w:r>
        <w:rPr/>
        <w:t xml:space="preserve"> Competition between complete fungal networks; no central hub arbitrates. Relative position is set by Gravitational Mass (MG: total GDP, population density, technological level, territorial area). The real brake on aggressive expansion is the internal node network, not international regulators. The Atomic Node never fully escapes the Macro system: its legal and fiscal existence is anchored to its resident superorganism.</w:t>
      </w:r>
    </w:p>
    <w:p>
      <w:r>
        <w:rPr>
          <w:b/>
        </w:rPr>
        <w:t>7.4 Cross-Scale Interaction Principles.</w:t>
      </w:r>
      <w:r>
        <w:rPr/>
        <w:t xml:space="preserve"> Cascade Transmission: Macro events impact all three systems in descending cascade (Macro → Meso → Micro), at a speed depending on each node's dimensional independence. Scalar Velocity: TC_micro (hours–months) &lt; TC_meso (months–years) &lt; TC_macro (decades–generations), differing by 10–100× per level. Speed is the structural advantage of the Atomic Node.</w:t>
      </w:r>
    </w:p>
    <w:p/>
    <w:p>
      <w:pPr>
        <w:pStyle w:val="Heading2"/>
      </w:pPr>
      <w:r>
        <w:t>8. Empirical Verification: N-Body Matrix — Mexico</w:t>
      </w:r>
    </w:p>
    <w:p>
      <w:r>
        <w:rPr/>
        <w:t>The five-level taxonomy is verified with INEGI 2022–2023 data for the 32 federal entities. Level 0 (Mexico City): 14.8% of national GDP. Level 1 (9 secondary attractors): 41.0%. Level 2 (8 logistic-bypass nodes): 20.2%. Level 3 (11 shadow nodes): 16.8% with the largest number of entities. Level E (3 exogenous anomalies): 4.3%. The rank-size power-law fit gives b = −0.473, R² = 0.838, p &lt; 0.001 (re-derived in the audit: b = −0.4732, R² = 0.8377). A rank-size fit over 32 ordered entities yields a high R² almost by construction, so this is consistent with, but not by itself evidence of, preferential attachment; a comparison against a lognormal alternative (Clauset et al., 2009) is pending.</w:t>
      </w:r>
    </w:p>
    <w:p>
      <w:r>
        <w:rPr/>
        <w:t>The composite gradient of Tlaxcala is the central N-body result: the binary model measured w_ij(Tlaxcala→Puebla) = 26.2k MXN; the N-body matrix reveals w_ij(Tlaxcala→Mexico City, long-range) = 216.8k MXN. Total composite gradient: 243.0k MXN — the binary model underestimated Tlaxcala's satellization by 9.3×; 89.2% of extraction flows directly to Mexico City, bypassing the intermediary. Trajectory vectorization for eight entities (1940–2022) reveals two natural groups: Satellization (b &gt; 0): Chiapas (+0.229), Oaxaca (+0.176), Guerrero (+0.176), Veracruz (+0.181), Tlaxcala (+0.147), Puebla (+0.116); Convergence (b &lt; 0): Querétaro (−0.155, R²=0.782) and Nuevo León (−0.058, R²=0.935) — the first documented leapfrog cases within the national system (Querétaro via aerospace manufacturing, Nuevo León via independent export manufacturing).</w:t>
      </w:r>
    </w:p>
    <w:p/>
    <w:p>
      <w:pPr>
        <w:pStyle w:val="Heading2"/>
      </w:pPr>
      <w:r>
        <w:t>9. Limitations</w:t>
      </w:r>
    </w:p>
    <w:p>
      <w:r>
        <w:rPr/>
        <w:t>Original corpus limitations remain: data uncertainty (±20%) for pre-1820 historical estimates, low R² for the Portugal case (oscillatory process), possible reverse causality in the digital case, selection bias in case choice, and sensitivity to trigger definition in gradual cases. The Triple-Resolution Model's Micro and Macro modules are conceptual frameworks with partial operationalization; variables RQ, RL, DI, DP, and MG have proposed measurement criteria not yet validated with structured data series. The ASI is computable on HackerEarth 2026, but its v30 "precision = 1.0" is withdrawn as tautological (§6.6); it requires validation against an independent outcome. The Ck Coherence Factor has a verified neurological mechanism (Friston 2010) but its operationalization is untested.</w:t>
      </w:r>
    </w:p>
    <w:p>
      <w:r>
        <w:rPr>
          <w:b/>
        </w:rPr>
        <w:t>On the corpus:</w:t>
      </w:r>
      <w:r>
        <w:rPr/>
        <w:t xml:space="preserve"> this version retires the previously posted 502-case corpus, which contained synthetic values, and replaces it with 721 cases reconstructed from verifiable primary sources (R² ∈ [0,1]; 89% nominally significant). The collapse layer (Section 13) is correlational; r32 enlarges its cohorts (242 crypto pairs for orthogonality; 663 crypto pairs and 27,771 banks for the hazard), but it remains a strong hypothesis, not causal proof.</w:t>
      </w:r>
    </w:p>
    <w:p>
      <w:r>
        <w:rPr>
          <w:b/>
        </w:rPr>
        <w:t>Pre-registered tests (added in r32).</w:t>
      </w:r>
      <w:r>
        <w:rPr/>
        <w:t xml:space="preserve"> Of five pre-registered tests, two support the theory (blind-coded triggers; b ⊥ Δ orthogonality and hazard positivity), two do not (friction ordering with new domains; time-varying trade hub), and one is a reporting correction (raw COVID-19 series). Their own limits: the trigger test has eight cases and a survivorship filter; the friction test has seven domains, so its power is low (the smallest attainable exact permutation p is 12/5040 ≈ 0.002, for a perfect ordering); the crypto orthogonality peaks cluster in one market cycle (153 of 242 in 2021) and "birth" is the Binance listing, not the coin's origin; the rising crypto hazard is confounded with calendar time (an age-period-cohort model is pending); the FDIC file records no closure before 1970, so the pre-registered 1934 entry is biased and the decision uses entry in 1970.</w:t>
      </w:r>
    </w:p>
    <w:p>
      <w:r>
        <w:rPr>
          <w:b/>
        </w:rPr>
        <w:t>Integral audit v32 and re-verification (added in r31).</w:t>
      </w:r>
      <w:r>
        <w:rPr/>
        <w:t xml:space="preserve"> (i) </w:t>
      </w:r>
      <w:r>
        <w:rPr>
          <w:i/>
        </w:rPr>
        <w:t>Serial autocorrelation:</w:t>
      </w:r>
      <w:r>
        <w:rPr/>
        <w:t xml:space="preserve"> Domain B fits have median Durbin-Watson 0.112 and median AR(1) ρ 0.944, i.e. a median effective n of 2.2 (nominal 69); 290 of 446 cases are not estimable (effective n &lt; 3), and among the 156 estimable ones 33–112 remain significant depending on the correction variant. (ii) </w:t>
      </w:r>
      <w:r>
        <w:rPr>
          <w:i/>
        </w:rPr>
        <w:t>Pseudo-replication:</w:t>
      </w:r>
      <w:r>
        <w:rPr/>
        <w:t xml:space="preserve"> the 714 cases behind the friction finding are clustered in six domains; the cluster-level test is not significant (§12). (iii) </w:t>
      </w:r>
      <w:r>
        <w:rPr>
          <w:i/>
        </w:rPr>
        <w:t>Construct validity of Domain B:</w:t>
      </w:r>
      <w:r>
        <w:rPr/>
        <w:t xml:space="preserve"> the hub is assigned by mean GDP, and 77 of the 91 countries that act as hub in some pair (85%) are satellite in another, so the role is a property of the pair, not a network position; rebuilt with trade-emergent hubs, only 9 of 102 hub–node trade pairs are in Domain B, and the main export destination changes by 2005–2014 for 77 of 102 countries, so a single fixed hub over 50–119 years is itself a strong approximation. (iv) </w:t>
      </w:r>
      <w:r>
        <w:rPr>
          <w:i/>
        </w:rPr>
        <w:t>Superlinear regime:</w:t>
      </w:r>
      <w:r>
        <w:rPr/>
        <w:t xml:space="preserve"> in the 18 raw collapse-layer series, AIC prefers the power law in 13, an exponential in 4 (mean b = +1.54) and a linear model in 1; the higher b, the worse the power law fits, so part of the b ≥ 1 band (102 of 721 cases) may be misspecification. (v) </w:t>
      </w:r>
      <w:r>
        <w:rPr>
          <w:i/>
        </w:rPr>
        <w:t>Reporting:</w:t>
      </w:r>
      <w:r>
        <w:rPr/>
        <w:t xml:space="preserve"> per-case p-values were rounded to six decimals (557 of 721 read 0.0), and two R² definitions (log and raw scale) were averaged together. (vi) </w:t>
      </w:r>
      <w:r>
        <w:rPr>
          <w:i/>
        </w:rPr>
        <w:t>Composition:</w:t>
      </w:r>
      <w:r>
        <w:rPr/>
        <w:t xml:space="preserve"> the friction-free pole (E1 + E3) is COVID-19 data; E1 models territorial spread, not species invasion. (vii) </w:t>
      </w:r>
      <w:r>
        <w:rPr>
          <w:i/>
        </w:rPr>
        <w:t>Reproducibility:</w:t>
      </w:r>
      <w:r>
        <w:rPr/>
        <w:t xml:space="preserve"> Domain B reproduces exactly from the committed Maddison 2020 file; E3 reproduces from the raw series (233 of 234; r32), E1 is not reproducible, and the HackerEarth data are not distributed.</w:t>
      </w:r>
    </w:p>
    <w:p/>
    <w:p>
      <w:pPr>
        <w:pStyle w:val="Heading2"/>
      </w:pPr>
      <w:r>
        <w:t>10. Falsifiability Criteria</w:t>
      </w:r>
    </w:p>
    <w:p>
      <w:r>
        <w:rPr/>
        <w:t>RC1 — Scalar Velocity: falsified if a technology is systematically adopted faster by firms than by individuals (RC1a), or if a technology emerges without individual access that inverts the TC hierarchy (RC1b). RC2 — Immune Response: falsified if hub adaptation toward the peripheral node is documented more frequently than suppression. RC3 — Qualitative Inextractability: falsified if hubs systematically neutralize node knowledge differentials. RC4 — Dual Minimum Threshold: falsified if a leapfrog sustains itself with either dimension below minimum. RC5 — Expansion Sequence: falsified if direct expropriation produces more stable states than silent absorption. RC6 — Irreversibility: falsified if a Shadow Node reverses satellization endogenously without an exogenous trigger. RC7 — ASI Operationalization: falsified if users with ASI &gt; 1 show performance comparable to users with ASI &lt; 0.5 in tasks requiring cognitive sovereignty (untested: the v30 "precision = 1.0" was tautological, §6.6). RC8 — Mutual-interdependence brake: falsified if predator-prey or sovereign-state systems produce sustained b &gt; 0.5 without exogenous perturbation.</w:t>
      </w:r>
    </w:p>
    <w:p>
      <w:r>
        <w:rPr>
          <w:i/>
        </w:rPr>
        <w:t>Numbering note (r31): these are the conceptual criteria of the framework. The repository README keeps a separate empirical checklist with its own numbering (e.g., its "RC3" is the abrupt-vs-gradual test, now marked untestable).</w:t>
      </w:r>
    </w:p>
    <w:p>
      <w:r>
        <w:rPr>
          <w:b/>
        </w:rPr>
        <w:t>Collapse-axis criteria (new).</w:t>
      </w:r>
      <w:r>
        <w:rPr/>
        <w:t xml:space="preserve"> RC-Δ1 — Orthogonality: falsified if corr(b, Δ) is significantly different from zero across paired cases (first test: crypto n=11, ρ = +0.009; pre-registered test in r32: 242 pairs, ρ = −0.119, 95% CI [−0.241, +0.007] inside the ±0.3 equivalence band — not refuted). RC-Δ2 — Friction governs collapse shape: falsified if resolution friction does not predict Δ (first test: 2008 cohort n=6, ρ = −1.000; not enlarged in r32 for lack of comparable public data). RC-Δ3 — Hazard positivity: falsified if a system with hazard = 0 is found (r32: every age band with ≥ 30 at risk has endings in 663 crypto pairs and 27,771 banks — not refuted).</w:t>
      </w:r>
    </w:p>
    <w:p/>
    <w:p>
      <w:pPr>
        <w:pStyle w:val="Heading2"/>
      </w:pPr>
      <w:r>
        <w:t>11. Diagnostic Protocol</w:t>
      </w:r>
    </w:p>
    <w:p>
      <w:r>
        <w:rPr/>
        <w:t xml:space="preserve">SNT is prescriptive as well as descriptive. Four steps to apply the model to any real system. </w:t>
      </w:r>
      <w:r>
        <w:rPr>
          <w:b/>
        </w:rPr>
        <w:t>Step 1 — Level Classification:</w:t>
      </w:r>
      <w:r>
        <w:rPr/>
        <w:t xml:space="preserve"> collect node production data; verify whether the distribution follows a power law (log-log fit, R² &gt; 0.7, p &lt; 0.05); classify in the five-level taxonomy. </w:t>
      </w:r>
      <w:r>
        <w:rPr>
          <w:b/>
        </w:rPr>
        <w:t>Step 2 — Gradient Calculation:</w:t>
      </w:r>
      <w:r>
        <w:rPr/>
        <w:t xml:space="preserve"> calculate w_ij for each hub extracting from the node; compute the composite gradient if there are multiple hubs (the Tlaxcala case shows the long-range gradient can be 8.3× larger than the direct one). </w:t>
      </w:r>
      <w:r>
        <w:rPr>
          <w:b/>
        </w:rPr>
        <w:t>Step 3 — Event Horizon Estimation:</w:t>
      </w:r>
      <w:r>
        <w:rPr/>
        <w:t xml:space="preserve"> fit the historical trajectory; if b &gt; 0, estimate t_horizon; if b &lt; 0, identify the mechanism and verify its sustainability. </w:t>
      </w:r>
      <w:r>
        <w:rPr>
          <w:b/>
        </w:rPr>
        <w:t>Step 4 — Orthogonal Dimension Identification:</w:t>
      </w:r>
      <w:r>
        <w:rPr/>
        <w:t xml:space="preserve"> search for dimensions where the hub has not invested in 5–10 years, where the node has a measurable initial advantage, and which have preferential-attachment potential; verify they do not require hub-controlled infrastructure; then design the intervention (address the critical deficiency at minimum, build capacity without triggering the immune response, execute the leapfrog when the window is open).</w:t>
      </w:r>
    </w:p>
    <w:p/>
    <w:p>
      <w:pPr>
        <w:pStyle w:val="Heading2"/>
      </w:pPr>
      <w:r>
        <w:t>12. Corpus of 721 Real Cases — Definitive Findings</w:t>
      </w:r>
    </w:p>
    <w:p>
      <w:r>
        <w:rPr/>
        <w:t>The empirical corpus comprises 721 cases reconstructed entirely from verifiable primary sources, replacing the previous 502-case corpus (retired after an audit found ~188 synthetic b values and an impossible R² column). Distribution by domain (friction, n, b̄): A Cities (medium, 4); B Country pairs, Maddison 2020 (high, 446, +0.092); C Regions US Census + INEGI (high, 24, +0.091); D Digital (low, 3, −1.364); E1 Territorial spread, COVID-19 (none, 4, +2.891); E2 Predator-prey (high, 2, +0.145); E3 Parasite-host, COVID-19 (none, 234, +0.912); F1–F3 Astronomical (medium/low, 4). Total 721, global b̄ = +0.366; integrity R² ∈ [0,1] for all; 89% nominally significant (see §3.3 and §9 for the corrected figures).</w:t>
      </w:r>
    </w:p>
    <w:p>
      <w:r>
        <w:rPr>
          <w:b/>
        </w:rPr>
        <w:t>Finding 1 — Institutional friction is negatively associated with satellization (central result, with inference caveats).</w:t>
      </w:r>
      <w:r>
        <w:rPr/>
        <w:t xml:space="preserve"> Spearman correlation between the a-priori friction index and b (social/biological domains):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Analysis</w:t>
            </w:r>
          </w:p>
        </w:tc>
        <w:tc>
          <w:tcPr>
            <w:tcW w:type="dxa" w:w="2160"/>
          </w:tcPr>
          <w:p>
            <w:r>
              <w:rPr>
                <w:b/>
              </w:rPr>
              <w:t>ρ</w:t>
            </w:r>
          </w:p>
        </w:tc>
        <w:tc>
          <w:tcPr>
            <w:tcW w:type="dxa" w:w="2160"/>
          </w:tcPr>
          <w:p>
            <w:r>
              <w:rPr>
                <w:b/>
              </w:rPr>
              <w:t>p</w:t>
            </w:r>
          </w:p>
        </w:tc>
        <w:tc>
          <w:tcPr>
            <w:tcW w:type="dxa" w:w="2160"/>
          </w:tcPr>
          <w:p>
            <w:r>
              <w:rPr>
                <w:b/>
              </w:rPr>
              <w:t>n</w:t>
            </w:r>
          </w:p>
        </w:tc>
      </w:tr>
      <w:tr>
        <w:tc>
          <w:tcPr>
            <w:tcW w:type="dxa" w:w="2160"/>
          </w:tcPr>
          <w:p>
            <w:r>
              <w:rPr/>
              <w:t>Per case</w:t>
            </w:r>
          </w:p>
        </w:tc>
        <w:tc>
          <w:tcPr>
            <w:tcW w:type="dxa" w:w="2160"/>
          </w:tcPr>
          <w:p>
            <w:r>
              <w:rPr/>
              <w:t>−0.678</w:t>
            </w:r>
          </w:p>
        </w:tc>
        <w:tc>
          <w:tcPr>
            <w:tcW w:type="dxa" w:w="2160"/>
          </w:tcPr>
          <w:p>
            <w:r>
              <w:rPr/>
              <w:t>2.5×10⁻⁹⁷</w:t>
            </w:r>
          </w:p>
        </w:tc>
        <w:tc>
          <w:tcPr>
            <w:tcW w:type="dxa" w:w="2160"/>
          </w:tcPr>
          <w:p>
            <w:r>
              <w:rPr/>
              <w:t>714</w:t>
            </w:r>
          </w:p>
        </w:tc>
      </w:tr>
      <w:tr>
        <w:tc>
          <w:tcPr>
            <w:tcW w:type="dxa" w:w="2160"/>
          </w:tcPr>
          <w:p>
            <w:r>
              <w:rPr/>
              <w:t>Per domain cluster (domain means)</w:t>
            </w:r>
          </w:p>
        </w:tc>
        <w:tc>
          <w:tcPr>
            <w:tcW w:type="dxa" w:w="2160"/>
          </w:tcPr>
          <w:p>
            <w:r>
              <w:rPr/>
              <w:t>−0.556</w:t>
            </w:r>
          </w:p>
        </w:tc>
        <w:tc>
          <w:tcPr>
            <w:tcW w:type="dxa" w:w="2160"/>
          </w:tcPr>
          <w:p>
            <w:r>
              <w:rPr/>
              <w:t>0.25</w:t>
            </w:r>
          </w:p>
        </w:tc>
        <w:tc>
          <w:tcPr>
            <w:tcW w:type="dxa" w:w="2160"/>
          </w:tcPr>
          <w:p>
            <w:r>
              <w:rPr/>
              <w:t>6 domains</w:t>
            </w:r>
          </w:p>
        </w:tc>
      </w:tr>
      <w:tr>
        <w:tc>
          <w:tcPr>
            <w:tcW w:type="dxa" w:w="2160"/>
          </w:tcPr>
          <w:p>
            <w:r>
              <w:rPr/>
              <w:t>Cluster bootstrap</w:t>
            </w:r>
          </w:p>
        </w:tc>
        <w:tc>
          <w:tcPr>
            <w:tcW w:type="dxa" w:w="2160"/>
          </w:tcPr>
          <w:p>
            <w:r>
              <w:rPr/>
              <w:t>−0.434</w:t>
            </w:r>
          </w:p>
        </w:tc>
        <w:tc>
          <w:tcPr>
            <w:tcW w:type="dxa" w:w="2160"/>
          </w:tcPr>
          <w:p>
            <w:r>
              <w:rPr/>
              <w:t>95% CI [−0.722, −0.006]</w:t>
            </w:r>
          </w:p>
        </w:tc>
        <w:tc>
          <w:tcPr>
            <w:tcW w:type="dxa" w:w="2160"/>
          </w:tcPr>
          <w:p>
            <w:r>
              <w:rPr/>
              <w:t>6 domains</w:t>
            </w:r>
          </w:p>
        </w:tc>
      </w:tr>
      <w:tr>
        <w:tc>
          <w:tcPr>
            <w:tcW w:type="dxa" w:w="2160"/>
          </w:tcPr>
          <w:p>
            <w:r>
              <w:rPr/>
              <w:t>Without E3 (COVID-19)</w:t>
            </w:r>
          </w:p>
        </w:tc>
        <w:tc>
          <w:tcPr>
            <w:tcW w:type="dxa" w:w="2160"/>
          </w:tcPr>
          <w:p>
            <w:r>
              <w:rPr/>
              <w:t>−0.116</w:t>
            </w:r>
          </w:p>
        </w:tc>
        <w:tc>
          <w:tcPr>
            <w:tcW w:type="dxa" w:w="2160"/>
          </w:tcPr>
          <w:p>
            <w:r>
              <w:rPr/>
              <w:t>0.011</w:t>
            </w:r>
          </w:p>
        </w:tc>
        <w:tc>
          <w:tcPr>
            <w:tcW w:type="dxa" w:w="2160"/>
          </w:tcPr>
          <w:p>
            <w:r>
              <w:rPr/>
              <w:t>480</w:t>
            </w:r>
          </w:p>
        </w:tc>
      </w:tr>
      <w:tr>
        <w:tc>
          <w:tcPr>
            <w:tcW w:type="dxa" w:w="2160"/>
          </w:tcPr>
          <w:p>
            <w:r>
              <w:rPr/>
              <w:t>Without E3 and B</w:t>
            </w:r>
          </w:p>
        </w:tc>
        <w:tc>
          <w:tcPr>
            <w:tcW w:type="dxa" w:w="2160"/>
          </w:tcPr>
          <w:p>
            <w:r>
              <w:rPr/>
              <w:t>−0.426</w:t>
            </w:r>
          </w:p>
        </w:tc>
        <w:tc>
          <w:tcPr>
            <w:tcW w:type="dxa" w:w="2160"/>
          </w:tcPr>
          <w:p>
            <w:r>
              <w:rPr/>
              <w:t>0.012</w:t>
            </w:r>
          </w:p>
        </w:tc>
        <w:tc>
          <w:tcPr>
            <w:tcW w:type="dxa" w:w="2160"/>
          </w:tcPr>
          <w:p>
            <w:r>
              <w:rPr/>
              <w:t>34</w:t>
            </w:r>
          </w:p>
        </w:tc>
      </w:tr>
    </w:tbl>
    <w:p>
      <w:r>
        <w:rPr/>
        <w:t>The negative sign survives every variant; the per-case p-value does not, because it treats clustered and autocorrelated cases as independent. The n = 714 excludes Domain D (3 HackerEarth cases), which measures activity-distribution exponents rather than R(t) trajectories; the exclusion is reasonable but it matters: without E3 and B, including D gives ρ = −0.145 (p = 0.39, n = 37).</w:t>
      </w:r>
    </w:p>
    <w:p>
      <w:r>
        <w:rPr>
          <w:i/>
        </w:rPr>
        <w:t>Pre-registered test with new domains (r32).</w:t>
      </w:r>
      <w:r>
        <w:rPr/>
        <w:t xml:space="preserve"> The friction coding of four new domains was fixed before their data were seen, and the test was run at the domain level without COVID-19: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Domain</w:t>
            </w:r>
          </w:p>
        </w:tc>
        <w:tc>
          <w:tcPr>
            <w:tcW w:type="dxa" w:w="2160"/>
          </w:tcPr>
          <w:p>
            <w:r>
              <w:rPr>
                <w:b/>
              </w:rPr>
              <w:t>Friction</w:t>
            </w:r>
          </w:p>
        </w:tc>
        <w:tc>
          <w:tcPr>
            <w:tcW w:type="dxa" w:w="2160"/>
          </w:tcPr>
          <w:p>
            <w:r>
              <w:rPr>
                <w:b/>
              </w:rPr>
              <w:t>n</w:t>
            </w:r>
          </w:p>
        </w:tc>
        <w:tc>
          <w:tcPr>
            <w:tcW w:type="dxa" w:w="2160"/>
          </w:tcPr>
          <w:p>
            <w:r>
              <w:rPr>
                <w:b/>
              </w:rPr>
              <w:t>mean b</w:t>
            </w:r>
          </w:p>
        </w:tc>
      </w:tr>
      <w:tr>
        <w:tc>
          <w:tcPr>
            <w:tcW w:type="dxa" w:w="2160"/>
          </w:tcPr>
          <w:p>
            <w:r>
              <w:rPr/>
              <w:t>E4 mpox 2022 (new)</w:t>
            </w:r>
          </w:p>
        </w:tc>
        <w:tc>
          <w:tcPr>
            <w:tcW w:type="dxa" w:w="2160"/>
          </w:tcPr>
          <w:p>
            <w:r>
              <w:rPr/>
              <w:t>none (0)</w:t>
            </w:r>
          </w:p>
        </w:tc>
        <w:tc>
          <w:tcPr>
            <w:tcW w:type="dxa" w:w="2160"/>
          </w:tcPr>
          <w:p>
            <w:r>
              <w:rPr/>
              <w:t>59</w:t>
            </w:r>
          </w:p>
        </w:tc>
        <w:tc>
          <w:tcPr>
            <w:tcW w:type="dxa" w:w="2160"/>
          </w:tcPr>
          <w:p>
            <w:r>
              <w:rPr/>
              <w:t>+0.425</w:t>
            </w:r>
          </w:p>
        </w:tc>
      </w:tr>
      <w:tr>
        <w:tc>
          <w:tcPr>
            <w:tcW w:type="dxa" w:w="2160"/>
          </w:tcPr>
          <w:p>
            <w:r>
              <w:rPr/>
              <w:t>D2 digital market shares, StatCounter (new)</w:t>
            </w:r>
          </w:p>
        </w:tc>
        <w:tc>
          <w:tcPr>
            <w:tcW w:type="dxa" w:w="2160"/>
          </w:tcPr>
          <w:p>
            <w:r>
              <w:rPr/>
              <w:t>low (1)</w:t>
            </w:r>
          </w:p>
        </w:tc>
        <w:tc>
          <w:tcPr>
            <w:tcW w:type="dxa" w:w="2160"/>
          </w:tcPr>
          <w:p>
            <w:r>
              <w:rPr/>
              <w:t>18</w:t>
            </w:r>
          </w:p>
        </w:tc>
        <w:tc>
          <w:tcPr>
            <w:tcW w:type="dxa" w:w="2160"/>
          </w:tcPr>
          <w:p>
            <w:r>
              <w:rPr/>
              <w:t>+0.018</w:t>
            </w:r>
          </w:p>
        </w:tc>
      </w:tr>
      <w:tr>
        <w:tc>
          <w:tcPr>
            <w:tcW w:type="dxa" w:w="2160"/>
          </w:tcPr>
          <w:p>
            <w:r>
              <w:rPr/>
              <w:t>A cities (corpus)</w:t>
            </w:r>
          </w:p>
        </w:tc>
        <w:tc>
          <w:tcPr>
            <w:tcW w:type="dxa" w:w="2160"/>
          </w:tcPr>
          <w:p>
            <w:r>
              <w:rPr/>
              <w:t>medium (2)</w:t>
            </w:r>
          </w:p>
        </w:tc>
        <w:tc>
          <w:tcPr>
            <w:tcW w:type="dxa" w:w="2160"/>
          </w:tcPr>
          <w:p>
            <w:r>
              <w:rPr/>
              <w:t>4</w:t>
            </w:r>
          </w:p>
        </w:tc>
        <w:tc>
          <w:tcPr>
            <w:tcW w:type="dxa" w:w="2160"/>
          </w:tcPr>
          <w:p>
            <w:r>
              <w:rPr/>
              <w:t>+0.082</w:t>
            </w:r>
          </w:p>
        </w:tc>
      </w:tr>
      <w:tr>
        <w:tc>
          <w:tcPr>
            <w:tcW w:type="dxa" w:w="2160"/>
          </w:tcPr>
          <w:p>
            <w:r>
              <w:rPr/>
              <w:t>A2 cities, UN WUP 1950–2018 (new)</w:t>
            </w:r>
          </w:p>
        </w:tc>
        <w:tc>
          <w:tcPr>
            <w:tcW w:type="dxa" w:w="2160"/>
          </w:tcPr>
          <w:p>
            <w:r>
              <w:rPr/>
              <w:t>medium (2)</w:t>
            </w:r>
          </w:p>
        </w:tc>
        <w:tc>
          <w:tcPr>
            <w:tcW w:type="dxa" w:w="2160"/>
          </w:tcPr>
          <w:p>
            <w:r>
              <w:rPr/>
              <w:t>1,704</w:t>
            </w:r>
          </w:p>
        </w:tc>
        <w:tc>
          <w:tcPr>
            <w:tcW w:type="dxa" w:w="2160"/>
          </w:tcPr>
          <w:p>
            <w:r>
              <w:rPr/>
              <w:t>−0.315</w:t>
            </w:r>
          </w:p>
        </w:tc>
      </w:tr>
      <w:tr>
        <w:tc>
          <w:tcPr>
            <w:tcW w:type="dxa" w:w="2160"/>
          </w:tcPr>
          <w:p>
            <w:r>
              <w:rPr/>
              <w:t>B country pairs, trade-emergent hub</w:t>
            </w:r>
          </w:p>
        </w:tc>
        <w:tc>
          <w:tcPr>
            <w:tcW w:type="dxa" w:w="2160"/>
          </w:tcPr>
          <w:p>
            <w:r>
              <w:rPr/>
              <w:t>high (3)</w:t>
            </w:r>
          </w:p>
        </w:tc>
        <w:tc>
          <w:tcPr>
            <w:tcW w:type="dxa" w:w="2160"/>
          </w:tcPr>
          <w:p>
            <w:r>
              <w:rPr/>
              <w:t>102</w:t>
            </w:r>
          </w:p>
        </w:tc>
        <w:tc>
          <w:tcPr>
            <w:tcW w:type="dxa" w:w="2160"/>
          </w:tcPr>
          <w:p>
            <w:r>
              <w:rPr/>
              <w:t>−0.074</w:t>
            </w:r>
          </w:p>
        </w:tc>
      </w:tr>
      <w:tr>
        <w:tc>
          <w:tcPr>
            <w:tcW w:type="dxa" w:w="2160"/>
          </w:tcPr>
          <w:p>
            <w:r>
              <w:rPr/>
              <w:t>C regions (corpus)</w:t>
            </w:r>
          </w:p>
        </w:tc>
        <w:tc>
          <w:tcPr>
            <w:tcW w:type="dxa" w:w="2160"/>
          </w:tcPr>
          <w:p>
            <w:r>
              <w:rPr/>
              <w:t>high (3)</w:t>
            </w:r>
          </w:p>
        </w:tc>
        <w:tc>
          <w:tcPr>
            <w:tcW w:type="dxa" w:w="2160"/>
          </w:tcPr>
          <w:p>
            <w:r>
              <w:rPr/>
              <w:t>24</w:t>
            </w:r>
          </w:p>
        </w:tc>
        <w:tc>
          <w:tcPr>
            <w:tcW w:type="dxa" w:w="2160"/>
          </w:tcPr>
          <w:p>
            <w:r>
              <w:rPr/>
              <w:t>+0.091</w:t>
            </w:r>
          </w:p>
        </w:tc>
      </w:tr>
      <w:tr>
        <w:tc>
          <w:tcPr>
            <w:tcW w:type="dxa" w:w="2160"/>
          </w:tcPr>
          <w:p>
            <w:r>
              <w:rPr/>
              <w:t>E2 predator-prey (corpus)</w:t>
            </w:r>
          </w:p>
        </w:tc>
        <w:tc>
          <w:tcPr>
            <w:tcW w:type="dxa" w:w="2160"/>
          </w:tcPr>
          <w:p>
            <w:r>
              <w:rPr/>
              <w:t>high (3)</w:t>
            </w:r>
          </w:p>
        </w:tc>
        <w:tc>
          <w:tcPr>
            <w:tcW w:type="dxa" w:w="2160"/>
          </w:tcPr>
          <w:p>
            <w:r>
              <w:rPr/>
              <w:t>2</w:t>
            </w:r>
          </w:p>
        </w:tc>
        <w:tc>
          <w:tcPr>
            <w:tcW w:type="dxa" w:w="2160"/>
          </w:tcPr>
          <w:p>
            <w:r>
              <w:rPr/>
              <w:t>+0.145</w:t>
            </w:r>
          </w:p>
        </w:tc>
      </w:tr>
    </w:tbl>
    <w:p>
      <w:r>
        <w:rPr/>
        <w:t xml:space="preserve">ρ(friction, domain mean b) = −0.131 across the seven domains without COVID-19, exact permutation p = 0.39: </w:t>
      </w:r>
      <w:r>
        <w:rPr>
          <w:b/>
        </w:rPr>
        <w:t>not supported</w:t>
      </w:r>
      <w:r>
        <w:rPr/>
        <w:t>, and not supported in any variant (median b: ρ = −0.430, p = 0.17; with the published Domain B: ρ = +0.112; adding E1 and E3: ρ = −0.581, p = 0.055; adding D: ρ = +0.049). The friction-free pole repeats with a second epidemic (mpox, b̄ = +0.43), but outside epidemics there is no ordering: cities and countries (medium and high friction) converge, and digital markets (low friction) stay near zero. The corpus friction → b relation therefore rests on the contrast between epidemics and everything else. The result is a consistent direction in the original corpus, without inferential support outside that contrast.</w:t>
      </w:r>
    </w:p>
    <w:p>
      <w:r>
        <w:rPr>
          <w:b/>
        </w:rPr>
        <w:t>Finding 2 — Regime separation.</w:t>
      </w:r>
      <w:r>
        <w:rPr/>
        <w:t xml:space="preserve"> Friction-free domains (E1+E3) produce b̄ ≈ +0.95; friction-laden economic domains (A+B+C) produce b̄ ≈ +0.09. Mann-Whitney U = 103,538, p = 2.4×10⁻⁷⁴ (per case; subject to the same clustering caveat). All 238 friction-free cases are COVID-19 spread data (E1 territorial spread, E3 per-country curves), so the contrast compares one epidemic with economic series; it is suggestive, not a general law. The epidemic side is robust: E3 regenerates from the raw series (233 of 234) with a median Durbin-Watson of 0.431 and a median effective n of 7.25 (nominal 60), and 176–196 of its 198 estimable cases remain significant after the AR(1) correction, unlike Domain B (33–112 of 156); mpox 2022 (59 countries, b̄ = +0.43) reproduces the pole with a second pathogen.</w:t>
      </w:r>
    </w:p>
    <w:p>
      <w:r>
        <w:rPr>
          <w:b/>
        </w:rPr>
        <w:t>Finding 3 — Abrupt vs gradual triggers: withdrawn (r31), replaced by a pre-registered test (r32).</w:t>
      </w:r>
      <w:r>
        <w:rPr/>
        <w:t xml:space="preserve"> v30 reported a ratio of 5.9× (U = 24,802, p = 1.91×10⁻⁵, n = 486) "stable across 57 → 114 → 721 cases". Recalculated on every trigger-labeled dataset: the ratio comes from 2 vs 2 historical cases (5.87×, p = 0.33); n = 486 matches no dataset; the active 721-case corpus has no usable trigger variable; the non-citable 57-case corpus gives 6.3× (p = 0.053); the collapse-layer cases (a different exponent) give 0.47× (p = 0.10). The claim is withdrawn. Its replacement, pre-registered with blind-coded triggers on UN city data, is </w:t>
      </w:r>
      <w:r>
        <w:rPr>
          <w:b/>
        </w:rPr>
        <w:t>supported</w:t>
      </w:r>
      <w:r>
        <w:rPr/>
        <w:t>: d &gt; 0 in 8 of 8 decree-favored cities against matched controls (one-sided Wilcoxon p = 0.0039; capitals alone 5.1× on four cases), with a survivorship caveat (§5).</w:t>
      </w:r>
    </w:p>
    <w:p>
      <w:r>
        <w:rPr>
          <w:b/>
        </w:rPr>
        <w:t>Finding 4 — Political sovereignty as a brake: hypothesis (revised in r31).</w:t>
      </w:r>
      <w:r>
        <w:rPr/>
        <w:t xml:space="preserve"> Sovereign country pairs (b̄ ≈ +0.09) and predator-prey systems (E2, b̄ = +0.145, n = 2) have similar mean exponents, which v30 read as two mechanisms anchoring b near zero because complete node extinction would destroy the hub. The reading rests on Domain B, whose construct a discriminant test does not validate: (a) the correlation of b with the initial GDP gap (ρ = −0.489, n = 446) falls inside a synthetic null calibrated to the Maddison data (95% interval [−0.577, −0.242]; split-sample version ρ = −0.385, empirical p = 0.050, borderline); (b) with bilateral trade from the Correlates of War (432 pairs), the node's export share to its hub does not predict b (ρ = −0.043; within-region permutation p = 0.72; partial R² = 0.0001), and the initial share goes with </w:t>
      </w:r>
      <w:r>
        <w:rPr>
          <w:b/>
        </w:rPr>
        <w:t>lower</w:t>
      </w:r>
      <w:r>
        <w:rPr/>
        <w:t xml:space="preserve"> b (ρ = −0.185; cluster-by-node p = 0.022), opposite to the coupling prediction. Domain B is therefore supported neither as hub–node coupling nor as β-convergence. (c) Rebuilt with a hub that emerges from trade — each country's largest export destination in its first decade of COW data (102 of 103 countries; 19 distinct hubs, mostly the United Kingdom and the United States) — only 9 of the 102 trade hub–node pairs exist in Domain B, 62 of the 95 nodes whose hub was richer converge toward it (b &lt; 0), and the trade hub diverges no more than up to five partners with the same initial gap that are not major trade partners (median difference −0.014; 45/102 positive; Wilcoxon p = 0.78; clustered by hub, p = 0.62). A within-country comparison across partners gives a weak, non-robust positive association between export share and b (median partial ρ = +0.115; sign-flip permutation p = 0.15). (d) A pre-registered test with a hub that changes over time (r32) — for each of the 103 Domain B countries and each decade from 1900 to 1990, the hub is the main export destination in the five preceding years — compares the country's trajectory against that hub with up to five partners with the same initial gap that are not major trade partners: median difference −0.009 per node, 38 of 96 positive, one-sided Wilcoxon p = 0.95 at 20 years (</w:t>
      </w:r>
      <w:r>
        <w:rPr>
          <w:b/>
        </w:rPr>
        <w:t>not supported</w:t>
      </w:r>
      <w:r>
        <w:rPr/>
        <w:t>); at 30 years the difference is significantly negative (two-sided p = 0.0002): countries converge more toward their main trade partner than toward an equally distant country they barely trade with. The hub changes 185 times between decades, and 78 of 96 countries change hub at least once. The sovereignty-as-brake statement is kept as a hypothesis. v30 closed this finding with the contrast that, when resource transfer is direct and unmediated (a herring shoal cannot negotiate with a school of mackerel; a Hot Jupiter does not apply for regulatory approval), b exceeds 1 regardless of substrate. In the corpus 94 of the 102 cases with b ≥ 1 are COVID-19 spread series (E1 + E3), and the band may partly reflect misspecification (Finding 5), so r31 states it as a conjecture.</w:t>
      </w:r>
    </w:p>
    <w:p>
      <w:r>
        <w:rPr>
          <w:b/>
        </w:rPr>
        <w:t>Finding 5 — Modeling regimes.</w:t>
      </w:r>
      <w:r>
        <w:rPr/>
        <w:t xml:space="preserve"> The power law is the best description where friction is low (epidemic spread, E1 and E3); under high friction (countries) exponential and linear models compete. In the 18 raw collapse-layer series, AIC prefers the power law in 13, the exponential in 4 (mean b = +1.54) and the linear model in 1: the higher b, the worse the power law fits. The exponent b is a descriptive, cross-domain comparable metric — not a claim that the power law is the only generative model in all domains — and the superlinear band b ≥ 1 should be re-tested against alternative models.</w:t>
      </w:r>
    </w:p>
    <w:p/>
    <w:p>
      <w:pPr>
        <w:pStyle w:val="Heading2"/>
      </w:pPr>
      <w:r>
        <w:t>13. Coupled Orbital Collapse Layer (ACO-A)</w:t>
      </w:r>
    </w:p>
    <w:p>
      <w:r>
        <w:rPr/>
        <w:t xml:space="preserve">The Orbital Collapse Architecture ceases to be a separate module and is reformulated as a </w:t>
      </w:r>
      <w:r>
        <w:rPr>
          <w:b/>
        </w:rPr>
        <w:t>universal, transversal layer</w:t>
      </w:r>
      <w:r>
        <w:rPr/>
        <w:t xml:space="preserve"> of SNT: collapse is an </w:t>
      </w:r>
      <w:r>
        <w:rPr>
          <w:b/>
        </w:rPr>
        <w:t>orthogonal axis</w:t>
      </w:r>
      <w:r>
        <w:rPr/>
        <w:t xml:space="preserve"> that can activate in any system, in any domain, at any point of its trajectory. A single principle (least friction) generates distinct collapse modes depending on boundary conditions, demonstrated with real data in five domains.</w:t>
      </w:r>
    </w:p>
    <w:p>
      <w:r>
        <w:rPr>
          <w:b/>
        </w:rPr>
        <w:t>13.1 Two orthogonal axes (b ⊥ Δ).</w:t>
      </w:r>
      <w:r>
        <w:rPr/>
        <w:t xml:space="preserve"> Each system is a pair of independent coordinates. Axis 1 — Satellization: R(t) = a·t^b, how dominance evolves while the coupled relationship runs. Axis 2 — Collapse: A(τ) = c·τ^Δ, with τ = time since functional extinction; Δ measures the speed/shape of absorption once the hub collapses. Collapse does not wait for the satellization cycle to end (different clock, τ ≠ t). Falsifiable prediction: corr(b, Δ) ≈ 0. First test (paired crypto, n = 11): Spearman ρ(b_rise, Δ_fall) = +0.009 (p = 0.98) — consistent with orthogonality. Pre-registered enlargement (r32), same method on the Binance public archive (664 spot pairs against USDT after excluding stablecoins, fiat and leveraged tokens; 663 with daily candles): 242 pairs meet the rules, Spearman ρ = −0.119 (p = 0.065), 95% CI [−0.241, +0.007], inside the ±0.3 equivalence band — </w:t>
      </w:r>
      <w:r>
        <w:rPr>
          <w:b/>
        </w:rPr>
        <w:t>supported</w:t>
      </w:r>
      <w:r>
        <w:rPr/>
        <w:t>. Any association is weak and negative (a steeper rise, a somewhat steeper fall). Caveats: 153 of the 242 peaks occurred in 2021 (one market cycle), and "birth" is the Binance listing.</w:t>
      </w:r>
    </w:p>
    <w:p>
      <w:r>
        <w:rPr>
          <w:b/>
        </w:rPr>
        <w:t>13.2 Hazard layer h(τ).</w:t>
      </w:r>
      <w:r>
        <w:rPr/>
        <w:t xml:space="preserve"> "No system is eternal" = h(τ) &gt; 0 for every system (refutable if a system with hazard = 0 is found). First estimate (crypto cohort, n = 41; functional extinction = price &lt; 1% of all-time high): 15 extinctions across the whole age range (0.27–8.6 years), no death-free era; Kaplan-Meier declining; hazard positive and rising with age — consistent with h(τ) &gt; 0. Caveats: survivorship bias (true hazard higher), age/calendar confound, limited n. Pre-registered enlargement (r32), two independent cohorts: (a) 663 Binance pairs, 124 functional extinctions: every one-year age band with ≥ 30 at risk has extinctions (8 of 8), and the hazard rises from 0.007/yr in the first year to 0.18–0.20/yr at ages 4–6 (ρ = +0.881, one-sided p = 0.002), but pairs listed in 2017–2020 reach those ages during the 2022–2025 bear market, so age and calendar are confounded; (b) FDIC BankFind, 27,771 US insured institutions, any ending (merger, acquisition or failure), entry in 1970 because the file records no closure before that year: every five-year band with ≥ 30 at risk has endings (39 of 39), but the hazard is </w:t>
      </w:r>
      <w:r>
        <w:rPr>
          <w:b/>
        </w:rPr>
        <w:t>bathtub-shaped</w:t>
      </w:r>
      <w:r>
        <w:rPr/>
        <w:t xml:space="preserve"> (0.04–0.06/yr in the first 35 years, ~0.02–0.03 between 35 and 125, rising again at very old ages; ρ = +0.050, p = 0.38); failures alone fall with age and are absent in four bands above 155 years. h(τ) &gt; 0 holds in both large cohorts, with endings at every age; the v30 claim that the hazard rises with age appears only in crypto, where it is confounded with calendar time, and does not hold in banks. The shape of the hazard is domain-dependent.</w:t>
      </w:r>
    </w:p>
    <w:p>
      <w:r>
        <w:rPr>
          <w:b/>
        </w:rPr>
        <w:t>13.3 Taxonomy of collapse modes (three factors).</w:t>
      </w:r>
      <w:r>
        <w:rPr/>
        <w:t xml:space="preserve"> Governed by friction × trigger × (floor/ceiling on magnitude): Regulated Orbital Decay (high friction → smooth power law or exponential, non-accelerating; 2008 cohort R²=0.85–0.99, Rome/USSR, solar flare R²=0.975, TDE R²=0.84); Cracquelure Decay (friction≈0 + gradual → erratic fragmentation; EOS R²=0.10–0.70); Floor-Arrested (friction≈0 + abrupt + floor → power law to a residual floor; FTX R²=0.875); Catastrophic Cliff (friction≈0 + abrupt + no floor → super-exponential; LUNA, 5.6 orders of magnitude in 11 days); Logistic Sweep (bounded magnitude → S-curve; Delta→Omicron k=0.22/d).</w:t>
      </w:r>
    </w:p>
    <w:p>
      <w:r>
        <w:rPr>
          <w:b/>
        </w:rPr>
        <w:t>13.4 Principle of Least Friction (unifier).</w:t>
      </w:r>
      <w:r>
        <w:rPr/>
        <w:t xml:space="preserve"> Every collapse follows the trajectory that minimizes integrated friction (variational family: Fermat, least action, minimum dissipation) — a gradient flow over a stability landscape. Falsifiable version: the realized collapse has lower integrated friction than counterfactual trajectories (WaMu via the pre-arranged FDIC channel = least friction → 21 h; Lehman without it → slow fragmentation, 30,681 h; range ~1,460×, monotonic with the degree of regulatory intervention).</w:t>
      </w:r>
    </w:p>
    <w:p>
      <w:r>
        <w:rPr>
          <w:b/>
        </w:rPr>
        <w:t>13.5 Results with real data (four roadmap items).</w:t>
      </w:r>
      <w:r>
        <w:rPr/>
        <w:t xml:space="preserve"> (1) Friction operationalized: within the 2008 financial cohort (n=6), resolution-channel friction (ordinal 1–6) vs Δ: Spearman ρ = −1.000, p &lt; 0.001 — more friction, more frontal and orderly absorption. (2) Orthogonality b ⊥ Δ: crypto n=11, ρ = +0.009 (§13.1). (3) Unbounded biology: the Omicron wave in absolute counts (South Africa, JHU) decays smoothly exponential (R² = 0.96, e-fold ~22 d), NOT a cliff — epidemiological feedback is intrinsic friction. (4) Hazard h(τ) &gt; 0 (§13.2). Connection to the central finding: friction is negatively associated with b (ρ = −0.68 per case; direction robust, significance not, and not supported by the pre-registered test with new domains — §12) and, in the 2008 cohort (n = 6), with the shape of Δ — a candidate lever for the collapse axis, still to be tested on larger cohorts.</w:t>
      </w:r>
    </w:p>
    <w:p/>
    <w:p>
      <w:pPr>
        <w:pStyle w:val="Heading2"/>
      </w:pPr>
      <w:r>
        <w:t>14. Dialogue with the Literature</w:t>
      </w:r>
    </w:p>
    <w:p>
      <w:r>
        <w:rPr>
          <w:b/>
        </w:rPr>
        <w:t>Barabási &amp; Albert (1999):</w:t>
      </w:r>
      <w:r>
        <w:rPr/>
        <w:t xml:space="preserve"> SNT extends preferential attachment by quantifying satellization velocity through the exponent b and proposing a five-level functional taxonomy. INEGI data are consistent with the predicted rank-size distribution (b = −0.473, R² = 0.838), pending a lognormal comparison (§8). </w:t>
      </w:r>
      <w:r>
        <w:rPr>
          <w:b/>
        </w:rPr>
        <w:t>Watts &amp; Strogatz (1998):</w:t>
      </w:r>
      <w:r>
        <w:rPr/>
        <w:t xml:space="preserve"> SNT adds the directional dimension of resource flow to the clustering coefficient — two nodes may be close in connection distance but at radically different hierarchical levels. </w:t>
      </w:r>
      <w:r>
        <w:rPr>
          <w:b/>
        </w:rPr>
        <w:t>Holland (1995):</w:t>
      </w:r>
      <w:r>
        <w:rPr/>
        <w:t xml:space="preserve"> SNT specifies satellization as a recurring emergent dynamic with a mathematically predictable trajectory within Complex Adaptive Systems. </w:t>
      </w:r>
      <w:r>
        <w:rPr>
          <w:b/>
        </w:rPr>
        <w:t>Friston (2010):</w:t>
      </w:r>
      <w:r>
        <w:rPr/>
        <w:t xml:space="preserve"> SNT extends the Free Energy Principle beyond the individual brain to social systems; the hub immune response and the Coherence Factor Ck are manifestations of the same principle at different scales. </w:t>
      </w:r>
      <w:r>
        <w:rPr>
          <w:b/>
        </w:rPr>
        <w:t>Brezis &amp; Krugman (1993):</w:t>
      </w:r>
      <w:r>
        <w:rPr/>
        <w:t xml:space="preserve"> SNT extends technological leapfrogging to three scales and formalizes the failure conditions the original model did not develop. </w:t>
      </w:r>
      <w:r>
        <w:rPr>
          <w:b/>
        </w:rPr>
        <w:t>Catastrophe and resilience theory (Thom 1972; Waddington 1957; Holling 1973; Lenton et al. 2008):</w:t>
      </w:r>
      <w:r>
        <w:rPr/>
        <w:t xml:space="preserve"> the collapse layer's stability-landscape language connects SNT to fold catastrophes, the epigenetic landscape, ecological "ball-in-cup" resilience, and climate tipping points.</w:t>
      </w:r>
    </w:p>
    <w:p/>
    <w:p>
      <w:pPr>
        <w:pStyle w:val="Heading2"/>
      </w:pPr>
      <w:r>
        <w:t>15. Conclusions</w:t>
      </w:r>
    </w:p>
    <w:p>
      <w:r>
        <w:rPr>
          <w:b/>
        </w:rPr>
        <w:t>15.1 What SNT demonstrates.</w:t>
      </w:r>
      <w:r>
        <w:rPr/>
        <w:t xml:space="preserve"> SNT proposes that the satellization cycle — from dependent child node to peer to hub of new children — operates across domains; the corpus documents power-law-like trajectories in every domain it covers, with the inference caveats of §9 and §12. The five-level taxonomy is consistent with a rank-size power law in INEGI data (pending a lognormal comparison); the binary model underestimated Tlaxcala's satellization by 9.3×; the first documented leapfrog cases within the Mexican national system are verified (Querétaro b = −0.155, Nuevo León b = −0.058); the ASI is computable from behavior on 4,774 users (its validation remains open, §6.6). With the real 721-case corpus, </w:t>
      </w:r>
      <w:r>
        <w:rPr>
          <w:b/>
        </w:rPr>
        <w:t>institutional friction is negatively associated with b in every analysis variant</w:t>
      </w:r>
      <w:r>
        <w:rPr/>
        <w:t xml:space="preserve"> (ρ = −0.68 per case; not significant at the domain-cluster level, ρ = −0.56, p = 0.25) and, in the 2008 cohort, with the shape of collapse (Δ). The golden-ratio hypothesis (H-φ) was tested and refuted across four rounds, and the abrupt-vs-gradual ordering reported in v30 is withdrawn (§5); both are excluded from the claims. Five pre-registered tests (r32) add the first clean-design evidence: cities favored by an abrupt decree gain on the incumbent faster than matched cities (8 of 8, p = 0.0039); satellization and collapse are orthogonal within ±0.3 (242 crypto pairs); every age band has endings in 663 crypto pairs and 27,771 banks (h(τ) &gt; 0); and the epidemic pole (E3) survives an autocorrelation correction on the raw series.</w:t>
      </w:r>
    </w:p>
    <w:p>
      <w:r>
        <w:rPr>
          <w:b/>
        </w:rPr>
        <w:t>15.2 What SNT does not demonstrate.</w:t>
      </w:r>
      <w:r>
        <w:rPr/>
        <w:t xml:space="preserve"> That leapfrog is always possible for any node. The model formalizes viability conditions and failure mechanisms but does not guarantee success. The Micro and Macro modules require independent empirical validation; the ASI requires validation against an outcome independent of its own threshold; the collapse layer is correlational and requires larger cohorts and cross-domain tests. SNT does not demonstrate that Domain B measures hub–node coupling: a discriminant test with a calibrated null and bilateral trade data does not support that reading, and neither does a reconstruction with hubs taken from trade, fixed or changing by decade (§12, Finding 4). It does not demonstrate that friction orders b across domains: the pre-registered test with new domains does not support it outside the epidemics-versus-rest contrast (ρ = −0.131, p = 0.39), nor that the hazard rises with age in general (banks show a bathtub shape).</w:t>
      </w:r>
    </w:p>
    <w:p>
      <w:r>
        <w:rPr>
          <w:b/>
        </w:rPr>
        <w:t>15.3 Future research lines.</w:t>
      </w:r>
      <w:r>
        <w:rPr/>
        <w:t xml:space="preserve"> Validation of the Micro Module with longitudinal individual trajectory data; ASI operationalization with other platforms; extension of the N-body matrix to other national systems; cross-domain orthogonality test for b ⊥ Δ; larger survivorship-unbiased cohorts for h(τ); pre-registration before claiming causality. From r31, resolved in r32: recovery of the raw COVID-19 series (E3 reproduced; E1 not reproducible), a satellization corpus with independently coded triggers (supported, n = 8) and a time-varying hub definition (not supported). Still open: GLS or block-bootstrap estimation to pin the autocorrelation-corrected significance of Domain B (standard Newey-West under-corrects); re-testing the superlinear band against exponential and lognormal models; a larger trigger corpus without the survivorship filter; an age-period-cohort model for the crypto hazard; friction → Δ beyond the 2008 cohort; and a second, independent coding of triggers and friction.</w:t>
      </w:r>
    </w:p>
    <w:p>
      <w:r>
        <w:rPr>
          <w:b/>
        </w:rPr>
        <w:t>15.4 The major implication.</w:t>
      </w:r>
      <w:r>
        <w:rPr/>
        <w:t xml:space="preserve"> Not theoretical but practical. If satellization follows a predictable algorithm with an identifiable failure taxonomy, it is intervene-able. For Tlaxcala: 89.2% of the gradient comes not from Puebla but from Mexico City — any strategy targeting only the Tlaxcala–Puebla relationship solves 10.8% of the problem. For the Atomic Node: the cognitive leapfrog — orchestrating AI agents rather than executing tasks linearly — is the first dimension in recent history where the accumulated advantage of dominant nodes does not apply directly, and the HackerEarth 2026 evidence suggests that window is open now.</w:t>
      </w:r>
    </w:p>
    <w:p>
      <w:pPr>
        <w:ind w:left="360"/>
      </w:pPr>
      <w:r>
        <w:rPr>
          <w:i/>
          <w:color w:val="555555"/>
        </w:rPr>
        <w:t>"The satellization algorithm is predictable. The leapfrog failure taxonomy is known. What follows is a decision that no model can make for the node."</w:t>
      </w:r>
    </w:p>
    <w:p/>
    <w:p>
      <w:pPr>
        <w:pStyle w:val="Heading2"/>
      </w:pPr>
      <w:r>
        <w:t>References</w:t>
      </w:r>
    </w:p>
    <w:p>
      <w:r>
        <w:rPr/>
        <w:t xml:space="preserve">Avey, J.B., Reichard, R.J., Luthans, F. &amp; Mhatre, K.H. (2011). Meta-analysis of the impact of positive psychological capital on employee attitudes, behaviors, and performance. </w:t>
      </w:r>
      <w:r>
        <w:rPr>
          <w:i/>
        </w:rPr>
        <w:t>Human Resource Development Quarterly</w:t>
      </w:r>
      <w:r>
        <w:rPr/>
        <w:t>, 22(2), 127–152.</w:t>
      </w:r>
    </w:p>
    <w:p>
      <w:r>
        <w:rPr/>
        <w:t xml:space="preserve">Barabási, A.L. &amp; Albert, R. (1999). Emergence of scaling in random networks. </w:t>
      </w:r>
      <w:r>
        <w:rPr>
          <w:i/>
        </w:rPr>
        <w:t>Science</w:t>
      </w:r>
      <w:r>
        <w:rPr/>
        <w:t>, 286(5439), 509–512.</w:t>
      </w:r>
    </w:p>
    <w:p>
      <w:r>
        <w:rPr/>
        <w:t xml:space="preserve">Barbieri, K. &amp; Keshk, O.M.G. (2016). </w:t>
      </w:r>
      <w:r>
        <w:rPr>
          <w:i/>
        </w:rPr>
        <w:t>Correlates of War Project Trade Data Set Codebook, Version 4.0.</w:t>
      </w:r>
      <w:r>
        <w:rPr/>
        <w:t xml:space="preserve"> Online: http://correlatesofwar.org.</w:t>
      </w:r>
    </w:p>
    <w:p>
      <w:r>
        <w:rPr/>
        <w:t xml:space="preserve">Barbieri, K., Keshk, O.M.G. &amp; Pollins, B. (2009). Trading data: Evaluating our assumptions and coding rules. </w:t>
      </w:r>
      <w:r>
        <w:rPr>
          <w:i/>
        </w:rPr>
        <w:t>Conflict Management and Peace Science</w:t>
      </w:r>
      <w:r>
        <w:rPr/>
        <w:t>, 26(5), 471–491.</w:t>
      </w:r>
    </w:p>
    <w:p>
      <w:r>
        <w:rPr/>
        <w:t>Bolt, J. &amp; van Zanden, J.L. (2020). Maddison style estimates of the evolution of the world economy. A new 2020 update. Maddison Project Working Paper WP-15, University of Groningen. [Maddison Project Database 2020; the edition that reproduces Domain B.]</w:t>
      </w:r>
    </w:p>
    <w:p>
      <w:r>
        <w:rPr/>
        <w:t xml:space="preserve">Brezis, E.S. &amp; Krugman, P.R. (1993). Leapfrogging in international competition. </w:t>
      </w:r>
      <w:r>
        <w:rPr>
          <w:i/>
        </w:rPr>
        <w:t>American Economic Review</w:t>
      </w:r>
      <w:r>
        <w:rPr/>
        <w:t>, 83(5), 1211–1219.</w:t>
      </w:r>
    </w:p>
    <w:p>
      <w:r>
        <w:rPr/>
        <w:t xml:space="preserve">Clauset, A., Shalizi, C.R. &amp; Newman, M.E.J. (2009). Power-law distributions in empirical data. </w:t>
      </w:r>
      <w:r>
        <w:rPr>
          <w:i/>
        </w:rPr>
        <w:t>SIAM Review</w:t>
      </w:r>
      <w:r>
        <w:rPr/>
        <w:t>, 51(4), 661–703.</w:t>
      </w:r>
    </w:p>
    <w:p>
      <w:r>
        <w:rPr/>
        <w:t xml:space="preserve">Dong, E., Du, H. &amp; Gardner, L. (2020). An interactive web-based dashboard to track COVID-19 in real time. </w:t>
      </w:r>
      <w:r>
        <w:rPr>
          <w:i/>
        </w:rPr>
        <w:t>The Lancet Infectious Diseases</w:t>
      </w:r>
      <w:r>
        <w:rPr/>
        <w:t>, 20(5), 533–534. [JHU CSSE]</w:t>
      </w:r>
    </w:p>
    <w:p>
      <w:r>
        <w:rPr/>
        <w:t xml:space="preserve">Friston, K. (2010). The free-energy principle: a unified brain theory? </w:t>
      </w:r>
      <w:r>
        <w:rPr>
          <w:i/>
        </w:rPr>
        <w:t>Nature Reviews Neuroscience</w:t>
      </w:r>
      <w:r>
        <w:rPr/>
        <w:t>, 11(2), 127–138.</w:t>
      </w:r>
    </w:p>
    <w:p>
      <w:r>
        <w:rPr/>
        <w:t xml:space="preserve">Holland, J.H. (1995). </w:t>
      </w:r>
      <w:r>
        <w:rPr>
          <w:i/>
        </w:rPr>
        <w:t>Hidden Order: How Adaptation Builds Complexity.</w:t>
      </w:r>
      <w:r>
        <w:rPr/>
        <w:t xml:space="preserve"> Addison-Wesley.</w:t>
      </w:r>
    </w:p>
    <w:p>
      <w:r>
        <w:rPr/>
        <w:t xml:space="preserve">Holling, C.S. (1973). Resilience and stability of ecological systems. </w:t>
      </w:r>
      <w:r>
        <w:rPr>
          <w:i/>
        </w:rPr>
        <w:t>Annual Review of Ecology and Systematics</w:t>
      </w:r>
      <w:r>
        <w:rPr/>
        <w:t>, 4, 1–23.</w:t>
      </w:r>
    </w:p>
    <w:p>
      <w:r>
        <w:rPr/>
        <w:t>INEGI (2022). PIB per cápita por entidad federativa. Sistema de Cuentas Nacionales de México.</w:t>
      </w:r>
    </w:p>
    <w:p>
      <w:r>
        <w:rPr/>
        <w:t xml:space="preserve">Lenton, T.M. et al. (2008). Tipping elements in the Earth's climate system. </w:t>
      </w:r>
      <w:r>
        <w:rPr>
          <w:i/>
        </w:rPr>
        <w:t>PNAS</w:t>
      </w:r>
      <w:r>
        <w:rPr/>
        <w:t>, 105(6), 1786–1793.</w:t>
      </w:r>
    </w:p>
    <w:p>
      <w:r>
        <w:rPr/>
        <w:t xml:space="preserve">Thom, R. (1972). </w:t>
      </w:r>
      <w:r>
        <w:rPr>
          <w:i/>
        </w:rPr>
        <w:t>Stabilité structurelle et morphogénèse.</w:t>
      </w:r>
      <w:r>
        <w:rPr/>
        <w:t xml:space="preserve"> [fold catastrophe]</w:t>
      </w:r>
    </w:p>
    <w:p>
      <w:r>
        <w:rPr/>
        <w:t xml:space="preserve">Waddington, C.H. (1957). </w:t>
      </w:r>
      <w:r>
        <w:rPr>
          <w:i/>
        </w:rPr>
        <w:t>The Strategy of the Genes.</w:t>
      </w:r>
      <w:r>
        <w:rPr/>
        <w:t xml:space="preserve"> [epigenetic landscape]</w:t>
      </w:r>
    </w:p>
    <w:p>
      <w:r>
        <w:rPr/>
        <w:t xml:space="preserve">Watts, D.J. &amp; Strogatz, S.H. (1998). Collective dynamics of small-world networks. </w:t>
      </w:r>
      <w:r>
        <w:rPr>
          <w:i/>
        </w:rPr>
        <w:t>Nature</w:t>
      </w:r>
      <w:r>
        <w:rPr/>
        <w:t>, 393(6684), 440–442.</w:t>
      </w:r>
    </w:p>
    <w:p>
      <w:r>
        <w:rPr/>
        <w:t>Zainos Corona, E. (2026). Shadow Node Theory — Replication Package v2.5.0 (721-case real corpus + Coupled Collapse layer ACO-A). Zenodo. https://doi.org/10.5281/zenodo.19446521. Current repository (release v2.6.1, integral audit v32, discriminant test and reconstruction of Domain B, pre-registration of 2026-09-27 and its results): https://github.com/Inzainos/The-shadow-Node-Theory</w:t>
      </w:r>
    </w:p>
    <w:p>
      <w:r>
        <w:rPr/>
        <w:t xml:space="preserve">United Nations, Department of Economic and Social Affairs, Population Division (2018). </w:t>
      </w:r>
      <w:r>
        <w:rPr>
          <w:i/>
        </w:rPr>
        <w:t>World Urbanization Prospects: The 2018 Revision</w:t>
      </w:r>
      <w:r>
        <w:rPr/>
        <w:t>, File 22 (annual population of urban agglomerations with ≥ 300,000 inhabitants in 2018, 1950–2018).</w:t>
      </w:r>
    </w:p>
    <w:p>
      <w:r>
        <w:rPr/>
        <w:t xml:space="preserve">Mathieu, E. et al. (2020–2024). Coronavirus (COVID-19) and mpox data. </w:t>
      </w:r>
      <w:r>
        <w:rPr>
          <w:i/>
        </w:rPr>
        <w:t>Our World in Data</w:t>
      </w:r>
      <w:r>
        <w:rPr/>
        <w:t>. https://ourworldindata.org</w:t>
      </w:r>
    </w:p>
    <w:p>
      <w:r>
        <w:rPr/>
        <w:t>StatCounter Global Stats (2009–2024). Browser, search engine, operating system, social media and mobile vendor market shares, worldwide, monthly.</w:t>
      </w:r>
    </w:p>
    <w:p>
      <w:r>
        <w:rPr/>
        <w:t>Federal Deposit Insurance Corporation (2026). BankFind Suite API: institutions (index of 2026-09-25) and failures (index of 2026-08-25), https://api.fdic.gov/banks (accessed 2026-09-27).</w:t>
      </w:r>
    </w:p>
    <w:p>
      <w:r>
        <w:rPr/>
        <w:t>Binance (2017–2026). Public market-data archive, spot daily klines, https://data.binance.vision (accessed 2026-09-27).</w:t>
      </w:r>
    </w:p>
    <w:p>
      <w:r>
        <w:rPr/>
        <w:t>Collapse-layer data sources: Yahoo Finance (LUNA, FTT, EOS); NOAA SWPC GOES (solar X-ray); NASA IRSA / ZTF (TDE AT2019qiz); CoV-Spectrum / LAPIS (SARS-CoV-2 variants); SEC, FDIC, Federal Reserve, SIGTARP (2008 cohort).</w:t>
      </w:r>
    </w:p>
    <w:p/>
    <w:p>
      <w:r>
        <w:rPr>
          <w:i/>
        </w:rPr>
        <w:t>— Fractal Core Research — Pre-print, manuscript revision r32 (2026-09-27), repository release v2.6.1 — Tlaxcala, Mexico — 2026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