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ructuralHeading"/>
      </w:pPr>
      <w:r>
        <w:t>ОСНОВНОЕ СОДЕРЖАНИЕ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Во введении содержится комплексное научно-практическое обоснование актуальности цифровой трансформации процессуальной деятельности подразделений военной юстиции, обусловленной объективной необходимостью преодоления системных недостатков существующих моделей учёта карточек розыска военнослужащих (КРД). Подробно описаны критические проблемы ручного документооборота: массовое дублирование записей при параллельной работе дознавателей, безвозвратная потеря версий процессуальных документов, полное отсутствие механизмов сквозного аудита и ретроспективного версионирования, а также высокие риски несанкционированного доступа к персональным и служебным данным, что прямо противоречит требованиям Федерального закона № 152-ФЗ и нормативным приказам ФСТЭК России. Чётко сформулированы объект исследования – процессуальная деятельность сотрудника отдела дознания военной комендатуры по учёту, обработке данных и документальному сопровождению КРД, и предмет исследования – автоматизированное рабочее место (АРМ), реализующее полный цикл создания, редактирования, поиска, экспорта аналитической отчётности и ретроспективного аудита действий с учётными материалами. Сформулирована цель работы – разработка и программная реализация настольного приложения, обеспечивающего высокую скорость доступа к данным, полную прозрачность процессуальных действий и минимизацию человеческого фактора при формировании официальных документов, имеющих юридическую силу.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Детально расписаны задачи исследования, включающие изучение нормативно-правовой базы и организационных процессов отдела дознания, формулирование комплексных требований, проектирование реляционной структуры базы данных, выбор технологического стека, реализацию модульной архитектуры и проведение многоуровневого тестирования. Описаны методы исследования: системный анализ предметной области, объектно-ориентированное проектирование, нормализация данных до третьей нормальной формы (3НФ), применение архитектурного паттерна Model-View-Controller, итеративная разработка с элементами гибкого управления, функциональное и интеграционное тестирование, анализ производительности и безопасности. Раскрыта научная новизна, заключающаяся в разработке алгоритма динамического сопоставления переменных шаблонов процессуальных документов со столбцами базы данных и реализации механизма полного аудита с сохранением дифференциальных состояний полей в формате JSONB. Подчёркнута практическая значимость: снижение трудозатрат на 40–60 %, исключение ошибок ручного ввода, поддержка развёртывания на отечественных ОС в рамках политики импортозамещения. Приведены структурно-объёмные характеристики работы: общий объём 68 страниц, 12 рисунков, 4 таблицы, 3 приложения, 42 источника.</w:t>
      </w:r>
    </w:p>
    <w:p>
      <w:r>
        <w:br w:type="page"/>
      </w:r>
    </w:p>
    <w:p>
      <w:pPr>
        <w:pStyle w:val="StructuralHeading"/>
      </w:pPr>
      <w:r>
        <w:t>В ПЕРВОМ РАЗДЕЛЕ РАССМАТРИВАЮТСЯ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Анализ области (объекта), для которой разрабатывается программный продукт (ПП): проведён детальный аудит организационно-штатной структуры и нормативно-правового регламентирования отдела дознания военной комендатуры. Исследованы информационные потоки на уровне DFD-диаграмм первого уровня, отражающих процессы ручной регистрации входящих поручений, формирования КРД, архивирования ответов и подготовки сводной отчётности. Выявлены пять системных недостатков текущей модели: версионный хаос при совместном редактировании локальных файлов, риски безвозвратной утраты данных при аппаратных сбоях и отсутствии централизованного резервного копирования, отсутствие аудита изменений, нарушающее принципы подотчётности и усложняющее служебные проверки, риски утечки ПДн из-за хранения в нешифрованных файлах без ролевой модели, а также низкая производительность рутинных операций, увеличивающая трудозатраты на 40–60 %. Сформирована таблица соответствия функций подразделения типам обрабатываемых данных и форматам их хранения, доказавшая неэффективность бумажных журналов и разрозненных офисных файлов. Описана роль каждого участника процесса: начальника отдела, дознавателей, оперативных дежурных и специалистов технической поддержки.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Требования к будущему ПП: на основе проведённого анализа и результатов сравнительного обзора сформулированы и структурированы комплексные требования по пяти ключевым категориям. Общие требования включают кроссплатформенность, поддержку изолированного контура, отказоустойчивость транзакций и полную независимость от внешних облачных сервисов. Функциональные требования охватывают полный цикл CRUD-операций, поддержку ролевой модели, интеллектуальное автодополнение полей на основе кэширования исторических данных, строгую клиентскую валидацию форматов (RegEx), генерацию процессуальных документов по конфигурируемым шаблонам и организацию сквозного журналирования. Требования к UI/UX детализируют вкладочную навигацию, цветовую индикацию статусов (красный/зелёный), защиту от потери несохранённых данных через диалог подтверждения и debounce-поиск. Технические требования формализуют минимальные аппаратные спецификации (многоядерный CPU ≥2.0 ГГц, ОЗУ ≥4-8 ГБ, свободное место ≥500 МБ), объём памяти для кэширования выборок &gt;1000 записей и стандарты защищённого сетевого обмена (TLS). Требования информационной безопасности регламентируют хеширование паролей алгоритмом bcrypt с адаптивной сложностью, разграничение прав на уровне ролей, механизм мягкого удаления (soft delete), фиксацию old/new значений в структурированном формате JSONB и обязательное шифрование трафика между клиентом и СУБД.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Анализ существующих аналогичных ПП по выделенным требованиям: выполнен глубокий сравнительный анализ корпоративных систем электронного документооборота (1С:Документооборот, Directum RX), офисных пакетов (Excel+Word) и ведомственных закрытых систем. Детально разобраны ограничения платформы 1С: высокая совокупная стоимость владения, проприетарная архитектура, усложняющая динамический маппинг и работу с бинарными объектами, избыточный функционал для небольших подразделений, сложность развёртывания в изолированном контуре и жёсткая привязка к внутренней модели данных. Проанализированы недостатки Directum RX: необходимость выделенных серверов, сложная настройка ролей, отсутствие ориентации на специфические сущности типа КРД. Ручные методы признаны критически уязвимыми из-за потери данных, нарушения сроков, невозможности комплексного поиска и отсутствия массового экспорта. Составлена оценочная матрица по восьми критериям (изоляция, генерация отчётности, гибкость шаблонов, кроссплатформенность, ролевая модель, сквозной аудит, восстановление данных, стоимость). Доказано, что коммерческие СЭД проигрывают по экономике и архитектуре, ручные методы – по безопасности, ведомственные системы – по открытости API. Разработанное АРМ получает максимальные баллы, подтверждая необходимость индивидуальной разработки.</w:t>
      </w:r>
    </w:p>
    <w:p>
      <w:r>
        <w:br w:type="page"/>
      </w:r>
    </w:p>
    <w:p>
      <w:pPr>
        <w:pStyle w:val="StructuralHeading"/>
      </w:pPr>
      <w:r>
        <w:t>ВО ВТОРОМ РАЗДЕЛЕ РАССМАТРИВАЮТСЯ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Модель жизненного цикла: обоснован выбор итеративно-инкрементальной модели с элементами гибкого управления проектами. Проведён сравнительный анализ каскадной (Waterfall), спиральной (Spiral) и гибких (Agile/Scrum) моделей. Каскадная модель признана излишне жёсткой, не допускающей корректировки требований на поздних стадиях, что недопустимо при динамике нормативной базы. Спиральная модель избыточна по сложности, стоимости и формализации метрик для настольного приложения с фиксированной предметной областью. Итеративно-инкрементальный подход обеспечивает поэтапное внедрение модулей, раннее тестирование критического ядра системы, прозрачность промежуточных результатов и возможность внесения архитектурных изменений без полной переделки проекта. Обратная связь от пользователей после каждой итерации позволяет оперативно корректировать интерфейс и логику валидации до финальной сборки, минимизируя риски переделок на этапе приёмочных испытаний и гарантируя соответствие актуальным процессуальным требованиям.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Структура ПП/ Модель ПП: спроектирована трёхуровневая клиент-серверная архитектура с адаптацией паттерна Model-View-Controller (MVC). Архитектура строго разделена на изолированные логические уровни: уровень представления (PyQt6, отрисовка GUI, обработка событий, клиентская валидация), уровень бизнес-логики (Python, генерация документов, экспорт отчётности, ведение журнала аудита, автодополнение, обработка бизнес-правил) и уровень данных (PostgreSQL 16, ACID-транзакции, хранение JSONB-конфигураций и BYTEA-объектов). Взаимодействие реализовано через строго определённые интерфейсы, исключающие прямые SQL-инъекции и несанкционированный доступ. Разработаны и формализованы диаграммы вариантов использования с акторами «Дознаватель» и «Администратор», диаграмма активностей создания и сохранения КРД с этапами валидации, начала транзакции, записи в БД, создания записи в audit_log и COMMIT, а также диаграмма последовательности, детализирующая временной обмен сообщениями между View, Controller, PostgreSQL и AuditLogger.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Схема БД: спроектирована реляционная схема PostgreSQL со схемой krd, включающая 26 таблиц, нормализованных до третьей нормальной формы (3НФ) для исключения транзитивных зависимостей и аномалий обновления. Центральная таблица krd хранит статус розыска, флаги мягкого удаления (is_deleted) и конкурентной блокировки (is_locked). Она связана с таблицами социально-демографических данных (social_data, 4 поля BYTEA для фото), адресов проживания (addresses), мест службы (service_places), входящих поручений (incoming_orders), эпизодов самовольного оставления части (soch_episodes) и исходящих запросов (outgoing_requests) через внешние ключи с правилами ON UPDATE CASCADE и ON DELETE CASCADE/SET NULL. Реализованы оптимизированные BTREE-индексы по полям поиска (surname, krd_id, created_at), частичные индексы для фильтрации записей с фотографиями, механизмы мягкого удаления, конкурентного доступа через pg_try_advisory_lock и динамического маппинга шаблонов через тип JSONB в таблице field_mappings. Справочные таблицы (categories, ranks, statuses, military_units, garrisons, positions, request_types, initiator_types, recipients) обеспечивают ссылочную целостность и унификацию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Среда разработки: использована современная интегрированная среда разработки (IDE) с поддержкой отладки, статического анализа кода (linting), автоматического форматирования и системы контроля версий Git. Среда обеспечивает воспроизводимость сборки, отслеживание изменений через коммиты и ветвление функциональных модулей, что критично для академических и ведомственных проектов с длительным жизненным циклом и требованиями к последующей модернизации. Настроен перехват необработанных исключений через sys.excepthook и дублирование трассировки стека в консоль и модальные диалоги для ускорения локализации критических дефектов на этапах интеграции.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Язык разработки: выбран Python 3.10+, обеспечивающий высокую скорость прототипирования, строгую типизацию, развитую экосистему прикладных библиотек и нативную кроссплатформенность. Синтаксис языка способствует написанию читаемого, поддерживаемого и самодокументируемого кода. Объектно-ориентированная парадигма и модульная структура соответствуют принципам слабой связанности и высокого зацепления, что гарантирует устойчивость системы к изменениям бизнес-требований и нормативных регламентов. Интеграция с QSqlQuery и QSqlTableModel обеспечивает бесшовную работу с реляционными данными без дополнительных ORM-надстроек, снижая накладные расходы.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СУБД: в качестве ядра слоя данных выбрана PostgreSQL 16, обеспечивающая полную поддержку ACID-транзакций, расширенный тип JSONB для гибких конфигураций маппинга шаблонов и аудита, тип BYTEA для хранения документов и фотографий без промежуточных файлов, частичные индексы и встроенный механизм штатного резервного копирования (pg_dump). Драйвер QPSQL, интегрированный в Qt-фреймворк, обеспечивает минимальный оверхед, поддержку подготовленных запросов (PREPARE/BIND) и автоматическое экранирование параметров через bindValue(), что полностью исключает уязвимости SQL-инъекций. Архитектура СУБД оптимизирована под изолированный контур с поддержкой Advisory Locks для предотвращения конфликтов параллельного редактирования.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Дополнительные средства: для построения GUI использован фреймворк PyQt6 с нативным рендерингом, мощными табличными компонентами и встроенной интеграцией с SQL-моделями. Генерация процессуальных документов реализована через библиотеку python-docx, позволяющую парсить структуру .docx шаблонов, заменять переменные {{field}} с сохранением исходных стилей абзацев и шрифтов, а также безопасно удалять дублирующиеся runs. Массовый экспорт отчётности выполнен на базе openpyxl с динамическим формированием заголовков, автоподстройкой ширины столбцов и вставкой изображений. Криптографическое хеширование паролей обеспечено библиотекой bcrypt с адаптивной вычислительной сложностью. Обработка и конвертация фотографий (ресайз, масштабирование, контроль ≤5 МБ, конвертация RGBA→RGB) реализована через Pillow перед кодированием в QByteArray.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Операционная система: обеспечена полная кроссплатформенная совместимость с Windows 10/11 (64-bit) и современными Linux-дистрибутивами, включая сертифицированные отечественные ОС Astra Linux Special Edition и РЕД ОС. Проект полностью соответствует государственной политике импортозамещения и требованиям ФСТЭК России к развёртыванию программных продуктов в изолированных информационных контурах военной инфраструктуры. Отсутствие зависимостей от внешних репозиториев и облачных сервисов гарантирует автономную эксплуатацию.</w:t>
      </w:r>
    </w:p>
    <w:p>
      <w:r>
        <w:br w:type="page"/>
      </w:r>
    </w:p>
    <w:p>
      <w:pPr>
        <w:pStyle w:val="StructuralHeading"/>
      </w:pPr>
      <w:r>
        <w:t>ТРЕТИЙ РАЗДЕЛ СОДЕРЖИТ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Последовательное описание реализации программного кода: детально описана архитектура кодовой базы, структурированной по модульному принципу с соблюдением принципов слабой связанности и высокого зацепления. Модуль AuditLogger реализует неблокирующее журналирование с сохранением diff-значений в JSONB, поддерживая все типы действий (CREATE, UPDATE, DELETE, LOGIN, LOGOUT, EXPORT, DOCUMENT_GENERATE). При ошибке логирования основной транзакционный поток не прерывается, что обеспечивает отказоустойчивость системы. Подсистема DocGenerationEngine использует регулярные выражения для поиска переменных {{field}}, поддерживает простой и составной режимы подстановки, сохраняет исходное форматирование шаблонов и атомарно сохраняет сгенерированные файлы в поле document_data типа BYTEA. Модуль KrdExcelExporter динамически формирует заголовки, масштабирует изображения через Pillow до 150×200 px, вставляет их в ячейки с сохранением пропорций и автоматически очищает временные директории, предотвращая утечки памяти. Компонент AutocompleteHelper выполняет асинхронные SQL-запросы SELECT DISTINCT, кэширует уникальные значения в памяти и интегрируется с QCompleter в режиме MatchContains, оптимизируя загрузку при объёмах &gt;500 записей порционным подгружением. Менеджер маппингов (FieldMappingManager) обеспечивает CRUD-операции над JSONB-конфигурациями, позволяя формировать составные поля через динамический интерфейс с кнопками ±. Все операции сохранения обёрнуты в транзакции (BEGIN/COMMIT/ROLLBACK), при ошибке СУБД вызывается автоматический откат.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Описание интерфейса: реализован на базе PyQt6 с применением паттерна MVC. Главное окно содержит QSqlQueryModel, строку поиска с debounce-задержкой 300 мс через QTimer, панель инструментов с кнопками быстрого доступа и контекстное меню быстрой смены статуса. Табличное представление поддерживает сортировку по столбцам через QHeaderView и визуализацию статуса занятости. Детальная форма КРД разделена на 7 логических вкладок через QTabWidget: «Социально-демографические данные», «Адреса проживания», «Входящие поручения», «Места службы», «Сведения о СОЧ», «Исходящие запросы» и «Генератор документов». При открытии карточки система пытается захватить pg_try_advisory_lock; при неудаче выводится предупреждение. Реализован механизм автосохранения с debounce 400 мс и переопределён closeEvent для диалога подтверждения. Внедрена строгая клиентская валидация через QRegularExpressionValidator (серия паспорта 4 цифры, номер 6 цифр, карта 16-19 цифр, даты 01.01.1900–текущая дата, ограничение текстовых полей 5000 символов). Обработка фотографий реализована через QPixmap.loadFromData с автоконвертацией RGBA→RGB, масштабированием до 180×240 px и лимитом 5 МБ. Интерфейс поддерживает 4 типа фото с кнопками загрузки/выгрузки через QFileDialog. Генератор документов предоставляет диалог динамического маппинга с таблицей сопоставления, поддержкой составных полей и конфигурацией JSONB-массива объектов с разделителями.</w:t>
      </w:r>
    </w:p>
    <w:p>
      <w:r>
        <w:br w:type="page"/>
      </w:r>
    </w:p>
    <w:p>
      <w:pPr>
        <w:pStyle w:val="StructuralHeading"/>
      </w:pPr>
      <w:r>
        <w:t>ЧЕТВЁРТЫЙ РАЗДЕЛ СОДЕРЖИТ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Тестирование ПП: проведён полный цикл верификации, включающий функциональное, интеграционное, security- и нагрузочное тестирование. Функциональное тестирование подтвердило корректность CRUD-операций, валидации RegEx, работы автодополнения и мягкого удаления с восстановлением из «Корзины». Интеграционное тестирование проверило целостность внешних ключей, корректность каскадного удаления связанных записей, сохранность JSONB-конфигураций маппингов и синхронизацию состояния QSqlQueryModel с актуальными данными в БД. Security-тестирование доказало устойчивость к SQL-инъекциям (использование bindValue), корректность хеширования bcrypt с проверкой отсутствия открытого текста в таблице users и чёткое разграничение ролей (admin/user). Нагрузочное тестирование на искусственной выборке &gt;1000 записей подтвердило стабильность рендеринга QTableView, отсутствие утечек памяти при длительных сессиях и корректную работу механизма debounce: время отклика поиска ~120–150 мс, UI не блокируется. Массовый экспорт 50 КРД с фотографиями выполнялся за 4–6 секунд. Выявлены и успешно устранены критические дефекты: утечки памяти при многократной загрузке BYTEA, рассинхронизация моделей при каскадном удалении и ошибки кодировки кириллицы при экспорте в Excel. Составлена таблица соответствия функциональным и техническим требованиям со статусом «Выполнено» по всем 12 пунктам.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Предложения по дальнейшей разработке ПП: сформирована детальная дорожная карта эволюции комплекса. Первостепенным направлением признана миграция на трёхуровневую веб-архитектуру с клиентской частью на React.js/Vue.js и серверной частью на асинхронном фреймворке FastAPI, что позволит обрабатывать тысячи параллельных HTTP-запросов, реализовать WebSocket для уведомлений в реальном времени и интегрировать API-шлюз для балансировки нагрузки. Внедрение JWT-авторизации обеспечит безопасный доступ без установки дополнительного ПО. Разработаны планы создания защищённых API-коннекторов для интеграции с ведомственными ИС (Единая расчётная ведомость, ГИС ЕРД, ЗАГС, ГИБДД, ФССП) по протоколам SOAP/REST с обязательным шифрованием по ГОСТ-алгоритмам. Предложено внедрение OCR-модуля на базе Tesseract/EasyOCR для автоматического распознавания бумажных носителей и заполнения форм КРД, что снизит трудозатраты на 60–80 %. Запланирована разработка аналитических дашбордов на Chart.js/D3.js для визуализации KPI отдела и создание кроссплатформенного мобильного клиента на Flutter с поддержкой офлайн-режима (зашифрованный локальный кэш), GPS/ГЛОНАСС-геолокации и автоматической синхронизации при появлении доступа к изолированной сети гарнизона.</w:t>
      </w:r>
    </w:p>
    <w:p>
      <w:r>
        <w:br w:type="page"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ructuralHeading">
    <w:name w:val="StructuralHeading"/>
    <w:pPr>
      <w:spacing w:before="0" w:after="0" w:line="360" w:lineRule="auto"/>
      <w:ind w:firstLine="0"/>
      <w:jc w:val="center"/>
    </w:pPr>
    <w:rPr>
      <w:rFonts w:ascii="Times New Roman" w:hAnsi="Times New Roman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