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0" w:after="240"/>
        <w:ind w:firstLine="0"/>
        <w:jc w:val="center"/>
      </w:pPr>
      <w:r>
        <w:rPr>
          <w:rFonts w:ascii="Times New Roman" w:hAnsi="Times New Roman"/>
          <w:b/>
          <w:sz w:val="28"/>
        </w:rPr>
        <w:t>ПЕРЕЧЕНЬ СОКРАЩЕНИЙ И ОБОЗНАЧЕНИЙ</w:t>
      </w:r>
    </w:p>
    <w:p>
      <w:pPr>
        <w:spacing w:line="360" w:lineRule="auto" w:after="240"/>
        <w:ind w:firstLine="709"/>
      </w:pPr>
      <w:r>
        <w:rPr>
          <w:rFonts w:ascii="Times New Roman" w:hAnsi="Times New Roman"/>
          <w:sz w:val="28"/>
        </w:rPr>
        <w:t>В настоящей ВКР применяют следующие сокращения и обозначения: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АРМ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Автоматизированное рабочее место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БД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База данных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ВКР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Выпускная квалификационная работа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ГИБДД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Государственная инспекция безопасности дорожного движения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ГОСТ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Государственный стандарт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ЗАГС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Орган регистрации актов гражданского состояния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КРД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Карточка розыска военнослужащего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ОМВД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Отдел Министерства внутренних дел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ПК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Персональный компьютер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СОЧ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Самовольное оставление части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СУБД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Система управления базами данных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ФЗ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Федеральный закон Российской Федерации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ФССП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Федеральная служба судебных приставов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ФСТЭК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Федеральная служба по техническому и экспортному контролю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ACID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Atomicity, Consistency, Isolation, Durability – свойства транзакций БД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API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Application Programming Interface – интерфейс программирования приложений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BYTEA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Binary Data Type – тип данных PostgreSQL для хранения бинарных объектов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CRUD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Create, Read, Update, Delete – базовые операции работы с данными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FK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Foreign Key – внешний ключ в реляционной базе данных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GUI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Graphical User Interface – графический интерфейс пользователя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HTTP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HyperText Transfer Protocol – протокол передачи гипертекста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IDE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Integrated Development Environment – интегрированная среда разработки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JSON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JavaScript Object Notation – формат обмена данными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JSONB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JSON Binary – бинарный формат хранения данных JSON в PostgreSQL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JWT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JSON Web Token – стандарт создания токенов доступа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LAN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Local Area Network – локальная вычислительная сеть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MVC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Model-View-Controller – архитектурный паттерн «Модель-Представление-Контроллер»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OCR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Optical Character Recognition – оптическое распознавание символов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PDF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Portable Document Format – переносимый формат документов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PK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Primary Key – первичный ключ в реляционной базе данных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PyQt6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Python Qt version 6 – фреймворк для создания графического интерфейса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QPSQL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Qt PostgreSQL Driver – драйвер подключения к СУБД PostgreSQL в Qt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SPA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Single Page Application – одностраничное веб-приложение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SQL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Structured Query Language – язык структурированных запросов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TLS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Transport Layer Security – протокол защиты транспортного уровня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UI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User Interface – пользовательский интерфейс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UX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User Experience – пользовательский опыт</w:t>
      </w:r>
    </w:p>
    <w:p>
      <w:pPr>
        <w:spacing w:line="360" w:lineRule="auto" w:after="120"/>
        <w:ind w:firstLine="0"/>
      </w:pPr>
      <w:r>
        <w:rPr>
          <w:rFonts w:ascii="Times New Roman" w:hAnsi="Times New Roman"/>
          <w:b w:val="0"/>
          <w:sz w:val="28"/>
        </w:rPr>
        <w:t>XML</w:t>
      </w:r>
      <w:r>
        <w:rPr>
          <w:rFonts w:ascii="Times New Roman" w:hAnsi="Times New Roman"/>
          <w:sz w:val="28"/>
        </w:rPr>
        <w:t xml:space="preserve"> – </w:t>
      </w:r>
      <w:r>
        <w:rPr>
          <w:rFonts w:ascii="Times New Roman" w:hAnsi="Times New Roman"/>
          <w:sz w:val="28"/>
        </w:rPr>
        <w:t>eXtensible Markup Language – расширяемый язык разметки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