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jc w:val="center"/>
      </w:pPr>
      <w:r>
        <w:rPr>
          <w:rFonts w:ascii="Times New Roman" w:hAnsi="Times New Roman"/>
          <w:b/>
          <w:sz w:val="28"/>
        </w:rPr>
        <w:t>ТЕРМИНЫ И ОПРЕДЕЛЕНИЯ</w:t>
      </w:r>
    </w:p>
    <w:p>
      <w:pPr>
        <w:spacing w:line="360" w:lineRule="auto" w:after="240"/>
        <w:ind w:firstLine="709"/>
      </w:pPr>
      <w:r>
        <w:rPr>
          <w:rFonts w:ascii="Times New Roman" w:hAnsi="Times New Roman"/>
          <w:sz w:val="28"/>
        </w:rPr>
        <w:t>В настоящей ВКР применяют следующие термины с соответствующими определениями.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6803"/>
      </w:tblGrid>
      <w:tr>
        <w:tc>
          <w:tcPr>
            <w:tcW w:type="dxa" w:w="4844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debounce</w:t>
            </w:r>
          </w:p>
        </w:tc>
        <w:tc>
          <w:tcPr>
            <w:tcW w:type="dxa" w:w="4844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4"/>
              </w:rPr>
              <w:t>– Механизм ограничения частоты вызова функции, обеспечивающий выполнение операции только после прекращения повторных вызовов в течение заданного промежутка времени.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soft delete</w:t>
            </w:r>
          </w:p>
        </w:tc>
        <w:tc>
          <w:tcPr>
            <w:tcW w:type="dxa" w:w="4844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4"/>
              </w:rPr>
              <w:t>– Механизм мягкого удаления записей, при котором данные не удаляются физически, а помечаются флагом неактивности, что позволяет восстанавливать их без нарушения ссылочной целостности.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ACID</w:t>
            </w:r>
          </w:p>
        </w:tc>
        <w:tc>
          <w:tcPr>
            <w:tcW w:type="dxa" w:w="4844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4"/>
              </w:rPr>
              <w:t>– Свойства транзакционной обработки данных в реляционных СУБД: атомарность (Atomicity), согласованность (Consistency), изолированность (Isolation), долговечность (Durability).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Advisory Locks</w:t>
            </w:r>
          </w:p>
        </w:tc>
        <w:tc>
          <w:tcPr>
            <w:tcW w:type="dxa" w:w="4844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4"/>
              </w:rPr>
              <w:t>– Механизм советующих (кооперативных) блокировок в PostgreSQL, используемый для синхронизации конкурентного доступа на уровне приложения без блокировки таблиц.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API</w:t>
            </w:r>
          </w:p>
        </w:tc>
        <w:tc>
          <w:tcPr>
            <w:tcW w:type="dxa" w:w="4844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4"/>
              </w:rPr>
              <w:t>– Application Programming Interface — программный интерфейс приложения, набор спецификаций, позволяющий разным программным компонентам взаимодействовать между собой.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BYTEA</w:t>
            </w:r>
          </w:p>
        </w:tc>
        <w:tc>
          <w:tcPr>
            <w:tcW w:type="dxa" w:w="4844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4"/>
              </w:rPr>
              <w:t>– Бинарный тип данных в PostgreSQL, предназначенный для хранения необработанных бинарных строк (изображений, документов, архивов).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CRUD</w:t>
            </w:r>
          </w:p>
        </w:tc>
        <w:tc>
          <w:tcPr>
            <w:tcW w:type="dxa" w:w="4844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4"/>
              </w:rPr>
              <w:t>– Аббревиатура от Create, Read, Update, Delete — четыре базовые операции над данными в базах данных и веб-приложениях.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JSONB</w:t>
            </w:r>
          </w:p>
        </w:tc>
        <w:tc>
          <w:tcPr>
            <w:tcW w:type="dxa" w:w="4844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4"/>
              </w:rPr>
              <w:t>– Расширенный бинарный тип данных JSON в PostgreSQL, обеспечивающий быстрый парсинг, индексацию по ключам и поддержку сложных структур без изменения схемы БД.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MVC</w:t>
            </w:r>
          </w:p>
        </w:tc>
        <w:tc>
          <w:tcPr>
            <w:tcW w:type="dxa" w:w="4844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4"/>
              </w:rPr>
              <w:t>– Model-View-Controller — архитектурный паттерн разделения данных (Model), пользовательского интерфейса (View) и логики управления (Controller).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PostgreSQL</w:t>
            </w:r>
          </w:p>
        </w:tc>
        <w:tc>
          <w:tcPr>
            <w:tcW w:type="dxa" w:w="4844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4"/>
              </w:rPr>
              <w:t>– Объектно-реляционная система управления базами данных с открытым исходным кодом, поддерживающая ACID-транзакции, сложные запросы и расширяемые типы данных.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PyQt6</w:t>
            </w:r>
          </w:p>
        </w:tc>
        <w:tc>
          <w:tcPr>
            <w:tcW w:type="dxa" w:w="4844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4"/>
              </w:rPr>
              <w:t>– Комплект привязок Python 6 для фреймворка Qt, предназначенный для создания кроссплатформенных графических приложений с нативным интерфейсом.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RBAC</w:t>
            </w:r>
          </w:p>
        </w:tc>
        <w:tc>
          <w:tcPr>
            <w:tcW w:type="dxa" w:w="4844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4"/>
              </w:rPr>
              <w:t>– Role-Based Access Control — модель управления доступом, в которой права пользователей определяются их ролью в системе, а не индивидуальными разрешениями.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UI/UX</w:t>
            </w:r>
          </w:p>
        </w:tc>
        <w:tc>
          <w:tcPr>
            <w:tcW w:type="dxa" w:w="4844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4"/>
              </w:rPr>
              <w:t>– User Interface / User Experience — пользовательский интерфейс и пользовательский опыт, совокупность визуальных и интерактивных аспектов взаимодействия человека с программным продуктом.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АРМ</w:t>
            </w:r>
          </w:p>
        </w:tc>
        <w:tc>
          <w:tcPr>
            <w:tcW w:type="dxa" w:w="4844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4"/>
              </w:rPr>
              <w:t>– Автоматизированное рабочее место — комплекс программно-аппаратных средств, предназначенный для автоматизации профессиональной деятельности конкретного специалиста.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КРД</w:t>
            </w:r>
          </w:p>
        </w:tc>
        <w:tc>
          <w:tcPr>
            <w:tcW w:type="dxa" w:w="4844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4"/>
              </w:rPr>
              <w:t>– Карточка розыска военнослужащего — основной учетный документ, содержащий социально-демографические данные, сведения о месте службы, эпизодах самовольного оставления части и процессуальных документах.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СОЧ</w:t>
            </w:r>
          </w:p>
        </w:tc>
        <w:tc>
          <w:tcPr>
            <w:tcW w:type="dxa" w:w="4844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4"/>
              </w:rPr>
              <w:t>– Самовольное оставление части — воинское правонарушение, заключающееся в отсутствии военнослужащего в месте службы без уважительных причин.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