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Схема трансформации информационных потоков</w:t>
      </w:r>
    </w:p>
    <w:p>
      <w:r>
        <w:t>На рисунке 1.2 представлено сравнение текущего состояния документооборота и целевой модели автоматизированного рабочего места (АРМ). Текущий процесс характеризуется разрозненностью хранения данных, использованием бумажных носителей и локальных файлов офисных пакетов, что приводит к дублированию записей, потере версий документов и отсутствию механизма аудита. Целевой процесс предполагает централизацию всех учётных сущностей в единой реляционной СУБД PostgreSQL с поддержкой расширенных типов JSONB для динамического маппинга шаблонов и BYTEA для хранения бинарных объектов (фотографий, сканов, сгенерированных документов).</w:t>
      </w:r>
    </w:p>
    <w:p>
      <w:r>
        <w:drawing>
          <wp:inline xmlns:a="http://schemas.openxmlformats.org/drawingml/2006/main" xmlns:pic="http://schemas.openxmlformats.org/drawingml/2006/picture">
            <wp:extent cx="5029200" cy="3053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Times New Roman" w:hAnsi="Times New Roman"/>
          <w:sz w:val="28"/>
        </w:rPr>
        <w:t>Рисунок 1.2 – Схема текущих и целевых информационных потоков</w:t>
      </w:r>
    </w:p>
    <w:p>
      <w:r>
        <w:t>Переход к целевой модели обеспечивает единый источник истины, автоматическое версионирование записей, криптографическую защиту паролей, ролевую модель доступа и полное журналирование действий пользователей. Отсутствие прямой жёсткой связи между схемами на рисунке подчёркивает, что миграция осуществляется не как модификация существующей системы, а как развёртывание новой информационной среды с параллельным переносом актуальных данных из бумажных и локальных хранилищ в централизованную базу данных.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