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 w:firstLine="0"/>
        <w:jc w:val="center"/>
        <w:rPr/>
      </w:pPr>
      <w:r>
        <w:rPr>
          <w:rFonts w:ascii="Times New Roman" w:hAnsi="Times New Roman" w:eastAsia="Times New Roman"/>
          <w:b/>
          <w:sz w:val="28"/>
        </w:rPr>
        <w:t xml:space="preserve">РАЗДЕЛ 2. ПРОЕКТИРОВАНИЕ ПП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2.1 Модель ЖЦ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Выбор модели жизненного цикла (ЖЦ) программного продукта является критическим этапом проек</w:t>
      </w:r>
      <w:r>
        <w:rPr>
          <w:rFonts w:ascii="Times New Roman" w:hAnsi="Times New Roman" w:eastAsia="Times New Roman"/>
          <w:b w:val="0"/>
          <w:sz w:val="28"/>
        </w:rPr>
        <w:t xml:space="preserve">тирования, определяющим последовательность выполнения работ, распределение ресурсов, механизмы контроля качества и сроки выхода готового изделия. В современной инженерии программного обеспечения используются четыре базовые модели: каскадная (Waterfall), сп</w:t>
      </w:r>
      <w:r>
        <w:rPr>
          <w:rFonts w:ascii="Times New Roman" w:hAnsi="Times New Roman" w:eastAsia="Times New Roman"/>
          <w:b w:val="0"/>
          <w:sz w:val="28"/>
        </w:rPr>
        <w:t xml:space="preserve">иральная (Spiral), гибкая (Agile/Scrum) и итеративно-инкрементная (Iterative-Incremental). Каждая из моделей обладает специфическими преимуществами и ограничениями, которые необходимо сопоставить с характеристиками разрабатываемого АРМ сотрудника дознания.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Каскадная модель предполагает строго последовательное выполнение фаз: сбор требований → проектирование → кодирование → тестирование → внедрение. Данная модель обеспечивает высокую предсказуемость сроков и бюджета, однако н</w:t>
      </w:r>
      <w:r>
        <w:rPr>
          <w:rFonts w:ascii="Times New Roman" w:hAnsi="Times New Roman" w:eastAsia="Times New Roman"/>
          <w:b w:val="0"/>
          <w:sz w:val="28"/>
        </w:rPr>
        <w:t xml:space="preserve">е допускает корректировки требований на поздних стадиях, что критично для проектов, разрабатываемых в условиях меняющейся нормативной базы и необходимости оперативной обратной связи от пользователей-дознавателей. Спиральная модель фокусируется на управлени</w:t>
      </w:r>
      <w:r>
        <w:rPr>
          <w:rFonts w:ascii="Times New Roman" w:hAnsi="Times New Roman" w:eastAsia="Times New Roman"/>
          <w:b w:val="0"/>
          <w:sz w:val="28"/>
        </w:rPr>
        <w:t xml:space="preserve">и рисками через многократные циклы прототипирования, оценки рисков и разработки, однако требует значительных ресурсов на проведение экспертных оценок и формализации метрик рисков, что избыточно для настольного приложения с фиксированной предметной областью</w:t>
      </w:r>
      <w:r>
        <w:rPr>
          <w:rFonts w:ascii="Times New Roman" w:hAnsi="Times New Roman" w:eastAsia="Times New Roman"/>
          <w:b w:val="0"/>
          <w:sz w:val="28"/>
        </w:rPr>
        <w:t xml:space="preserve">. Чистая гибкая методология (Scrum/Kanban) обеспечивает высокую адаптивность, но затрудняет формализацию промежуточных результатов, необходимых для отчётов по производственным практикам и последующей защиты ВКР в соответствии с требованиями ГОСТ 34.602-89.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разработки АРМ выбрана итеративно-инкрементная модель жизненного цикла с элементами гибкого управления проектами. Данная модель объединяет преимущества предсказуемого плани</w:t>
      </w:r>
      <w:r>
        <w:rPr>
          <w:rFonts w:ascii="Times New Roman" w:hAnsi="Times New Roman" w:eastAsia="Times New Roman"/>
          <w:b w:val="0"/>
          <w:sz w:val="28"/>
        </w:rPr>
        <w:t xml:space="preserve">рования и адаптивной корректировки, позволяя разбить проект на последовательные этапы (итерации), по завершении каждого из которых формируется работоспособный инкремент программного продукта с расширенным функционалом. Выбор обоснован следующими факторами: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</w:t>
        <w:tab/>
        <w:t xml:space="preserve">Поэтап</w:t>
      </w:r>
      <w:r>
        <w:rPr>
          <w:rFonts w:ascii="Times New Roman" w:hAnsi="Times New Roman" w:eastAsia="Times New Roman"/>
          <w:b w:val="0"/>
          <w:sz w:val="28"/>
        </w:rPr>
        <w:t xml:space="preserve">ное внедрение модулей позволяет тестировать критические функции (авторизация, CRUD-операции, генерация документов) на ранних стадиях, минимизируя риски интеграционных ошибок и обеспечивая стабильность ядра системы до добавления вспомогательных компонентов.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</w:t>
        <w:tab/>
        <w:t xml:space="preserve">Обратная связь от пользователя после каждой итерации обеспечивает коррекцию требований, интерфейса и логики валидации до финальной сборки, что снижает вероятность переделок на этапе приёмочных испытаний.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Модель полностью соответствует календарному плану производственных практик (ноябрь 2025 – февраль 2026), позволяя фиксировать промежуточные результаты в отчётах, проводить код-ревью и формировать документацию параллельно с разработкой.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</w:t>
        <w:tab/>
        <w:t xml:space="preserve">Обеспечивается баланс между жёсткой стандартизацией (ГОСТ 19.701-90, ГОСТ 34.602-89) и гибкостью архитектуры, что критично для академических проектов с обязательным прохождением нормоконтроля.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Реализация проекта разделена на четыре итерации, каждая из которых включает этапы анализа, проектирования, кодирования, тестирования и документирования: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• </w:t>
        <w:tab/>
        <w:t xml:space="preserve">Итерация 1 (ноябрь–декабрь 2025): п</w:t>
      </w:r>
      <w:r>
        <w:rPr>
          <w:rFonts w:ascii="Times New Roman" w:hAnsi="Times New Roman" w:eastAsia="Times New Roman"/>
          <w:b w:val="0"/>
          <w:sz w:val="28"/>
        </w:rPr>
        <w:t xml:space="preserve">роектирование схемы БД, настройка соединения, реализация модуля авторизации, ролевой модели, базового интерфейса и CRUD-операций по карточкам розыска (КРД). Результат: работоспособное ядро системы с возможностью создания, редактирования и удаления записей.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• </w:t>
        <w:tab/>
        <w:t xml:space="preserve">Итерация 2 (дека</w:t>
      </w:r>
      <w:r>
        <w:rPr>
          <w:rFonts w:ascii="Times New Roman" w:hAnsi="Times New Roman" w:eastAsia="Times New Roman"/>
          <w:b w:val="0"/>
          <w:sz w:val="28"/>
        </w:rPr>
        <w:t xml:space="preserve">брь 2025–январь 2026): разработка модулей адресов проживания, мест службы, входящих поручений, эпизодов СОЧ. Внедрение механизма автодополнения полей на основе исторических данных. Результат: расширенная карточка КРД с полной привязкой связанных сущностей.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• </w:t>
        <w:tab/>
        <w:t xml:space="preserve">Итерация 3</w:t>
      </w:r>
      <w:r>
        <w:rPr>
          <w:rFonts w:ascii="Times New Roman" w:hAnsi="Times New Roman" w:eastAsia="Times New Roman"/>
          <w:b w:val="0"/>
          <w:sz w:val="28"/>
        </w:rPr>
        <w:t xml:space="preserve"> (январь 2026): создание генератора документов (.docx), реализация динамического маппинга переменных шаблонов, поддержка составных полей через JSONB, сохранение сгенерированных файлов в поле BYTEA. Результат: автоматизация процессуального документооборота.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• </w:t>
        <w:tab/>
        <w:t xml:space="preserve">Итерация 4 (феврал</w:t>
      </w:r>
      <w:r>
        <w:rPr>
          <w:rFonts w:ascii="Times New Roman" w:hAnsi="Times New Roman" w:eastAsia="Times New Roman"/>
          <w:b w:val="0"/>
          <w:sz w:val="28"/>
        </w:rPr>
        <w:t xml:space="preserve">ь 2026): модуль экспорта отчётов в Excel, система аудита действий, корзина удалённых записей с мягким удалением, административная панель управления пользователями, комплексное тестирование. Результат: готовый к опытному внедрению ПП с полной документацией.</w:t>
      </w:r>
      <w:r/>
    </w:p>
    <w:p>
      <w:pPr>
        <w:pBdr/>
        <w:spacing w:after="0"/>
        <w:ind w:firstLine="709"/>
        <w:jc w:val="both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В рамках мо</w:t>
      </w:r>
      <w:r>
        <w:rPr>
          <w:rFonts w:ascii="Times New Roman" w:hAnsi="Times New Roman" w:eastAsia="Times New Roman"/>
          <w:b w:val="0"/>
          <w:sz w:val="28"/>
        </w:rPr>
        <w:t xml:space="preserve">дели предусмотрено управление рисками: регулярное резервное копирование БД, использование транзакций для предотвращения потери данных при сбоях, ведение журнала изменений (audit_log) для трассируемости действий. Контроль качества осуществляется через код-р</w:t>
      </w:r>
      <w:r>
        <w:rPr>
          <w:rFonts w:ascii="Times New Roman" w:hAnsi="Times New Roman" w:eastAsia="Times New Roman"/>
          <w:b w:val="0"/>
          <w:sz w:val="28"/>
        </w:rPr>
        <w:t xml:space="preserve">евью, модульное и интеграционное тестирование, проверку соответствия требованиям информационной безопасности. Данная модель обеспечивает оптимальное соотношение между академическими требованиями, практической ценностью и технической реализуемостью проекта.</w:t>
      </w:r>
      <w:r>
        <w:rPr>
          <w:rFonts w:ascii="Times New Roman" w:hAnsi="Times New Roman" w:eastAsia="Times New Roman"/>
          <w:b w:val="0"/>
          <w:sz w:val="28"/>
          <w:lang w:val="ru-RU"/>
        </w:rPr>
        <w:t xml:space="preserve"> Диграмма этапов жизненного цикла проекта показана на рисунке 2</w:t>
      </w:r>
      <w:r>
        <w:rPr>
          <w:rFonts w:ascii="Times New Roman" w:hAnsi="Times New Roman" w:eastAsia="Times New Roman"/>
          <w:b w:val="0"/>
          <w:sz w:val="28"/>
          <w:lang w:val="en-US"/>
        </w:rPr>
        <w:t xml:space="preserve">.1.</w:t>
      </w:r>
      <w:r/>
    </w:p>
    <w:p w14:paraId="357BEE33">
      <w:pPr>
        <w:pBdr/>
        <w:spacing w:after="0"/>
        <w:ind w:right="0" w:firstLine="0" w:left="0"/>
        <w:jc w:val="both"/>
        <w:rPr/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31492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18097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52514" cy="3314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4.45pt;height:261.0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</w:p>
    <w:p>
      <w:pPr>
        <w:pBdr/>
        <w:spacing w:after="240"/>
        <w:ind w:firstLine="0"/>
        <w:jc w:val="center"/>
        <w:rPr/>
      </w:pPr>
      <w:r>
        <w:rPr>
          <w:rFonts w:ascii="Times New Roman" w:hAnsi="Times New Roman" w:eastAsia="Times New Roman"/>
          <w:b w:val="0"/>
          <w:sz w:val="28"/>
        </w:rPr>
        <w:t xml:space="preserve">Рисунок 2.1 – Диаграмма этапов жизненного цикла проекта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2.2 Модель / Структура ПП (в том числе и интерфейс)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Архитектура приложения построена по трёхуровневой клиент-серверной модели с чётким разделением ответственности между слоями: представл</w:t>
      </w:r>
      <w:r>
        <w:rPr>
          <w:rFonts w:ascii="Times New Roman" w:hAnsi="Times New Roman" w:eastAsia="Times New Roman"/>
          <w:b w:val="0"/>
          <w:sz w:val="28"/>
        </w:rPr>
        <w:t xml:space="preserve">ения (Presentation), бизнес-логики (Business Logic) и доступа к данным (Data Access). Такое разделение обеспечивает модульность, упрощает сопровождение, позволяет независимо масштабировать компоненты и повышает устойчивость системы к изменениям требований.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Клиентский слой</w:t>
      </w:r>
      <w:r>
        <w:rPr>
          <w:rFonts w:ascii="Times New Roman" w:hAnsi="Times New Roman" w:eastAsia="Times New Roman"/>
          <w:b w:val="0"/>
          <w:sz w:val="28"/>
        </w:rPr>
        <w:t xml:space="preserve"> реализован на базе фреймворка PyQt6 и отвечает за взаимодействие с пользователем, валидацию вводимых данных, визуализацию табличных структур, обработку событий интерфейса и генерацию отчётов. Логический слой инкапсулирует менеджеры сопоставлений полей шаб</w:t>
      </w:r>
      <w:r>
        <w:rPr>
          <w:rFonts w:ascii="Times New Roman" w:hAnsi="Times New Roman" w:eastAsia="Times New Roman"/>
          <w:b w:val="0"/>
          <w:sz w:val="28"/>
        </w:rPr>
        <w:t xml:space="preserve">лонов, обработчик генерации документов, экспортёр данных в формат Excel, логгер аудита и модуль автодополнения. Каждый компонент логического слоя реализован как самостоятельный класс, не зависящий от графических элементов, что обеспечивает повторное исполь</w:t>
      </w:r>
      <w:r>
        <w:rPr>
          <w:rFonts w:ascii="Times New Roman" w:hAnsi="Times New Roman" w:eastAsia="Times New Roman"/>
          <w:b w:val="0"/>
          <w:sz w:val="28"/>
        </w:rPr>
        <w:t xml:space="preserve">зование кода и упрощает юнит-тестирование. Слой данных представлен реляционной СУБД PostgreSQL (схема krd), обеспечивающей ACID-транзакции, целостность ссылочных связей, поддержку типов JSONB и BYTEA, а также механизмы резервного копирования и логирования.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Проектирование базы данных выполнено с учётом принципов нормализации до третьей нормальной формы (3НФ). Схема krd включает 18 таблиц, сгруппированных по функциональному назначению: ядро системы (krd.krd), социально-демографиче</w:t>
      </w:r>
      <w:r>
        <w:rPr>
          <w:rFonts w:ascii="Times New Roman" w:hAnsi="Times New Roman" w:eastAsia="Times New Roman"/>
          <w:b w:val="0"/>
          <w:sz w:val="28"/>
        </w:rPr>
        <w:t xml:space="preserve">ские данные (krd.social_data), связанные сущности (krd.addresses, krd.service_places, krd.incoming_orders, krd.outgoing_requests, krd.soch_episodes), справочники (krd.categories, krd.ranks, krd.statuses, krd.military_units, krd.garrisons, krd.positions, kr</w:t>
      </w:r>
      <w:r>
        <w:rPr>
          <w:rFonts w:ascii="Times New Roman" w:hAnsi="Times New Roman" w:eastAsia="Times New Roman"/>
          <w:b w:val="0"/>
          <w:sz w:val="28"/>
        </w:rPr>
        <w:t xml:space="preserve">d.initiator_types, krd.request_types), модули документооборота (krd.document_templates, krd.field_mappings, krd.report_templates, krd.generated_documents), система безопасности (krd.users, krd.user_roles, krd.user_sessions) и журнал аудита (krd.audit_log).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Связи между таблицами реализованы через внешние ключи с ограничениями ON UPDATE CASCADE и ON DELETE CASCADE / SET NULL. Это обеспечивает автоматическое поддержание целостности данных: при удалении карточки розыска все связанные адреса, по</w:t>
      </w:r>
      <w:r>
        <w:rPr>
          <w:rFonts w:ascii="Times New Roman" w:hAnsi="Times New Roman" w:eastAsia="Times New Roman"/>
          <w:b w:val="0"/>
          <w:sz w:val="28"/>
        </w:rPr>
        <w:t xml:space="preserve">ручения и эпизоды СОЧ удаляются каскадно, а справочные данные (категории, звания, статусы) сохраняются. Для оптимизации частых выборок созданы индексы по внешним ключам (idx_addresses_krd_id, idx_soch_episodes_krd_id, idx_outgoing_requests_krd_id), полям п</w:t>
      </w:r>
      <w:r>
        <w:rPr>
          <w:rFonts w:ascii="Times New Roman" w:hAnsi="Times New Roman" w:eastAsia="Times New Roman"/>
          <w:b w:val="0"/>
          <w:sz w:val="28"/>
        </w:rPr>
        <w:t xml:space="preserve">оиска (idx_social_data_surname, idx_social_data_personal_number) и временным меткам (idx_audit_log_created_at). Особое внимание уделено индексации составных условий (idx_social_data_photos), что ускоряет фильтрацию записей с прикреплёнными фотоматериалами.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Гибкость системы достигается за счёт использования типа JSONB в таблице field_mappings. Данный подход позволяет хранить динамическую конфигурацию сопоставл</w:t>
      </w:r>
      <w:r>
        <w:rPr>
          <w:rFonts w:ascii="Times New Roman" w:hAnsi="Times New Roman" w:eastAsia="Times New Roman"/>
          <w:b w:val="0"/>
          <w:sz w:val="28"/>
        </w:rPr>
        <w:t xml:space="preserve">ения переменных шаблонов {{field}} со столбцами БД в виде массива объектов [{"column": "town", "separator": ", "}, {"column": "street", "separator": ", "}], что исключает необходимость изменения схемы БД при добавлении новых шаблонов документов. Сгенериров</w:t>
      </w:r>
      <w:r>
        <w:rPr>
          <w:rFonts w:ascii="Times New Roman" w:hAnsi="Times New Roman" w:eastAsia="Times New Roman"/>
          <w:b w:val="0"/>
          <w:sz w:val="28"/>
        </w:rPr>
        <w:t xml:space="preserve">анные документы и фотографии военнослужащих хранятся в полях BYTEA (krd.document_templates.template_data, krd.social_data.photo_civilian и др.), что обеспечивает целостность файлов, упрощает резервное копирование и исключает риски потери данных при файловы</w:t>
      </w:r>
      <w:r>
        <w:rPr>
          <w:rFonts w:ascii="Times New Roman" w:hAnsi="Times New Roman" w:eastAsia="Times New Roman"/>
          <w:b w:val="0"/>
          <w:sz w:val="28"/>
        </w:rPr>
        <w:t xml:space="preserve">х сбоях. Реализован механизм мягкого удаления (soft delete) через флаги is_deleted и метки deleted_at, deleted_by, позволяющий администраторам восстанавливать ошибочно удалённые записи без нарушения ссылочной целостности и с фиксацией действия в audit_log.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Архитектура интерфейса построена на адаптации паттерна MVC (Model-View-Controller). Модель данных реализуется через QSqlQueryModel и QSqlTableModel, которые обеспечивают автоматическую синхр</w:t>
      </w:r>
      <w:r>
        <w:rPr>
          <w:rFonts w:ascii="Times New Roman" w:hAnsi="Times New Roman" w:eastAsia="Times New Roman"/>
          <w:b w:val="0"/>
          <w:sz w:val="28"/>
        </w:rPr>
        <w:t xml:space="preserve">онизацию с СУБД, ленивую загрузку данных и встроенную сортировку. Представление использует стандартные компоненты PyQt6: QTableView для списков КРД, QTabWidget для навигации по разделам карточки, QDialog для модальных окон добавления/редактирования, QLineE</w:t>
      </w:r>
      <w:r>
        <w:rPr>
          <w:rFonts w:ascii="Times New Roman" w:hAnsi="Times New Roman" w:eastAsia="Times New Roman"/>
          <w:b w:val="0"/>
          <w:sz w:val="28"/>
        </w:rPr>
        <w:t xml:space="preserve">dit/QDateEdit/QComboBox для ввода данных, QTextEdit для многострочных полей. Контроллеры инкапсулированы в классах диалогов и вкладок, обрабатывают события пользователя, валидируют данные, вызывают методы логического слоя и управляют состоянием интерфейса.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При реализации UI/UX учтены принципы эргономики и безопасности: обязательные поля помечены символом «*» и блокируют сохранение до корректного заполнения; тек</w:t>
      </w:r>
      <w:r>
        <w:rPr>
          <w:rFonts w:ascii="Times New Roman" w:hAnsi="Times New Roman" w:eastAsia="Times New Roman"/>
          <w:b w:val="0"/>
          <w:sz w:val="28"/>
        </w:rPr>
        <w:t xml:space="preserve">стовые поля оснащены механизмом автодополнения, кэширующим уникальные значения из БД; при переключении между записями данные загружаются асинхронно через подготовленные запросы; обработка изображений включает масштабирование до 180×240 px с сохранением про</w:t>
      </w:r>
      <w:r>
        <w:rPr>
          <w:rFonts w:ascii="Times New Roman" w:hAnsi="Times New Roman" w:eastAsia="Times New Roman"/>
          <w:b w:val="0"/>
          <w:sz w:val="28"/>
        </w:rPr>
        <w:t xml:space="preserve">порций и проверку размера (≤ 5 МБ); закрытие окна с несохранёнными изменениями вызывает диалог подтверждения; все ошибки СУБД перехватываются, транзакции откатываются через db.rollback(), а пользователю выводится структурированное сообщение с кодом ошибки.</w:t>
      </w:r>
      <w:r/>
    </w:p>
    <w:p>
      <w:pPr>
        <w:pBdr/>
        <w:spacing w:after="0"/>
        <w:ind w:firstLine="709"/>
        <w:jc w:val="both"/>
        <w:rPr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Механизм информационной безопасности включает многофакторную авторизацию с ролевой м</w:t>
      </w:r>
      <w:r>
        <w:rPr>
          <w:rFonts w:ascii="Times New Roman" w:hAnsi="Times New Roman" w:eastAsia="Times New Roman"/>
          <w:b w:val="0"/>
          <w:sz w:val="28"/>
        </w:rPr>
        <w:t xml:space="preserve">оделью (user, admin), хеширование паролей алгоритмом bcrypt, контроль активных сессий через krd.user_sessions, разграничение прав доступа к административным модулям и полный журнал аудита, фиксирующий тип действия, имя пользователя, таблицу, ID записи, ста</w:t>
      </w:r>
      <w:r>
        <w:rPr>
          <w:rFonts w:ascii="Times New Roman" w:hAnsi="Times New Roman" w:eastAsia="Times New Roman"/>
          <w:b w:val="0"/>
          <w:sz w:val="28"/>
        </w:rPr>
        <w:t xml:space="preserve">рые и новые значения в формате JSON, а также описание операции. Это обеспечивает соответствие требованиям ФЗ-152 «О персональных данных» и приказам ФСТЭК № 17, 21, гарантируя подотчётность и невозможность несанкционированного изменения или удаления данных.</w:t>
      </w:r>
      <w:r/>
      <w:r/>
    </w:p>
    <w:p w14:paraId="260E2353">
      <w:pPr>
        <w:pBdr/>
        <w:spacing w:after="0"/>
        <w:ind w:right="0" w:firstLine="0" w:left="0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249515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3343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5343" r="0" b="0"/>
                        <a:stretch/>
                      </pic:blipFill>
                      <pic:spPr bwMode="auto">
                        <a:xfrm flipH="0" flipV="0">
                          <a:off x="0" y="0"/>
                          <a:ext cx="6152514" cy="24951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4.45pt;height:196.47pt;mso-wrap-distance-left:0.00pt;mso-wrap-distance-top:0.00pt;mso-wrap-distance-right:0.00pt;mso-wrap-distance-bottom:0.00pt;z-index:1;" stroked="false">
                <v:imagedata r:id="rId11" o:title="" croptop="3502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 w:firstLine="0"/>
        <w:jc w:val="center"/>
        <w:rPr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Рисунок 2.2 – Схема архитектуры приложения (клиент → логика → БД)</w:t>
      </w:r>
      <w:r/>
      <w:r/>
    </w:p>
    <w:p w14:paraId="34ECD898">
      <w:pPr>
        <w:pBdr/>
        <w:spacing w:after="0"/>
        <w:ind w:firstLine="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09290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3900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6152514" cy="3092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4.45pt;height:243.54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 w:right="0" w:firstLine="709" w:left="0"/>
        <w:jc w:val="both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Рисунок 2.3 – ER-диаграмма схемы krd</w: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 w14:paraId="4D3EE1E1">
      <w:pPr>
        <w:pBdr/>
        <w:spacing w:after="0"/>
        <w:ind w:right="0" w:firstLine="0" w:left="0"/>
        <w:jc w:val="both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10167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5600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52514" cy="4101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4.45pt;height:322.9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</w:p>
    <w:p w14:paraId="0F34594D">
      <w:pPr>
        <w:pBdr/>
        <w:spacing w:after="0"/>
        <w:ind w:firstLine="0"/>
        <w:jc w:val="center"/>
        <w:rPr/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/>
      <w:r/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Рисунок 2.4 – Макет главного окна и окна карточки КРД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2.3 Выбор средств разработки ПП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Обоснование выбора технологического стека является фундаментальным этапом проектирования, определяющим производительность, безопасность, стоимость владения и перспективы масштабирования программного продукта. При формировании стека учитывалис</w:t>
      </w:r>
      <w:r>
        <w:rPr>
          <w:rFonts w:ascii="Times New Roman" w:hAnsi="Times New Roman" w:eastAsia="Times New Roman"/>
          <w:b w:val="0"/>
          <w:sz w:val="28"/>
        </w:rPr>
        <w:t xml:space="preserve">ь требования кроссплатформенности, совместимости с российскими операционными системами (Astra Linux, РЕД ОС), отсутствия лицензионных ограничений, наличия активного сообщества разработчиков и соответствия современным стандартам информационной безопасности.</w:t>
      </w:r>
      <w:r/>
    </w:p>
    <w:p>
      <w:pPr>
        <w:pBdr/>
        <w:spacing w:after="120"/>
        <w:ind w:firstLine="0"/>
        <w:jc w:val="left"/>
        <w:rPr/>
      </w:pPr>
      <w:r>
        <w:rPr>
          <w:rFonts w:ascii="Times New Roman" w:hAnsi="Times New Roman" w:eastAsia="Times New Roman"/>
          <w:b w:val="0"/>
          <w:sz w:val="28"/>
        </w:rPr>
        <w:t xml:space="preserve">Таблица 2.1 – Сравнительный анализ технологий разработки АРМ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Компонент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Выбранная технология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Обоснование выбора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Отвергнутые альтернативы и причины отказа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Язык программирования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Python 3.10+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Высокая скорость прототипирования, развитая экосистема библиотек, кроссплатформенность, строгая типизация (опционально), поддержка асинхронных операций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C#/.NET (привязка к Windows, сложная сборка под Linux), Java (избыточный оверхед памяти, медленная разработка UI), C++ (высокий порог входа, риск утечек памяти)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GUI-фреймворк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PyQt6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Нативный рендеринг, встроенная интеграция с QSql-моделями, мощные табличные компоненты, активная поддержка сообществом, лицензия GPL/коммерческая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Tkinter (устаревший UI, отсутствие продвинутых таблиц), PySide6 (аналогичен, но меньше примеров), wxPython (сложная кастомизация стилей)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СУБД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PostgreSQL 16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Полная поддержка ACID, расширенный тип JSONB для гибких конфигураций, BYTEA для бинарных данных, частичные индексы, встроенный пул соединений, open-source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SQLite (отсутствие многопользовательского доступа, нет сетевых соединений), MySQL (слабая поддержка JSONB, ограничения транзакций), MariaDB (менее развитая экосистема для enterprise)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Драйвер БД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QPSQL (встроен в Qt)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Прямая интеграция с QSqlQueryModel, минимальный оверхед, поддержка подготовленных запросов, автоматическое экранирование параметров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psycopg2 (требует ручной обработки курсоров), asyncpg (асинхронный, несовместим с синхронным Qt-потоком)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Генерация .docx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python-docx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Парсинг структуры шаблона, замена переменных {{field}} с сохранением стилей, поддержка таблиц и колонтитулов, open-source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docxtpl (зависит от Jinja2, сложнее отладка), LibreOffice automation (требует установленного офиса, медленная генерация)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Экспорт Excel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openpyxl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Точное форматирование ячеек, объединение, вставка изображений, настройка ширины столбцов, поддержка стилей заголовков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pandas (не поддерживает сложное форматирование), xlsxwriter (не читает существующие файлы, ограниченная работа с изображениями)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Безопасность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bcrypt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Адаптивная сложность хеширования (work factor), устойчивость к брутфорсу и радужным таблицам, соответствие современным стандартам NIST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hashlib(md5/sha1) (устаревшие, уязвимы к коллизиям), passlib (обёртка, не добавляет новой криптографии)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Обработка изображений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Pillow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Ресайз с сохранением пропорций (LANCZOS), конвертация RGBA→RGB, контроль размера перед сохранением в BYTEA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OpenCV (избыточный функционал, сложный деплой), imageio (менее гибкая работа с форматами)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Инструменты разработки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VS Code / PyCharm, Git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Интегрированная отладка, контроль версий, автоформатирование, расширения Python, поддержка Docker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IDLE (отсутствует продвинутый отладчик), Vim (высокий порог входа, нет визуального профилирования)</w:t>
            </w:r>
            <w:r/>
          </w:p>
        </w:tc>
      </w:tr>
    </w:tbl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Технические требования к оборудованию и операционной среде сформированы на основе анализа потребляемых ресурсов и условий эксплуатации. Приложение предназначено для развёртывания в изолированном контуре военной комендатуры без выхода в сеть Интернет, </w:t>
      </w:r>
      <w:r>
        <w:rPr>
          <w:rFonts w:ascii="Times New Roman" w:hAnsi="Times New Roman" w:eastAsia="Times New Roman"/>
          <w:b w:val="0"/>
          <w:sz w:val="28"/>
        </w:rPr>
        <w:t xml:space="preserve">что исключает риски внешнего вмешательства и обеспечивает соответствие требованиям информационной безопасности. Минимальные аппаратные требования: процессор архитектуры x86_64 с частотой от 2.0 ГГц и 2+ ядрами (обеспечивает параллельную обработку UI-событи</w:t>
      </w:r>
      <w:r>
        <w:rPr>
          <w:rFonts w:ascii="Times New Roman" w:hAnsi="Times New Roman" w:eastAsia="Times New Roman"/>
          <w:b w:val="0"/>
          <w:sz w:val="28"/>
        </w:rPr>
        <w:t xml:space="preserve">й и фоновых запросов к БД), ОЗУ ≥ 4 ГБ (рекомендуется 8 ГБ для комфортной работы с кэшем автодополнения и 1000+ записями в таблице), свободное место на диске ≥ 500 МБ (для хранения временных файлов шаблонов, сгенерированных документов и локальных отчётов).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Операционные системы: Windows</w:t>
      </w:r>
      <w:r>
        <w:rPr>
          <w:rFonts w:ascii="Times New Roman" w:hAnsi="Times New Roman" w:eastAsia="Times New Roman"/>
          <w:b w:val="0"/>
          <w:sz w:val="28"/>
        </w:rPr>
        <w:t xml:space="preserve"> 10/11 (64-bit) или Linux Ubuntu 20.04+ / Debian 11+ / Astra Linux Special Edition / РЕД ОС. Совместимость с отечественными ОС достигнута за счёт использования открытого стека без проприетарных зависимостей, сборки через стандартный интерпретатор Python и </w:t>
      </w:r>
      <w:r>
        <w:rPr>
          <w:rFonts w:ascii="Times New Roman" w:hAnsi="Times New Roman" w:eastAsia="Times New Roman"/>
          <w:b w:val="0"/>
          <w:sz w:val="28"/>
        </w:rPr>
        <w:t xml:space="preserve">отсутствия требований к специфичным системным библиотекам. СУБД PostgreSQL разворачивается на выделенном сервере или локальной машине, доступ осуществляется по порту 5432 через защищённое соединение TLS 1.3 (при необходимости). Управление зависимостями реа</w:t>
      </w:r>
      <w:r>
        <w:rPr>
          <w:rFonts w:ascii="Times New Roman" w:hAnsi="Times New Roman" w:eastAsia="Times New Roman"/>
          <w:b w:val="0"/>
          <w:sz w:val="28"/>
        </w:rPr>
        <w:t xml:space="preserve">лизуется через requirements.txt, что гарантирует воспроизводимость сборки на любой целевой машине. Резервное копирование выполняется средствами pg_dump, а мониторинг целостности данных обеспечивается встроенными механизмами PostgreSQL и журналом audit_log.</w:t>
      </w:r>
      <w:r/>
    </w:p>
    <w:p>
      <w:pPr>
        <w:pBdr/>
        <w:spacing w:after="0"/>
        <w:ind w:firstLine="709"/>
        <w:jc w:val="both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Выбранный стек обеспечивает нулевую стоимость лицензий, полную независимость от внешних сервисов, высокую произво</w:t>
      </w:r>
      <w:r>
        <w:rPr>
          <w:rFonts w:ascii="Times New Roman" w:hAnsi="Times New Roman" w:eastAsia="Times New Roman"/>
          <w:b w:val="0"/>
          <w:sz w:val="28"/>
        </w:rPr>
        <w:t xml:space="preserve">дительность при работе с реляционными данными и гибкость в настройке интерфейса. Архитектура допускает дальнейшую миграцию на веб-платформу (FastAPI + React) или интеграцию с ведомственными системами через REST API без изменения логики ядра и структуры БД.</w:t>
      </w:r>
      <w:r/>
    </w:p>
    <w:p w14:paraId="5EE82CC6">
      <w:pPr>
        <w:pBdr/>
        <w:spacing w:after="0"/>
        <w:ind w:right="0" w:firstLine="0" w:left="0"/>
        <w:jc w:val="both"/>
        <w:rPr/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75421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35360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>
                          <a:extLst>
                            <a:ext uri="{96DAC541-7B7A-43D3-8B79-37D633B846F1}">
                              <asvg:svgBlip xmlns:asvg="http://schemas.microsoft.com/office/drawing/2016/SVG/main" r:embed="rId1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6152514" cy="4754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4.45pt;height:374.3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</w:p>
    <w:p>
      <w:pPr>
        <w:pBdr/>
        <w:spacing w:after="240"/>
        <w:ind w:firstLine="0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ab/>
        <w:t xml:space="preserve">Рисунок 2.5 – Диаграмма развёртывания (Deployment Diagram)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Выводы по разделу 2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Выбрана и обоснована итеративно-инкрементная мод</w:t>
      </w:r>
      <w:r>
        <w:rPr>
          <w:rFonts w:ascii="Times New Roman" w:hAnsi="Times New Roman" w:eastAsia="Times New Roman"/>
          <w:b w:val="0"/>
          <w:sz w:val="28"/>
        </w:rPr>
        <w:t xml:space="preserve">ель жизненного цикла, обеспечивающая поэтапное внедрение модулей, раннее тестирование критических функций, снижение рисков интеграционных ошибок и полное соответствие календарному плану производственных практик и академическим требованиям к оформлению ВКР.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Спроектирована трёхуровневая клиент-серверная архитектура с чётким разделением слоёв представления, бизнес-логики и доступа к данным</w:t>
      </w:r>
      <w:r>
        <w:rPr>
          <w:rFonts w:ascii="Times New Roman" w:hAnsi="Times New Roman" w:eastAsia="Times New Roman"/>
          <w:b w:val="0"/>
          <w:sz w:val="28"/>
        </w:rPr>
        <w:t xml:space="preserve">. Реализована схема БД krd из 18 таблиц, нормализованных до 3НФ, с поддержкой JSONB для динамического маппинга шаблонов, BYTEA для хранения документов и фотоматериалов, каскадными внешними ключами, оптимизированными индексами и механизмом мягкого удаления.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Разработана структура приложения, включающая 8 логических модулей: авторизация и контроль сессий, CRUD-операции по КРД и связанным сущностям, автодополнение полей, генератор процессуальны</w:t>
      </w:r>
      <w:r>
        <w:rPr>
          <w:rFonts w:ascii="Times New Roman" w:hAnsi="Times New Roman" w:eastAsia="Times New Roman"/>
          <w:b w:val="0"/>
          <w:sz w:val="28"/>
        </w:rPr>
        <w:t xml:space="preserve">х документов, экспорт отчётов в Excel, система аудита действий, администрирование пользователей и восстановление удалённых записей. Интерфейс реализован на PyQt6 с применением паттерна MVC, валидацией данных, обработкой исключений и интуитивной навигацией.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Обоснован технологический стек (Python 3.10+, PyQt6, PostgreSQL 16, QPSQL, python-docx, openpyxl, bcrypt, Pillow), обеспечивающий кроссплатформ</w:t>
      </w:r>
      <w:r>
        <w:rPr>
          <w:rFonts w:ascii="Times New Roman" w:hAnsi="Times New Roman" w:eastAsia="Times New Roman"/>
          <w:b w:val="0"/>
          <w:sz w:val="28"/>
        </w:rPr>
        <w:t xml:space="preserve">енность, совместимость с российскими ОС, нулевую стоимость лицензий, высокую производительность и соответствие современным стандартам информационной безопасности. Сформированы требования к оборудованию, сетевой изоляции и процедурам резервного копирования.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Полученная проектная до</w:t>
      </w:r>
      <w:r>
        <w:rPr>
          <w:rFonts w:ascii="Times New Roman" w:hAnsi="Times New Roman" w:eastAsia="Times New Roman"/>
          <w:b w:val="0"/>
          <w:sz w:val="28"/>
        </w:rPr>
        <w:t xml:space="preserve">кументация, схема базы данных, архитектурные спецификации и модульная структура являются достаточным и завершённым основанием для перехода к этапу программной реализации, комплексного тестирования, отладки и оформления листингов исходного кода в Разделе 3.</w:t>
      </w:r>
      <w:r/>
    </w:p>
    <w:sectPr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0" w:before="0" w:line="360" w:lineRule="auto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2026-04-16T05:58:30Z</dcterms:modified>
  <cp:category/>
</cp:coreProperties>
</file>