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center"/>
      </w:pPr>
      <w:r>
        <w:rPr>
          <w:rFonts w:ascii="Times New Roman" w:hAnsi="Times New Roman"/>
          <w:b/>
          <w:sz w:val="28"/>
        </w:rPr>
        <w:t>2.1 Модель жизненного цикла программного продукта</w:t>
      </w:r>
    </w:p>
    <w:p>
      <w:pPr>
        <w:spacing w:line="360" w:lineRule="auto" w:before="0" w:after="0"/>
        <w:ind w:firstLine="709"/>
        <w:jc w:val="both"/>
      </w:pPr>
      <w:r>
        <w:rPr>
          <w:rFonts w:ascii="Times New Roman" w:hAnsi="Times New Roman"/>
          <w:sz w:val="28"/>
        </w:rPr>
        <w:t>Выбор модели жизненного цикла (ЖЦ) программного продукта является критическим этапом проектирования, определяющим последовательность выполнения работ, распределение ресурсов, механизмы контроля качества и сроки выхода готового изделия. В современной инженерии программного обеспечения используются четыре базовые модели: каскадная (Waterfall), спиральная (Spiral), гибкая (Agile/Scrum) и итеративно-инкрементная (Iterative-Incremental). Каждая из моделей обладает специфическими преимуществами и ограничениями, которые необходимо сопоставить с характеристиками разрабатываемого автоматизированного рабочего места (АРМ) сотрудника дознания.</w:t>
      </w:r>
    </w:p>
    <w:p>
      <w:pPr>
        <w:spacing w:after="120"/>
        <w:ind w:firstLine="709"/>
        <w:jc w:val="left"/>
      </w:pPr>
      <w:r>
        <w:rPr>
          <w:rFonts w:ascii="Times New Roman" w:hAnsi="Times New Roman"/>
          <w:b/>
          <w:sz w:val="28"/>
        </w:rPr>
        <w:t>Таблица 2.1 – Сравнительный анализ моделей жизненного цикла</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2"/>
        <w:gridCol w:w="2422"/>
        <w:gridCol w:w="2422"/>
        <w:gridCol w:w="2422"/>
      </w:tblGrid>
      <w:tr>
        <w:tc>
          <w:tcPr>
            <w:tcW w:type="dxa" w:w="2422"/>
          </w:tcPr>
          <w:p>
            <w:pPr>
              <w:spacing w:line="240" w:lineRule="auto"/>
              <w:jc w:val="center"/>
            </w:pPr>
            <w:r>
              <w:rPr>
                <w:rFonts w:ascii="Times New Roman" w:hAnsi="Times New Roman"/>
                <w:b/>
                <w:color w:val="1F3864"/>
                <w:sz w:val="24"/>
              </w:rPr>
              <w:t>Модель ЖЦ</w:t>
            </w:r>
          </w:p>
        </w:tc>
        <w:tc>
          <w:tcPr>
            <w:tcW w:type="dxa" w:w="2422"/>
          </w:tcPr>
          <w:p>
            <w:pPr>
              <w:spacing w:line="240" w:lineRule="auto"/>
              <w:jc w:val="center"/>
            </w:pPr>
            <w:r>
              <w:rPr>
                <w:rFonts w:ascii="Times New Roman" w:hAnsi="Times New Roman"/>
                <w:b/>
                <w:color w:val="1F3864"/>
                <w:sz w:val="24"/>
              </w:rPr>
              <w:t>Преимущества</w:t>
            </w:r>
          </w:p>
        </w:tc>
        <w:tc>
          <w:tcPr>
            <w:tcW w:type="dxa" w:w="2422"/>
          </w:tcPr>
          <w:p>
            <w:pPr>
              <w:spacing w:line="240" w:lineRule="auto"/>
              <w:jc w:val="center"/>
            </w:pPr>
            <w:r>
              <w:rPr>
                <w:rFonts w:ascii="Times New Roman" w:hAnsi="Times New Roman"/>
                <w:b/>
                <w:color w:val="1F3864"/>
                <w:sz w:val="24"/>
              </w:rPr>
              <w:t>Недостатки</w:t>
            </w:r>
          </w:p>
        </w:tc>
        <w:tc>
          <w:tcPr>
            <w:tcW w:type="dxa" w:w="2422"/>
            <w:shd w:fill="D9E2F3" w:val="clear"/>
          </w:tcPr>
          <w:p>
            <w:pPr>
              <w:spacing w:line="240" w:lineRule="auto"/>
              <w:jc w:val="center"/>
            </w:pPr>
            <w:r>
              <w:rPr>
                <w:rFonts w:ascii="Times New Roman" w:hAnsi="Times New Roman"/>
                <w:b/>
                <w:color w:val="1F3864"/>
                <w:sz w:val="24"/>
              </w:rPr>
              <w:t>Сфера применения</w:t>
            </w:r>
          </w:p>
        </w:tc>
      </w:tr>
      <w:tr>
        <w:tc>
          <w:tcPr>
            <w:tcW w:type="dxa" w:w="2422"/>
          </w:tcPr>
          <w:p>
            <w:pPr>
              <w:spacing w:line="240" w:lineRule="auto" w:before="40" w:after="40"/>
            </w:pPr>
            <w:r>
              <w:rPr>
                <w:rFonts w:ascii="Times New Roman" w:hAnsi="Times New Roman"/>
                <w:sz w:val="24"/>
              </w:rPr>
              <w:t>Каскадная</w:t>
              <w:br/>
              <w:t>(Waterfall)</w:t>
            </w:r>
          </w:p>
        </w:tc>
        <w:tc>
          <w:tcPr>
            <w:tcW w:type="dxa" w:w="2422"/>
          </w:tcPr>
          <w:p>
            <w:pPr>
              <w:spacing w:line="240" w:lineRule="auto" w:before="40" w:after="40"/>
            </w:pPr>
            <w:r>
              <w:rPr>
                <w:rFonts w:ascii="Times New Roman" w:hAnsi="Times New Roman"/>
                <w:sz w:val="24"/>
              </w:rPr>
              <w:t>Высокая предсказуемость сроков и бюджета, чёткая документация на каждом этапе, простота управления.</w:t>
            </w:r>
          </w:p>
        </w:tc>
        <w:tc>
          <w:tcPr>
            <w:tcW w:type="dxa" w:w="2422"/>
          </w:tcPr>
          <w:p>
            <w:pPr>
              <w:spacing w:line="240" w:lineRule="auto" w:before="40" w:after="40"/>
            </w:pPr>
            <w:r>
              <w:rPr>
                <w:rFonts w:ascii="Times New Roman" w:hAnsi="Times New Roman"/>
                <w:sz w:val="24"/>
              </w:rPr>
              <w:t>Жёсткость требований, сложность внесения изменений на поздних стадиях, поздний показ результата заказчику.</w:t>
            </w:r>
          </w:p>
        </w:tc>
        <w:tc>
          <w:tcPr>
            <w:tcW w:type="dxa" w:w="2422"/>
          </w:tcPr>
          <w:p>
            <w:pPr>
              <w:spacing w:line="240" w:lineRule="auto" w:before="40" w:after="40"/>
            </w:pPr>
            <w:r>
              <w:rPr>
                <w:rFonts w:ascii="Times New Roman" w:hAnsi="Times New Roman"/>
                <w:sz w:val="24"/>
              </w:rPr>
              <w:t>Проекты с фиксированными требованиями (строительство, встраиваемые системы).</w:t>
            </w:r>
          </w:p>
        </w:tc>
      </w:tr>
      <w:tr>
        <w:tc>
          <w:tcPr>
            <w:tcW w:type="dxa" w:w="2422"/>
          </w:tcPr>
          <w:p>
            <w:pPr>
              <w:spacing w:line="240" w:lineRule="auto" w:before="40" w:after="40"/>
            </w:pPr>
            <w:r>
              <w:rPr>
                <w:rFonts w:ascii="Times New Roman" w:hAnsi="Times New Roman"/>
                <w:sz w:val="24"/>
              </w:rPr>
              <w:t>Спиральная</w:t>
              <w:br/>
              <w:t>(Spiral)</w:t>
            </w:r>
          </w:p>
        </w:tc>
        <w:tc>
          <w:tcPr>
            <w:tcW w:type="dxa" w:w="2422"/>
          </w:tcPr>
          <w:p>
            <w:pPr>
              <w:spacing w:line="240" w:lineRule="auto" w:before="40" w:after="40"/>
            </w:pPr>
            <w:r>
              <w:rPr>
                <w:rFonts w:ascii="Times New Roman" w:hAnsi="Times New Roman"/>
                <w:sz w:val="24"/>
              </w:rPr>
              <w:t>Акцент на управлении рисками, многократное прототипирование, гибкость при изменении требований.</w:t>
            </w:r>
          </w:p>
        </w:tc>
        <w:tc>
          <w:tcPr>
            <w:tcW w:type="dxa" w:w="2422"/>
          </w:tcPr>
          <w:p>
            <w:pPr>
              <w:spacing w:line="240" w:lineRule="auto" w:before="40" w:after="40"/>
            </w:pPr>
            <w:r>
              <w:rPr>
                <w:rFonts w:ascii="Times New Roman" w:hAnsi="Times New Roman"/>
                <w:sz w:val="24"/>
              </w:rPr>
              <w:t>Высокая стоимость, сложность формализации метрик рисков, избыточность для малых проектов.</w:t>
            </w:r>
          </w:p>
        </w:tc>
        <w:tc>
          <w:tcPr>
            <w:tcW w:type="dxa" w:w="2422"/>
          </w:tcPr>
          <w:p>
            <w:pPr>
              <w:spacing w:line="240" w:lineRule="auto" w:before="40" w:after="40"/>
            </w:pPr>
            <w:r>
              <w:rPr>
                <w:rFonts w:ascii="Times New Roman" w:hAnsi="Times New Roman"/>
                <w:sz w:val="24"/>
              </w:rPr>
              <w:t>Крупные инновационные проекты с высокими техническими рисками.</w:t>
            </w:r>
          </w:p>
        </w:tc>
      </w:tr>
      <w:tr>
        <w:tc>
          <w:tcPr>
            <w:tcW w:type="dxa" w:w="2422"/>
          </w:tcPr>
          <w:p>
            <w:pPr>
              <w:spacing w:line="240" w:lineRule="auto" w:before="40" w:after="40"/>
            </w:pPr>
            <w:r>
              <w:rPr>
                <w:rFonts w:ascii="Times New Roman" w:hAnsi="Times New Roman"/>
                <w:sz w:val="24"/>
              </w:rPr>
              <w:t>Гибкая</w:t>
              <w:br/>
              <w:t>(Agile/Scrum)</w:t>
            </w:r>
          </w:p>
        </w:tc>
        <w:tc>
          <w:tcPr>
            <w:tcW w:type="dxa" w:w="2422"/>
          </w:tcPr>
          <w:p>
            <w:pPr>
              <w:spacing w:line="240" w:lineRule="auto" w:before="40" w:after="40"/>
            </w:pPr>
            <w:r>
              <w:rPr>
                <w:rFonts w:ascii="Times New Roman" w:hAnsi="Times New Roman"/>
                <w:sz w:val="24"/>
              </w:rPr>
              <w:t>Высокая адаптивность, быстрая доставка ценности (MVP), постоянное вовлечение заказчика.</w:t>
            </w:r>
          </w:p>
        </w:tc>
        <w:tc>
          <w:tcPr>
            <w:tcW w:type="dxa" w:w="2422"/>
          </w:tcPr>
          <w:p>
            <w:pPr>
              <w:spacing w:line="240" w:lineRule="auto" w:before="40" w:after="40"/>
            </w:pPr>
            <w:r>
              <w:rPr>
                <w:rFonts w:ascii="Times New Roman" w:hAnsi="Times New Roman"/>
                <w:sz w:val="24"/>
              </w:rPr>
              <w:t>Сложность планирования бюджета, риск нарушения академических сроков ВКР, сложность формализации отчётов.</w:t>
            </w:r>
          </w:p>
        </w:tc>
        <w:tc>
          <w:tcPr>
            <w:tcW w:type="dxa" w:w="2422"/>
          </w:tcPr>
          <w:p>
            <w:pPr>
              <w:spacing w:line="240" w:lineRule="auto" w:before="40" w:after="40"/>
            </w:pPr>
            <w:r>
              <w:rPr>
                <w:rFonts w:ascii="Times New Roman" w:hAnsi="Times New Roman"/>
                <w:sz w:val="24"/>
              </w:rPr>
              <w:t>Стартапы, веб-разработка, продукты с быстро меняющимся рынком.</w:t>
            </w:r>
          </w:p>
        </w:tc>
      </w:tr>
      <w:tr>
        <w:tc>
          <w:tcPr>
            <w:tcW w:type="dxa" w:w="2422"/>
          </w:tcPr>
          <w:p>
            <w:pPr>
              <w:spacing w:line="240" w:lineRule="auto" w:before="40" w:after="40"/>
            </w:pPr>
            <w:r>
              <w:rPr>
                <w:rFonts w:ascii="Times New Roman" w:hAnsi="Times New Roman"/>
                <w:sz w:val="24"/>
              </w:rPr>
              <w:t>Итеративно-</w:t>
              <w:br/>
              <w:t>инкрементная</w:t>
            </w:r>
          </w:p>
        </w:tc>
        <w:tc>
          <w:tcPr>
            <w:tcW w:type="dxa" w:w="2422"/>
          </w:tcPr>
          <w:p>
            <w:pPr>
              <w:spacing w:line="240" w:lineRule="auto" w:before="40" w:after="40"/>
            </w:pPr>
            <w:r>
              <w:rPr>
                <w:rFonts w:ascii="Times New Roman" w:hAnsi="Times New Roman"/>
                <w:sz w:val="24"/>
              </w:rPr>
              <w:t>Баланс планирования и гибкости, раннее тестирование ядра, прозрачность промежуточных результатов.</w:t>
            </w:r>
          </w:p>
        </w:tc>
        <w:tc>
          <w:tcPr>
            <w:tcW w:type="dxa" w:w="2422"/>
          </w:tcPr>
          <w:p>
            <w:pPr>
              <w:spacing w:line="240" w:lineRule="auto" w:before="40" w:after="40"/>
            </w:pPr>
            <w:r>
              <w:rPr>
                <w:rFonts w:ascii="Times New Roman" w:hAnsi="Times New Roman"/>
                <w:sz w:val="24"/>
              </w:rPr>
              <w:t>Требует дисциплины в документировании, риск расползания требований (scope creep).</w:t>
            </w:r>
          </w:p>
        </w:tc>
        <w:tc>
          <w:tcPr>
            <w:tcW w:type="dxa" w:w="2422"/>
          </w:tcPr>
          <w:p>
            <w:pPr>
              <w:spacing w:line="240" w:lineRule="auto" w:before="40" w:after="40"/>
            </w:pPr>
            <w:r>
              <w:rPr>
                <w:rFonts w:ascii="Times New Roman" w:hAnsi="Times New Roman"/>
                <w:sz w:val="24"/>
              </w:rPr>
              <w:t>✅ АРМ, академические проекты (ВКР), системы с поэтапным вводом в эксплуатацию.</w:t>
            </w:r>
          </w:p>
        </w:tc>
      </w:tr>
    </w:tbl>
    <w:p>
      <w:pPr>
        <w:spacing w:after="240"/>
      </w:pPr>
    </w:p>
    <w:p>
      <w:pPr>
        <w:spacing w:line="360" w:lineRule="auto" w:before="0" w:after="0"/>
        <w:ind w:firstLine="709"/>
        <w:jc w:val="both"/>
      </w:pPr>
      <w:r>
        <w:rPr>
          <w:rFonts w:ascii="Times New Roman" w:hAnsi="Times New Roman"/>
          <w:sz w:val="28"/>
        </w:rPr>
        <w:t>Ниже приведено подробное описание каждой модели с обоснованием выбора наиболее подходящей для данной разработки. Визуальное представление каждой модели расположено сразу после её описания.</w:t>
      </w:r>
    </w:p>
    <w:p>
      <w:pPr>
        <w:spacing w:line="360" w:lineRule="auto" w:before="0" w:after="0"/>
        <w:ind w:firstLine="709"/>
        <w:jc w:val="both"/>
      </w:pPr>
      <w:r>
        <w:rPr>
          <w:rFonts w:ascii="Times New Roman" w:hAnsi="Times New Roman"/>
          <w:sz w:val="28"/>
        </w:rPr>
        <w:t>Каскадная модель (Waterfall) предполагает строго последовательное выполнение фаз разработки: сбор требований → проектирование → кодирование → тестирование → внедрение. Переход к следующему этапу возможен только после полного завершения предыдущего. Данная модель обеспечивает высокую предсказуемость сроков и бюджета, а также чёткую документацию. Однако она не допускает корректировки требований на поздних стадиях, что критично для проектов, разрабатываемых в условиях меняющейся нормативной базы. Сфера применения ограничена проектами с изначально известными и неизменными требованиями.</w:t>
      </w:r>
    </w:p>
    <w:p>
      <w:pPr>
        <w:spacing w:after="120"/>
      </w:pPr>
    </w:p>
    <w:p>
      <w:pPr>
        <w:spacing w:after="120"/>
        <w:jc w:val="center"/>
      </w:pPr>
      <w:r>
        <w:drawing>
          <wp:inline xmlns:a="http://schemas.openxmlformats.org/drawingml/2006/main" xmlns:pic="http://schemas.openxmlformats.org/drawingml/2006/picture">
            <wp:extent cx="5486400" cy="128762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287624"/>
                    </a:xfrm>
                    <a:prstGeom prst="rect"/>
                  </pic:spPr>
                </pic:pic>
              </a:graphicData>
            </a:graphic>
          </wp:inline>
        </w:drawing>
      </w:r>
    </w:p>
    <w:p>
      <w:pPr>
        <w:spacing w:before="0" w:after="240"/>
        <w:jc w:val="center"/>
      </w:pPr>
      <w:r>
        <w:rPr>
          <w:rFonts w:ascii="Times New Roman" w:hAnsi="Times New Roman"/>
          <w:sz w:val="28"/>
        </w:rPr>
        <w:t>Рисунок 2.1 – Каскадная модель (Waterfall)</w:t>
      </w:r>
    </w:p>
    <w:p>
      <w:pPr>
        <w:spacing w:line="360" w:lineRule="auto" w:before="0" w:after="0"/>
        <w:ind w:firstLine="709"/>
        <w:jc w:val="both"/>
      </w:pPr>
      <w:r>
        <w:rPr>
          <w:rFonts w:ascii="Times New Roman" w:hAnsi="Times New Roman"/>
          <w:sz w:val="28"/>
        </w:rPr>
        <w:t>Спиральная модель (Spiral) фокусируется на управлении рисками через многократные циклы прототипирования, оценки рисков и разработки. Каждый виток спирали включает четыре фазы: определение целей, анализ рисков, разработку и планирование следующего этапа. Главное преимущество — минимизация технических рисков за счёт раннего выявления проблемных зон. Недостатком является высокая стоимость и сложность формализации метрик, что делает модель избыточной для настольного приложения с фиксированной предметной областью. Обычно применяется в крупных инновационных проектах.</w:t>
      </w:r>
    </w:p>
    <w:p>
      <w:pPr>
        <w:spacing w:after="120"/>
      </w:pPr>
    </w:p>
    <w:p>
      <w:pPr>
        <w:spacing w:after="120"/>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486400"/>
                    </a:xfrm>
                    <a:prstGeom prst="rect"/>
                  </pic:spPr>
                </pic:pic>
              </a:graphicData>
            </a:graphic>
          </wp:inline>
        </w:drawing>
      </w:r>
    </w:p>
    <w:p>
      <w:pPr>
        <w:spacing w:before="0" w:after="240"/>
        <w:jc w:val="center"/>
      </w:pPr>
      <w:r>
        <w:rPr>
          <w:rFonts w:ascii="Times New Roman" w:hAnsi="Times New Roman"/>
          <w:sz w:val="28"/>
        </w:rPr>
        <w:t>Рисунок 2.2 – Спиральная модель (Spiral)</w:t>
      </w:r>
    </w:p>
    <w:p>
      <w:pPr>
        <w:spacing w:line="360" w:lineRule="auto" w:before="0" w:after="0"/>
        <w:ind w:firstLine="709"/>
        <w:jc w:val="both"/>
      </w:pPr>
      <w:r>
        <w:rPr>
          <w:rFonts w:ascii="Times New Roman" w:hAnsi="Times New Roman"/>
          <w:sz w:val="28"/>
        </w:rPr>
        <w:t>Гибкая методология (Agile/Scrum) обеспечивает высокую адаптивность, быструю доставку ценности заказчику через короткие итерации (спринты) и постоянное вовлечение пользователя в процесс разработки. Основные преимущества: скорость реакции на изменения и рабочий продукт уже после первых спринтов. Однако чистая Agile-методология затрудняет формализацию промежуточных результатов, необходимых для отчётов по производственным практикам и последующей защиты ВКР в соответствии с требованиями ГОСТ 34.602-89. Также существует риск сложностей с планированием итогового бюджета. Сфера применения: стартапы, веб-проекты, среды с высокой неопределённостью.</w:t>
      </w:r>
    </w:p>
    <w:p>
      <w:pPr>
        <w:spacing w:after="120"/>
      </w:pPr>
    </w:p>
    <w:p>
      <w:pPr>
        <w:spacing w:after="120"/>
        <w:jc w:val="center"/>
      </w:pPr>
      <w:r>
        <w:drawing>
          <wp:inline xmlns:a="http://schemas.openxmlformats.org/drawingml/2006/main" xmlns:pic="http://schemas.openxmlformats.org/drawingml/2006/picture">
            <wp:extent cx="5486400" cy="208446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084461"/>
                    </a:xfrm>
                    <a:prstGeom prst="rect"/>
                  </pic:spPr>
                </pic:pic>
              </a:graphicData>
            </a:graphic>
          </wp:inline>
        </w:drawing>
      </w:r>
    </w:p>
    <w:p>
      <w:pPr>
        <w:spacing w:before="0" w:after="240"/>
        <w:jc w:val="center"/>
      </w:pPr>
      <w:r>
        <w:rPr>
          <w:rFonts w:ascii="Times New Roman" w:hAnsi="Times New Roman"/>
          <w:sz w:val="28"/>
        </w:rPr>
        <w:t>Рисунок 2.3 – Гибкая модель (Agile/Scrum)</w:t>
      </w:r>
    </w:p>
    <w:p>
      <w:pPr>
        <w:spacing w:line="360" w:lineRule="auto" w:before="0" w:after="0"/>
        <w:ind w:firstLine="709"/>
        <w:jc w:val="both"/>
      </w:pPr>
      <w:r>
        <w:rPr>
          <w:rFonts w:ascii="Times New Roman" w:hAnsi="Times New Roman"/>
          <w:sz w:val="28"/>
        </w:rPr>
        <w:t>Итеративно-инкрементная модель объединяет преимущества предсказуемого планирования и адаптивной корректировки. Проект разбивается на последовательные этапы (итерации), по завершении каждого из которых формируется работоспособный инкремент программного продукта с расширенным функционалом (Рисунок 2.4). Преимущества: раннее тестирование ядра системы, прозрачность промежуточных результатов, возможность внесения изменений без полной переделки проекта. Данная модель идеально подходит для разработки АРМ, так как позволяет поэтапно внедрять модули (авторизация, CRUD, генерация документов), тестировать их и фиксировать результаты в отчётах, что полностью соответствует календарному плану практик.</w:t>
      </w:r>
    </w:p>
    <w:p>
      <w:pPr>
        <w:spacing w:after="120"/>
      </w:pPr>
    </w:p>
    <w:p>
      <w:pPr>
        <w:spacing w:after="120"/>
        <w:jc w:val="center"/>
      </w:pPr>
      <w:r>
        <w:drawing>
          <wp:inline xmlns:a="http://schemas.openxmlformats.org/drawingml/2006/main" xmlns:pic="http://schemas.openxmlformats.org/drawingml/2006/picture">
            <wp:extent cx="5486400" cy="306397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063970"/>
                    </a:xfrm>
                    <a:prstGeom prst="rect"/>
                  </pic:spPr>
                </pic:pic>
              </a:graphicData>
            </a:graphic>
          </wp:inline>
        </w:drawing>
      </w:r>
    </w:p>
    <w:p>
      <w:pPr>
        <w:spacing w:before="0" w:after="240"/>
        <w:jc w:val="center"/>
      </w:pPr>
      <w:r>
        <w:rPr>
          <w:rFonts w:ascii="Times New Roman" w:hAnsi="Times New Roman"/>
          <w:sz w:val="28"/>
        </w:rPr>
        <w:t>Рисунок 2.4 – Итеративно-инкрементная модель</w:t>
      </w:r>
    </w:p>
    <w:p>
      <w:pPr>
        <w:spacing w:line="360" w:lineRule="auto" w:before="0" w:after="0"/>
        <w:ind w:firstLine="709"/>
        <w:jc w:val="both"/>
      </w:pPr>
      <w:r>
        <w:rPr>
          <w:rFonts w:ascii="Times New Roman" w:hAnsi="Times New Roman"/>
          <w:sz w:val="28"/>
        </w:rPr>
        <w:t>На основе проведённого анализа для разработки АРМ сотрудника отдела дознания выбрана итеративно-инкрементная модель жизненного цикла с элементами гибкого управления проектами. Выбор обоснован следующими факторами:</w:t>
      </w:r>
    </w:p>
    <w:p>
      <w:pPr>
        <w:spacing w:line="360" w:lineRule="auto" w:before="0" w:after="0"/>
        <w:ind w:firstLine="709"/>
        <w:jc w:val="both"/>
      </w:pPr>
      <w:r>
        <w:rPr>
          <w:rFonts w:ascii="Times New Roman" w:hAnsi="Times New Roman"/>
          <w:sz w:val="28"/>
        </w:rPr>
        <w:t>– Поэтапное внедрение модулей позволяет тестировать критические функции (авторизация, CRUD-операции, генерация документов) на ранних стадиях, минимизируя риски интеграционных ошибок и обеспечивая стабильность ядра системы до добавления вспомогательных компонентов.</w:t>
        <w:br/>
        <w:t>– Обратная связь от пользователя после каждой итерации обеспечивает коррекцию требований, интерфейса и логики валидации до финальной сборки, что снижает вероятность переделок на этапе приёмочных испытаний.</w:t>
        <w:br/>
        <w:t>– Модель полностью соответствует календарному плану производственных практик (ноябрь 2025 – февраль 2026), позволяя фиксировать промежуточные результаты в отчётах, проводить код-ревью и формировать документацию параллельно с разработкой.</w:t>
        <w:br/>
        <w:t>– Обеспечивается баланс между жёсткой стандартизацией (ГОСТ 19.701-90, ГОСТ 34.602-89) и гибкостью архитектуры, что критично для академических проектов с обязательным прохождением нормоконтроля.</w:t>
      </w:r>
    </w:p>
    <w:p>
      <w:pPr>
        <w:spacing w:after="120"/>
        <w:ind w:firstLine="709"/>
        <w:jc w:val="left"/>
      </w:pPr>
      <w:r>
        <w:rPr>
          <w:rFonts w:ascii="Times New Roman" w:hAnsi="Times New Roman"/>
          <w:b/>
          <w:sz w:val="28"/>
        </w:rPr>
        <w:t>Таблица 2.2 – Календарный план итераций и контрольные точки</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1938"/>
          </w:tcPr>
          <w:p>
            <w:pPr>
              <w:spacing w:line="240" w:lineRule="auto"/>
              <w:jc w:val="center"/>
            </w:pPr>
            <w:r>
              <w:rPr>
                <w:rFonts w:ascii="Times New Roman" w:hAnsi="Times New Roman"/>
                <w:b/>
                <w:color w:val="1F3864"/>
                <w:sz w:val="24"/>
              </w:rPr>
              <w:t>№ Итерации</w:t>
            </w:r>
          </w:p>
        </w:tc>
        <w:tc>
          <w:tcPr>
            <w:tcW w:type="dxa" w:w="1938"/>
          </w:tcPr>
          <w:p>
            <w:pPr>
              <w:spacing w:line="240" w:lineRule="auto"/>
              <w:jc w:val="center"/>
            </w:pPr>
            <w:r>
              <w:rPr>
                <w:rFonts w:ascii="Times New Roman" w:hAnsi="Times New Roman"/>
                <w:b/>
                <w:color w:val="1F3864"/>
                <w:sz w:val="24"/>
              </w:rPr>
              <w:t>Период выполнения</w:t>
            </w:r>
          </w:p>
        </w:tc>
        <w:tc>
          <w:tcPr>
            <w:tcW w:type="dxa" w:w="1938"/>
          </w:tcPr>
          <w:p>
            <w:pPr>
              <w:spacing w:line="240" w:lineRule="auto"/>
              <w:jc w:val="center"/>
            </w:pPr>
            <w:r>
              <w:rPr>
                <w:rFonts w:ascii="Times New Roman" w:hAnsi="Times New Roman"/>
                <w:b/>
                <w:color w:val="1F3864"/>
                <w:sz w:val="24"/>
              </w:rPr>
              <w:t>Основные задачи</w:t>
            </w:r>
          </w:p>
        </w:tc>
        <w:tc>
          <w:tcPr>
            <w:tcW w:type="dxa" w:w="1938"/>
          </w:tcPr>
          <w:p>
            <w:pPr>
              <w:spacing w:line="240" w:lineRule="auto"/>
              <w:jc w:val="center"/>
            </w:pPr>
            <w:r>
              <w:rPr>
                <w:rFonts w:ascii="Times New Roman" w:hAnsi="Times New Roman"/>
                <w:b/>
                <w:color w:val="1F3864"/>
                <w:sz w:val="24"/>
              </w:rPr>
              <w:t>Результат этапа</w:t>
            </w:r>
          </w:p>
        </w:tc>
        <w:tc>
          <w:tcPr>
            <w:tcW w:type="dxa" w:w="1938"/>
            <w:shd w:fill="D9E2F3" w:val="clear"/>
          </w:tcPr>
          <w:p>
            <w:pPr>
              <w:spacing w:line="240" w:lineRule="auto"/>
              <w:jc w:val="center"/>
            </w:pPr>
            <w:r>
              <w:rPr>
                <w:rFonts w:ascii="Times New Roman" w:hAnsi="Times New Roman"/>
                <w:b/>
                <w:color w:val="1F3864"/>
                <w:sz w:val="24"/>
              </w:rPr>
              <w:t>Контрольная точка</w:t>
            </w:r>
          </w:p>
        </w:tc>
      </w:tr>
      <w:tr>
        <w:tc>
          <w:tcPr>
            <w:tcW w:type="dxa" w:w="1938"/>
          </w:tcPr>
          <w:p>
            <w:pPr>
              <w:spacing w:line="240" w:lineRule="auto" w:before="40" w:after="40"/>
            </w:pPr>
            <w:r>
              <w:rPr>
                <w:rFonts w:ascii="Times New Roman" w:hAnsi="Times New Roman"/>
                <w:sz w:val="24"/>
              </w:rPr>
              <w:t>1</w:t>
            </w:r>
          </w:p>
        </w:tc>
        <w:tc>
          <w:tcPr>
            <w:tcW w:type="dxa" w:w="1938"/>
          </w:tcPr>
          <w:p>
            <w:pPr>
              <w:spacing w:line="240" w:lineRule="auto" w:before="40" w:after="40"/>
            </w:pPr>
            <w:r>
              <w:rPr>
                <w:rFonts w:ascii="Times New Roman" w:hAnsi="Times New Roman"/>
                <w:sz w:val="24"/>
              </w:rPr>
              <w:t>Ноябрь–</w:t>
              <w:br/>
              <w:t>Декабрь 2025</w:t>
            </w:r>
          </w:p>
        </w:tc>
        <w:tc>
          <w:tcPr>
            <w:tcW w:type="dxa" w:w="1938"/>
          </w:tcPr>
          <w:p>
            <w:pPr>
              <w:spacing w:line="240" w:lineRule="auto" w:before="40" w:after="40"/>
            </w:pPr>
            <w:r>
              <w:rPr>
                <w:rFonts w:ascii="Times New Roman" w:hAnsi="Times New Roman"/>
                <w:sz w:val="24"/>
              </w:rPr>
              <w:t>Проектирование схемы БД, настройка соединения, реализация модуля авторизации, ролевой модели, базового интерфейса и CRUD-операций по КРД</w:t>
            </w:r>
          </w:p>
        </w:tc>
        <w:tc>
          <w:tcPr>
            <w:tcW w:type="dxa" w:w="1938"/>
          </w:tcPr>
          <w:p>
            <w:pPr>
              <w:spacing w:line="240" w:lineRule="auto" w:before="40" w:after="40"/>
            </w:pPr>
            <w:r>
              <w:rPr>
                <w:rFonts w:ascii="Times New Roman" w:hAnsi="Times New Roman"/>
                <w:sz w:val="24"/>
              </w:rPr>
              <w:t>Работоспособное ядро системы с возможностью создания, редактирования и удаления записей</w:t>
            </w:r>
          </w:p>
        </w:tc>
        <w:tc>
          <w:tcPr>
            <w:tcW w:type="dxa" w:w="1938"/>
          </w:tcPr>
          <w:p>
            <w:pPr>
              <w:spacing w:line="240" w:lineRule="auto" w:before="40" w:after="40"/>
            </w:pPr>
            <w:r>
              <w:rPr>
                <w:rFonts w:ascii="Times New Roman" w:hAnsi="Times New Roman"/>
                <w:sz w:val="24"/>
              </w:rPr>
              <w:t>Демонстрация ядра системы</w:t>
            </w:r>
          </w:p>
        </w:tc>
      </w:tr>
      <w:tr>
        <w:tc>
          <w:tcPr>
            <w:tcW w:type="dxa" w:w="1938"/>
          </w:tcPr>
          <w:p>
            <w:pPr>
              <w:spacing w:line="240" w:lineRule="auto" w:before="40" w:after="40"/>
            </w:pPr>
            <w:r>
              <w:rPr>
                <w:rFonts w:ascii="Times New Roman" w:hAnsi="Times New Roman"/>
                <w:sz w:val="24"/>
              </w:rPr>
              <w:t>2</w:t>
            </w:r>
          </w:p>
        </w:tc>
        <w:tc>
          <w:tcPr>
            <w:tcW w:type="dxa" w:w="1938"/>
          </w:tcPr>
          <w:p>
            <w:pPr>
              <w:spacing w:line="240" w:lineRule="auto" w:before="40" w:after="40"/>
            </w:pPr>
            <w:r>
              <w:rPr>
                <w:rFonts w:ascii="Times New Roman" w:hAnsi="Times New Roman"/>
                <w:sz w:val="24"/>
              </w:rPr>
              <w:t>Декабрь 2025–</w:t>
              <w:br/>
              <w:t>Январь 2026</w:t>
            </w:r>
          </w:p>
        </w:tc>
        <w:tc>
          <w:tcPr>
            <w:tcW w:type="dxa" w:w="1938"/>
          </w:tcPr>
          <w:p>
            <w:pPr>
              <w:spacing w:line="240" w:lineRule="auto" w:before="40" w:after="40"/>
            </w:pPr>
            <w:r>
              <w:rPr>
                <w:rFonts w:ascii="Times New Roman" w:hAnsi="Times New Roman"/>
                <w:sz w:val="24"/>
              </w:rPr>
              <w:t>Разработка модулей адресов проживания, мест службы, входящих поручений, эпизодов СОЧ. Внедрение механизма автодополнения</w:t>
            </w:r>
          </w:p>
        </w:tc>
        <w:tc>
          <w:tcPr>
            <w:tcW w:type="dxa" w:w="1938"/>
          </w:tcPr>
          <w:p>
            <w:pPr>
              <w:spacing w:line="240" w:lineRule="auto" w:before="40" w:after="40"/>
            </w:pPr>
            <w:r>
              <w:rPr>
                <w:rFonts w:ascii="Times New Roman" w:hAnsi="Times New Roman"/>
                <w:sz w:val="24"/>
              </w:rPr>
              <w:t>Расширенная карточка КРД с полной привязкой связанных сущностей</w:t>
            </w:r>
          </w:p>
        </w:tc>
        <w:tc>
          <w:tcPr>
            <w:tcW w:type="dxa" w:w="1938"/>
          </w:tcPr>
          <w:p>
            <w:pPr>
              <w:spacing w:line="240" w:lineRule="auto" w:before="40" w:after="40"/>
            </w:pPr>
            <w:r>
              <w:rPr>
                <w:rFonts w:ascii="Times New Roman" w:hAnsi="Times New Roman"/>
                <w:sz w:val="24"/>
              </w:rPr>
              <w:t>Промежуточный релиз модулей</w:t>
            </w:r>
          </w:p>
        </w:tc>
      </w:tr>
      <w:tr>
        <w:tc>
          <w:tcPr>
            <w:tcW w:type="dxa" w:w="1938"/>
          </w:tcPr>
          <w:p>
            <w:pPr>
              <w:spacing w:line="240" w:lineRule="auto" w:before="40" w:after="40"/>
            </w:pPr>
            <w:r>
              <w:rPr>
                <w:rFonts w:ascii="Times New Roman" w:hAnsi="Times New Roman"/>
                <w:sz w:val="24"/>
              </w:rPr>
              <w:t>3</w:t>
            </w:r>
          </w:p>
        </w:tc>
        <w:tc>
          <w:tcPr>
            <w:tcW w:type="dxa" w:w="1938"/>
          </w:tcPr>
          <w:p>
            <w:pPr>
              <w:spacing w:line="240" w:lineRule="auto" w:before="40" w:after="40"/>
            </w:pPr>
            <w:r>
              <w:rPr>
                <w:rFonts w:ascii="Times New Roman" w:hAnsi="Times New Roman"/>
                <w:sz w:val="24"/>
              </w:rPr>
              <w:t>Январь 2026</w:t>
            </w:r>
          </w:p>
        </w:tc>
        <w:tc>
          <w:tcPr>
            <w:tcW w:type="dxa" w:w="1938"/>
          </w:tcPr>
          <w:p>
            <w:pPr>
              <w:spacing w:line="240" w:lineRule="auto" w:before="40" w:after="40"/>
            </w:pPr>
            <w:r>
              <w:rPr>
                <w:rFonts w:ascii="Times New Roman" w:hAnsi="Times New Roman"/>
                <w:sz w:val="24"/>
              </w:rPr>
              <w:t>Создание генератора документов (.docx), реализация динамического маппинга переменных шаблонов, поддержка составных полей через JSONB</w:t>
            </w:r>
          </w:p>
        </w:tc>
        <w:tc>
          <w:tcPr>
            <w:tcW w:type="dxa" w:w="1938"/>
          </w:tcPr>
          <w:p>
            <w:pPr>
              <w:spacing w:line="240" w:lineRule="auto" w:before="40" w:after="40"/>
            </w:pPr>
            <w:r>
              <w:rPr>
                <w:rFonts w:ascii="Times New Roman" w:hAnsi="Times New Roman"/>
                <w:sz w:val="24"/>
              </w:rPr>
              <w:t>Автоматизация процессуального документооборота</w:t>
            </w:r>
          </w:p>
        </w:tc>
        <w:tc>
          <w:tcPr>
            <w:tcW w:type="dxa" w:w="1938"/>
          </w:tcPr>
          <w:p>
            <w:pPr>
              <w:spacing w:line="240" w:lineRule="auto" w:before="40" w:after="40"/>
            </w:pPr>
            <w:r>
              <w:rPr>
                <w:rFonts w:ascii="Times New Roman" w:hAnsi="Times New Roman"/>
                <w:sz w:val="24"/>
              </w:rPr>
              <w:t>Тестирование генератора</w:t>
            </w:r>
          </w:p>
        </w:tc>
      </w:tr>
      <w:tr>
        <w:tc>
          <w:tcPr>
            <w:tcW w:type="dxa" w:w="1938"/>
          </w:tcPr>
          <w:p>
            <w:pPr>
              <w:spacing w:line="240" w:lineRule="auto" w:before="40" w:after="40"/>
            </w:pPr>
            <w:r>
              <w:rPr>
                <w:rFonts w:ascii="Times New Roman" w:hAnsi="Times New Roman"/>
                <w:sz w:val="24"/>
              </w:rPr>
              <w:t>4</w:t>
            </w:r>
          </w:p>
        </w:tc>
        <w:tc>
          <w:tcPr>
            <w:tcW w:type="dxa" w:w="1938"/>
          </w:tcPr>
          <w:p>
            <w:pPr>
              <w:spacing w:line="240" w:lineRule="auto" w:before="40" w:after="40"/>
            </w:pPr>
            <w:r>
              <w:rPr>
                <w:rFonts w:ascii="Times New Roman" w:hAnsi="Times New Roman"/>
                <w:sz w:val="24"/>
              </w:rPr>
              <w:t>Февраль 2026</w:t>
            </w:r>
          </w:p>
        </w:tc>
        <w:tc>
          <w:tcPr>
            <w:tcW w:type="dxa" w:w="1938"/>
          </w:tcPr>
          <w:p>
            <w:pPr>
              <w:spacing w:line="240" w:lineRule="auto" w:before="40" w:after="40"/>
            </w:pPr>
            <w:r>
              <w:rPr>
                <w:rFonts w:ascii="Times New Roman" w:hAnsi="Times New Roman"/>
                <w:sz w:val="24"/>
              </w:rPr>
              <w:t>Модуль экспорта отчётов в Excel, система аудита действий, корзина удалённых записей, административная панель, комплексное тестирование</w:t>
            </w:r>
          </w:p>
        </w:tc>
        <w:tc>
          <w:tcPr>
            <w:tcW w:type="dxa" w:w="1938"/>
          </w:tcPr>
          <w:p>
            <w:pPr>
              <w:spacing w:line="240" w:lineRule="auto" w:before="40" w:after="40"/>
            </w:pPr>
            <w:r>
              <w:rPr>
                <w:rFonts w:ascii="Times New Roman" w:hAnsi="Times New Roman"/>
                <w:sz w:val="24"/>
              </w:rPr>
              <w:t>Готовый к опытному внедрению ПП с полной документацией</w:t>
            </w:r>
          </w:p>
        </w:tc>
        <w:tc>
          <w:tcPr>
            <w:tcW w:type="dxa" w:w="1938"/>
          </w:tcPr>
          <w:p>
            <w:pPr>
              <w:spacing w:line="240" w:lineRule="auto" w:before="40" w:after="40"/>
            </w:pPr>
            <w:r>
              <w:rPr>
                <w:rFonts w:ascii="Times New Roman" w:hAnsi="Times New Roman"/>
                <w:sz w:val="24"/>
              </w:rPr>
              <w:t>Защита ВКР</w:t>
            </w:r>
          </w:p>
        </w:tc>
      </w:tr>
    </w:tbl>
    <w:p>
      <w:pPr>
        <w:spacing w:after="240"/>
      </w:pPr>
    </w:p>
    <w:p>
      <w:pPr>
        <w:spacing w:line="360" w:lineRule="auto" w:before="0" w:after="0"/>
        <w:ind w:firstLine="709"/>
        <w:jc w:val="both"/>
      </w:pPr>
      <w:r>
        <w:rPr>
          <w:rFonts w:ascii="Times New Roman" w:hAnsi="Times New Roman"/>
          <w:sz w:val="28"/>
        </w:rPr>
        <w:t>В рамках выбранной модели жизненного цикла предусмотрено системное управление рисками. Основные угрозы проекту классифицированы по категориям: технические, организационные и внешние. Для каждой категории сформулированы конкретные меры по снижению вероятности реализации и минимизации негативного влияния. Реестр рисков и соответствующие стратегии реагирования представлены в таблице 2.3.</w:t>
      </w:r>
    </w:p>
    <w:p>
      <w:pPr>
        <w:spacing w:after="120"/>
        <w:ind w:firstLine="709"/>
        <w:jc w:val="left"/>
      </w:pPr>
      <w:r>
        <w:rPr>
          <w:rFonts w:ascii="Times New Roman" w:hAnsi="Times New Roman"/>
          <w:b/>
          <w:sz w:val="28"/>
        </w:rPr>
        <w:t>Таблица 2.3 – Реестр рисков проекта и стратегии минимизации</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2"/>
        <w:gridCol w:w="2422"/>
        <w:gridCol w:w="2422"/>
        <w:gridCol w:w="2422"/>
      </w:tblGrid>
      <w:tr>
        <w:tc>
          <w:tcPr>
            <w:tcW w:type="dxa" w:w="2422"/>
          </w:tcPr>
          <w:p>
            <w:pPr>
              <w:spacing w:line="240" w:lineRule="auto"/>
              <w:jc w:val="center"/>
            </w:pPr>
            <w:r>
              <w:rPr>
                <w:rFonts w:ascii="Times New Roman" w:hAnsi="Times New Roman"/>
                <w:b/>
                <w:color w:val="1F3864"/>
                <w:sz w:val="24"/>
              </w:rPr>
              <w:t>№ п/п</w:t>
            </w:r>
          </w:p>
        </w:tc>
        <w:tc>
          <w:tcPr>
            <w:tcW w:type="dxa" w:w="2422"/>
          </w:tcPr>
          <w:p>
            <w:pPr>
              <w:spacing w:line="240" w:lineRule="auto"/>
              <w:jc w:val="center"/>
            </w:pPr>
            <w:r>
              <w:rPr>
                <w:rFonts w:ascii="Times New Roman" w:hAnsi="Times New Roman"/>
                <w:b/>
                <w:color w:val="1F3864"/>
                <w:sz w:val="24"/>
              </w:rPr>
              <w:t>Категория риска</w:t>
            </w:r>
          </w:p>
        </w:tc>
        <w:tc>
          <w:tcPr>
            <w:tcW w:type="dxa" w:w="2422"/>
          </w:tcPr>
          <w:p>
            <w:pPr>
              <w:spacing w:line="240" w:lineRule="auto"/>
              <w:jc w:val="center"/>
            </w:pPr>
            <w:r>
              <w:rPr>
                <w:rFonts w:ascii="Times New Roman" w:hAnsi="Times New Roman"/>
                <w:b/>
                <w:color w:val="1F3864"/>
                <w:sz w:val="24"/>
              </w:rPr>
              <w:t>Описание риска</w:t>
            </w:r>
          </w:p>
        </w:tc>
        <w:tc>
          <w:tcPr>
            <w:tcW w:type="dxa" w:w="2422"/>
            <w:shd w:fill="D9E2F3" w:val="clear"/>
          </w:tcPr>
          <w:p>
            <w:pPr>
              <w:spacing w:line="240" w:lineRule="auto"/>
              <w:jc w:val="center"/>
            </w:pPr>
            <w:r>
              <w:rPr>
                <w:rFonts w:ascii="Times New Roman" w:hAnsi="Times New Roman"/>
                <w:b/>
                <w:color w:val="1F3864"/>
                <w:sz w:val="24"/>
              </w:rPr>
              <w:t>Стратегия минимизации</w:t>
            </w:r>
          </w:p>
        </w:tc>
      </w:tr>
      <w:tr>
        <w:tc>
          <w:tcPr>
            <w:tcW w:type="dxa" w:w="2422"/>
          </w:tcPr>
          <w:p>
            <w:pPr>
              <w:spacing w:line="240" w:lineRule="auto" w:before="40" w:after="40"/>
            </w:pPr>
            <w:r>
              <w:rPr>
                <w:rFonts w:ascii="Times New Roman" w:hAnsi="Times New Roman"/>
                <w:sz w:val="24"/>
              </w:rPr>
              <w:t>1</w:t>
            </w:r>
          </w:p>
        </w:tc>
        <w:tc>
          <w:tcPr>
            <w:tcW w:type="dxa" w:w="2422"/>
          </w:tcPr>
          <w:p>
            <w:pPr>
              <w:spacing w:line="240" w:lineRule="auto" w:before="40" w:after="40"/>
            </w:pPr>
            <w:r>
              <w:rPr>
                <w:rFonts w:ascii="Times New Roman" w:hAnsi="Times New Roman"/>
                <w:sz w:val="24"/>
              </w:rPr>
              <w:t>Технические</w:t>
            </w:r>
          </w:p>
        </w:tc>
        <w:tc>
          <w:tcPr>
            <w:tcW w:type="dxa" w:w="2422"/>
          </w:tcPr>
          <w:p>
            <w:pPr>
              <w:spacing w:line="240" w:lineRule="auto" w:before="40" w:after="40"/>
            </w:pPr>
            <w:r>
              <w:rPr>
                <w:rFonts w:ascii="Times New Roman" w:hAnsi="Times New Roman"/>
                <w:sz w:val="24"/>
              </w:rPr>
              <w:t>Нестабильность работы компонентов клиент-серверного взаимодействия и драйверов баз данных</w:t>
            </w:r>
          </w:p>
        </w:tc>
        <w:tc>
          <w:tcPr>
            <w:tcW w:type="dxa" w:w="2422"/>
          </w:tcPr>
          <w:p>
            <w:pPr>
              <w:spacing w:line="240" w:lineRule="auto" w:before="40" w:after="40"/>
            </w:pPr>
            <w:r>
              <w:rPr>
                <w:rFonts w:ascii="Times New Roman" w:hAnsi="Times New Roman"/>
                <w:sz w:val="24"/>
              </w:rPr>
              <w:t>Использование подготовленных запросов, обработка исключений, кэширование соединений, регулярное профилирование кода</w:t>
            </w:r>
          </w:p>
        </w:tc>
      </w:tr>
      <w:tr>
        <w:tc>
          <w:tcPr>
            <w:tcW w:type="dxa" w:w="2422"/>
          </w:tcPr>
          <w:p>
            <w:pPr>
              <w:spacing w:line="240" w:lineRule="auto" w:before="40" w:after="40"/>
            </w:pPr>
            <w:r>
              <w:rPr>
                <w:rFonts w:ascii="Times New Roman" w:hAnsi="Times New Roman"/>
                <w:sz w:val="24"/>
              </w:rPr>
              <w:t>2</w:t>
            </w:r>
          </w:p>
        </w:tc>
        <w:tc>
          <w:tcPr>
            <w:tcW w:type="dxa" w:w="2422"/>
          </w:tcPr>
          <w:p>
            <w:pPr>
              <w:spacing w:line="240" w:lineRule="auto" w:before="40" w:after="40"/>
            </w:pPr>
            <w:r>
              <w:rPr>
                <w:rFonts w:ascii="Times New Roman" w:hAnsi="Times New Roman"/>
                <w:sz w:val="24"/>
              </w:rPr>
              <w:t>Технические</w:t>
            </w:r>
          </w:p>
        </w:tc>
        <w:tc>
          <w:tcPr>
            <w:tcW w:type="dxa" w:w="2422"/>
          </w:tcPr>
          <w:p>
            <w:pPr>
              <w:spacing w:line="240" w:lineRule="auto" w:before="40" w:after="40"/>
            </w:pPr>
            <w:r>
              <w:rPr>
                <w:rFonts w:ascii="Times New Roman" w:hAnsi="Times New Roman"/>
                <w:sz w:val="24"/>
              </w:rPr>
              <w:t>Ошибки при хранении и обработке больших объёмов бинарных данных (фотографии, документы)</w:t>
            </w:r>
          </w:p>
        </w:tc>
        <w:tc>
          <w:tcPr>
            <w:tcW w:type="dxa" w:w="2422"/>
          </w:tcPr>
          <w:p>
            <w:pPr>
              <w:spacing w:line="240" w:lineRule="auto" w:before="40" w:after="40"/>
            </w:pPr>
            <w:r>
              <w:rPr>
                <w:rFonts w:ascii="Times New Roman" w:hAnsi="Times New Roman"/>
                <w:sz w:val="24"/>
              </w:rPr>
              <w:t>Применение оптимизированных типов данных, валидация размера файлов перед загрузкой, регулярное резервное копирование</w:t>
            </w:r>
          </w:p>
        </w:tc>
      </w:tr>
      <w:tr>
        <w:tc>
          <w:tcPr>
            <w:tcW w:type="dxa" w:w="2422"/>
          </w:tcPr>
          <w:p>
            <w:pPr>
              <w:spacing w:line="240" w:lineRule="auto" w:before="40" w:after="40"/>
            </w:pPr>
            <w:r>
              <w:rPr>
                <w:rFonts w:ascii="Times New Roman" w:hAnsi="Times New Roman"/>
                <w:sz w:val="24"/>
              </w:rPr>
              <w:t>3</w:t>
            </w:r>
          </w:p>
        </w:tc>
        <w:tc>
          <w:tcPr>
            <w:tcW w:type="dxa" w:w="2422"/>
          </w:tcPr>
          <w:p>
            <w:pPr>
              <w:spacing w:line="240" w:lineRule="auto" w:before="40" w:after="40"/>
            </w:pPr>
            <w:r>
              <w:rPr>
                <w:rFonts w:ascii="Times New Roman" w:hAnsi="Times New Roman"/>
                <w:sz w:val="24"/>
              </w:rPr>
              <w:t>Технические</w:t>
            </w:r>
          </w:p>
        </w:tc>
        <w:tc>
          <w:tcPr>
            <w:tcW w:type="dxa" w:w="2422"/>
          </w:tcPr>
          <w:p>
            <w:pPr>
              <w:spacing w:line="240" w:lineRule="auto" w:before="40" w:after="40"/>
            </w:pPr>
            <w:r>
              <w:rPr>
                <w:rFonts w:ascii="Times New Roman" w:hAnsi="Times New Roman"/>
                <w:sz w:val="24"/>
              </w:rPr>
              <w:t>Утечка системных ресурсов (оперативная память, процессорное время) при длительной эксплуатации</w:t>
            </w:r>
          </w:p>
        </w:tc>
        <w:tc>
          <w:tcPr>
            <w:tcW w:type="dxa" w:w="2422"/>
          </w:tcPr>
          <w:p>
            <w:pPr>
              <w:spacing w:line="240" w:lineRule="auto" w:before="40" w:after="40"/>
            </w:pPr>
            <w:r>
              <w:rPr>
                <w:rFonts w:ascii="Times New Roman" w:hAnsi="Times New Roman"/>
                <w:sz w:val="24"/>
              </w:rPr>
              <w:t>Контроль потребления ресурсов, своевременное освобождение неиспользуемых объектов, оптимизация алгоритмов отрисовки интерфейса</w:t>
            </w:r>
          </w:p>
        </w:tc>
      </w:tr>
      <w:tr>
        <w:tc>
          <w:tcPr>
            <w:tcW w:type="dxa" w:w="2422"/>
          </w:tcPr>
          <w:p>
            <w:pPr>
              <w:spacing w:line="240" w:lineRule="auto" w:before="40" w:after="40"/>
            </w:pPr>
            <w:r>
              <w:rPr>
                <w:rFonts w:ascii="Times New Roman" w:hAnsi="Times New Roman"/>
                <w:sz w:val="24"/>
              </w:rPr>
              <w:t>4</w:t>
            </w:r>
          </w:p>
        </w:tc>
        <w:tc>
          <w:tcPr>
            <w:tcW w:type="dxa" w:w="2422"/>
          </w:tcPr>
          <w:p>
            <w:pPr>
              <w:spacing w:line="240" w:lineRule="auto" w:before="40" w:after="40"/>
            </w:pPr>
            <w:r>
              <w:rPr>
                <w:rFonts w:ascii="Times New Roman" w:hAnsi="Times New Roman"/>
                <w:sz w:val="24"/>
              </w:rPr>
              <w:t>Организационные</w:t>
            </w:r>
          </w:p>
        </w:tc>
        <w:tc>
          <w:tcPr>
            <w:tcW w:type="dxa" w:w="2422"/>
          </w:tcPr>
          <w:p>
            <w:pPr>
              <w:spacing w:line="240" w:lineRule="auto" w:before="40" w:after="40"/>
            </w:pPr>
            <w:r>
              <w:rPr>
                <w:rFonts w:ascii="Times New Roman" w:hAnsi="Times New Roman"/>
                <w:sz w:val="24"/>
              </w:rPr>
              <w:t>Задержки в предоставлении или существенное изменение требований в ходе разработки</w:t>
            </w:r>
          </w:p>
        </w:tc>
        <w:tc>
          <w:tcPr>
            <w:tcW w:type="dxa" w:w="2422"/>
          </w:tcPr>
          <w:p>
            <w:pPr>
              <w:spacing w:line="240" w:lineRule="auto" w:before="40" w:after="40"/>
            </w:pPr>
            <w:r>
              <w:rPr>
                <w:rFonts w:ascii="Times New Roman" w:hAnsi="Times New Roman"/>
                <w:sz w:val="24"/>
              </w:rPr>
              <w:t>Еженедельный контроль промежуточных результатов с научным руководителем, фиксация изменений в документации, итеративное согласование</w:t>
            </w:r>
          </w:p>
        </w:tc>
      </w:tr>
      <w:tr>
        <w:tc>
          <w:tcPr>
            <w:tcW w:type="dxa" w:w="2422"/>
          </w:tcPr>
          <w:p>
            <w:pPr>
              <w:spacing w:line="240" w:lineRule="auto" w:before="40" w:after="40"/>
            </w:pPr>
            <w:r>
              <w:rPr>
                <w:rFonts w:ascii="Times New Roman" w:hAnsi="Times New Roman"/>
                <w:sz w:val="24"/>
              </w:rPr>
              <w:t>5</w:t>
            </w:r>
          </w:p>
        </w:tc>
        <w:tc>
          <w:tcPr>
            <w:tcW w:type="dxa" w:w="2422"/>
          </w:tcPr>
          <w:p>
            <w:pPr>
              <w:spacing w:line="240" w:lineRule="auto" w:before="40" w:after="40"/>
            </w:pPr>
            <w:r>
              <w:rPr>
                <w:rFonts w:ascii="Times New Roman" w:hAnsi="Times New Roman"/>
                <w:sz w:val="24"/>
              </w:rPr>
              <w:t>Организационные</w:t>
            </w:r>
          </w:p>
        </w:tc>
        <w:tc>
          <w:tcPr>
            <w:tcW w:type="dxa" w:w="2422"/>
          </w:tcPr>
          <w:p>
            <w:pPr>
              <w:spacing w:line="240" w:lineRule="auto" w:before="40" w:after="40"/>
            </w:pPr>
            <w:r>
              <w:rPr>
                <w:rFonts w:ascii="Times New Roman" w:hAnsi="Times New Roman"/>
                <w:sz w:val="24"/>
              </w:rPr>
              <w:t>Недостаточная репрезентативность тестовых данных для имитации реальных условий эксплуатации</w:t>
            </w:r>
          </w:p>
        </w:tc>
        <w:tc>
          <w:tcPr>
            <w:tcW w:type="dxa" w:w="2422"/>
          </w:tcPr>
          <w:p>
            <w:pPr>
              <w:spacing w:line="240" w:lineRule="auto" w:before="40" w:after="40"/>
            </w:pPr>
            <w:r>
              <w:rPr>
                <w:rFonts w:ascii="Times New Roman" w:hAnsi="Times New Roman"/>
                <w:sz w:val="24"/>
              </w:rPr>
              <w:t>Использование генераторов синтетических данных, привлечение потенциальных пользователей к приёмочным испытаниям</w:t>
            </w:r>
          </w:p>
        </w:tc>
      </w:tr>
      <w:tr>
        <w:tc>
          <w:tcPr>
            <w:tcW w:type="dxa" w:w="2422"/>
          </w:tcPr>
          <w:p>
            <w:pPr>
              <w:spacing w:line="240" w:lineRule="auto" w:before="40" w:after="40"/>
            </w:pPr>
            <w:r>
              <w:rPr>
                <w:rFonts w:ascii="Times New Roman" w:hAnsi="Times New Roman"/>
                <w:sz w:val="24"/>
              </w:rPr>
              <w:t>6</w:t>
            </w:r>
          </w:p>
        </w:tc>
        <w:tc>
          <w:tcPr>
            <w:tcW w:type="dxa" w:w="2422"/>
          </w:tcPr>
          <w:p>
            <w:pPr>
              <w:spacing w:line="240" w:lineRule="auto" w:before="40" w:after="40"/>
            </w:pPr>
            <w:r>
              <w:rPr>
                <w:rFonts w:ascii="Times New Roman" w:hAnsi="Times New Roman"/>
                <w:sz w:val="24"/>
              </w:rPr>
              <w:t>Внешние</w:t>
            </w:r>
          </w:p>
        </w:tc>
        <w:tc>
          <w:tcPr>
            <w:tcW w:type="dxa" w:w="2422"/>
          </w:tcPr>
          <w:p>
            <w:pPr>
              <w:spacing w:line="240" w:lineRule="auto" w:before="40" w:after="40"/>
            </w:pPr>
            <w:r>
              <w:rPr>
                <w:rFonts w:ascii="Times New Roman" w:hAnsi="Times New Roman"/>
                <w:sz w:val="24"/>
              </w:rPr>
              <w:t>Изменения в нормативно-правовой базе или ужесточение требований информационной безопасности</w:t>
            </w:r>
          </w:p>
        </w:tc>
        <w:tc>
          <w:tcPr>
            <w:tcW w:type="dxa" w:w="2422"/>
          </w:tcPr>
          <w:p>
            <w:pPr>
              <w:spacing w:line="240" w:lineRule="auto" w:before="40" w:after="40"/>
            </w:pPr>
            <w:r>
              <w:rPr>
                <w:rFonts w:ascii="Times New Roman" w:hAnsi="Times New Roman"/>
                <w:sz w:val="24"/>
              </w:rPr>
              <w:t>Применение модульной архитектуры, позволяющей быстро адаптировать компоненты под новые регламенты без переписывания ядра системы</w:t>
            </w:r>
          </w:p>
        </w:tc>
      </w:tr>
      <w:tr>
        <w:tc>
          <w:tcPr>
            <w:tcW w:type="dxa" w:w="2422"/>
          </w:tcPr>
          <w:p>
            <w:pPr>
              <w:spacing w:line="240" w:lineRule="auto" w:before="40" w:after="40"/>
            </w:pPr>
            <w:r>
              <w:rPr>
                <w:rFonts w:ascii="Times New Roman" w:hAnsi="Times New Roman"/>
                <w:sz w:val="24"/>
              </w:rPr>
              <w:t>7</w:t>
            </w:r>
          </w:p>
        </w:tc>
        <w:tc>
          <w:tcPr>
            <w:tcW w:type="dxa" w:w="2422"/>
          </w:tcPr>
          <w:p>
            <w:pPr>
              <w:spacing w:line="240" w:lineRule="auto" w:before="40" w:after="40"/>
            </w:pPr>
            <w:r>
              <w:rPr>
                <w:rFonts w:ascii="Times New Roman" w:hAnsi="Times New Roman"/>
                <w:sz w:val="24"/>
              </w:rPr>
              <w:t>Внешние</w:t>
            </w:r>
          </w:p>
        </w:tc>
        <w:tc>
          <w:tcPr>
            <w:tcW w:type="dxa" w:w="2422"/>
          </w:tcPr>
          <w:p>
            <w:pPr>
              <w:spacing w:line="240" w:lineRule="auto" w:before="40" w:after="40"/>
            </w:pPr>
            <w:r>
              <w:rPr>
                <w:rFonts w:ascii="Times New Roman" w:hAnsi="Times New Roman"/>
                <w:sz w:val="24"/>
              </w:rPr>
              <w:t>Несовместимость программного обеспечения с целевыми операционными системами в изолированном контуре</w:t>
            </w:r>
          </w:p>
        </w:tc>
        <w:tc>
          <w:tcPr>
            <w:tcW w:type="dxa" w:w="2422"/>
          </w:tcPr>
          <w:p>
            <w:pPr>
              <w:spacing w:line="240" w:lineRule="auto" w:before="40" w:after="40"/>
            </w:pPr>
            <w:r>
              <w:rPr>
                <w:rFonts w:ascii="Times New Roman" w:hAnsi="Times New Roman"/>
                <w:sz w:val="24"/>
              </w:rPr>
              <w:t>Проектирование с учётом принципов кроссплатформенности, тестирование на сертифицированных отечественных ОС, использование открытых стандартов</w:t>
            </w:r>
          </w:p>
        </w:tc>
      </w:tr>
    </w:tbl>
    <w:p>
      <w:pPr>
        <w:spacing w:after="240"/>
      </w:pPr>
    </w:p>
    <w:p>
      <w:pPr>
        <w:spacing w:line="360" w:lineRule="auto" w:before="0" w:after="0"/>
        <w:ind w:firstLine="709"/>
        <w:jc w:val="both"/>
      </w:pPr>
      <w:r>
        <w:rPr>
          <w:rFonts w:ascii="Times New Roman" w:hAnsi="Times New Roman"/>
          <w:sz w:val="28"/>
        </w:rPr>
        <w:t>Контроль качества осуществляется на всех этапах жизненного цикла и включает независимое ревью кода, модульное и интеграционное тестирование, а также проверку соответствия разрабатываемого продукта требованиям информационной безопасности (криптографическая защита паролей, ролевая модель доступа, развёртывание в изолированной сети). Данная модель обеспечивает оптимальное соотношение между академическими требованиями, практической ценностью и технической реализуемостью проекта.</w:t>
      </w:r>
    </w:p>
    <w:sectPr w:rsidR="00FC693F" w:rsidRPr="0006063C" w:rsidSect="00034616">
      <w:pgSz w:w="12240" w:h="15840"/>
      <w:pgMar w:top="1134" w:right="850" w:bottom="1134"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