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Times New Roman" w:hAnsi="Times New Roman"/>
          <w:b/>
          <w:sz w:val="28"/>
        </w:rPr>
        <w:t>2.4 Проектирование пользовательского интерфейса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Проектирование пользовательского интерфейса (UI) разрабатываемого автоматизированного рабочего места (АРМ) осуществлялось с учётом принципов эргономики, минимизации когнитивной нагрузки и требований к интуитивности навигации. Архитектура интерфейса построена на адаптации паттерна Model-View-Controller (MVC) в рамках фреймворка PyQt6. Основной акцент сделан на табличных представлениях данных с поддержкой динамического поиска, сортировки по столбцам и контекстных меню, что соответствует привычному workflow сотрудника отдела дознания.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Все формы ввода реализуют строгую валидацию обязательных полей перед сохранением. Текстовые поля оснащены механизмом автодополнения на основе исторических данных из БД. При работе с изображениями предусмотрен предпросмотр, масштабирование до 180×240 px с сохранением пропорций и проверка размера файла (≤ 5 МБ). Закрытие окон с несохранёнными изменениями вызывает диалог подтверждения для предотвращения потери данных. Ниже представлены детальные прототипы всех основных окон системы.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8"/>
        </w:rPr>
        <w:t>Рисунок 2.8 – Окно авторизации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Стартовый экран приложения. Предназначен для безопасного входа в систему. Состоит из полей ввода логина и пароля, кнопки «Войти» для отправки запроса аутентификации и кнопки «Настройки» для изменения параметров подключения к СУБД. Пароли передаются в захешированном виде, интерфейс блокируется на время проверки учётных данных.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36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6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8"/>
        </w:rPr>
        <w:t>Рисунок 2.8 – Прототип окна авторизации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8"/>
        </w:rPr>
        <w:t>Рисунок 2.9 – Главное окно: Список КРД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Центральный рабочий экран оператора. Содержит таблицу карточек розыска с полями поиска, панель инструментов с кнопками быстрого доступа (Добавить, Отчёты) и статусную строку. Механизм debounce предотвращает лишние запросы к БД при быстром вводе. Контекстное меню по правой кнопке мыши позволяет быстро менять статус записи без открытия детальной формы.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4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8"/>
        </w:rPr>
        <w:t>Рисунок 2.9 – Прототип главного окна: Список КРД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8"/>
        </w:rPr>
        <w:t>Рисунок 2.10 – Окно добавления новой КРД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Модальное диалоговое окно для первичной регистрации карточки розыска. Содержит поля ввода ФИО (обязательные), выбор воинского звания из справочника, дату рождения и блок загрузки фотографий. Валидация блокирует кнопку «Создать КРД» до корректного заполнения формы. После успешного сохранения происходит автоматическое перенаправление в окно детального просмотра.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030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8"/>
        </w:rPr>
        <w:t>Рисунок 2.10 – Прототип окна добавления КРД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8"/>
        </w:rPr>
        <w:t>Рисунок 2.11 – Окно детального просмотра КРД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Основной интерфейс работы с данными конкретной карточки. Содержит верхнюю панель управления статусом, вкладочную навигацию (QTabWidget) с 7 разделами и панель действий (Сохранить, Закрыть). Каждая вкладка инкапсулирует свою логику загрузки, валидации и сохранения данных. При переключении вкладок данные предыдущего раздела автосохраняются с задержкой 400 мс.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4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8"/>
        </w:rPr>
        <w:t>Рисунок 2.11 – Прототип окна детального просмотра КРД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8"/>
        </w:rPr>
        <w:t>Рисунок 2.12 – Вкладка: Социально-демографические данные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Содержит основную информацию о военнослужащем. Включает поля ввода паспортных данных (с масками ввода серии/номера), выпадающие списки для категорий и званий, многострочные поля для особых примет и контактов. Реализован предпросмотр 4-х типов фотографий с возможностью загрузки/выгрузки. Все поля синхронизируются с БД через QSqlTableModel.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030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8"/>
        </w:rPr>
        <w:t>Рисунок 2.12 – Прототип вкладки социальных данных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8"/>
        </w:rPr>
        <w:t>Рисунок 2.13 – Диалог добавления адреса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Модальное окно для внесения сведений о месте проживания. Содержит поля адресной структуры (Регион, Город, Улица, Дом, Кв.) с поддержкой автодополнения из исторических записей. Поле «Город» помечено как обязательное. Окно поддерживает режимы создания новой записи и редактирования существующей с автоматическим обновлением таблицы на родительской вкладке.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113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8"/>
        </w:rPr>
        <w:t>Рисунок 2.13 – Прототип диалога добавления адреса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8"/>
        </w:rPr>
        <w:t>Рисунок 2.14 – Редактор сопоставлений полей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Инструмент динамической настройки генератора документов. Позволяет связать переменные из шаблона Word (например, {{surname}}) с конкретными столбцами БД. Поддерживает простые (один-к-одному) и составные поля (объединение нескольких столбцов через разделитель). Конфигурация сохраняется в формате JSONB, что позволяет изменять структуру отчётов без модификации схемы базы данных.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49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8"/>
        </w:rPr>
        <w:t>Рисунок 2.14 – Прототип редактора сопоставлений полей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8"/>
        </w:rPr>
        <w:t>Рисунок 2.15 – Вкладка: Генерация документов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Центр автоматизации документооборота. Содержит выбор шаблона из списка, поле выбора адресата запроса и панель предпросмотра. Кнопка «Сформировать и сохранить» запускает парсинг шаблона, подстановку данных из контекста и запись результата в поле BYTEA. Поддерживается массовый экспорт выбранных КРД в Excel с автоматическим форматированием.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49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8"/>
        </w:rPr>
        <w:t>Рисунок 2.15 – Прототип вкладки генерации документов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8"/>
        </w:rPr>
        <w:t>Рисунок 2.16 – Управление шаблонами документов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Модуль администрирования библиографии бланков. Представляет собой таблицу с кнопками CRUD-операций. Позволяет загрузить новый .docx файл, отредактировать метаданные (название, описание), скачать текущую версию или пометить шаблон как удалённый. Интегрирован с генератором для динамического обновления списка доступных бланков.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89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8"/>
        </w:rPr>
        <w:t>Рисунок 2.16 – Прототип окна управления шаблонами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8"/>
        </w:rPr>
        <w:t>Рисунок 2.17 – Список исходящих запросов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Реестр сформированных и отправленных запросов во внешние органы (ЗАГС, ГИБДД и др.). Содержит фильтры по адресату и дате. Отображает статус ответа («Ожидание», «Получен»). Двойной клик открывает детальный диалог, позволяющий выгрузить исходный документ или загрузить полученный ответ из файла в систему.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89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8"/>
        </w:rPr>
        <w:t>Рисунок 2.17 – Прототип списка исходящих запросов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8"/>
        </w:rPr>
        <w:t>Рисунок 2.18 – Управление пользователями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Административная панель, доступная только роли `admin`. Позволяет создавать учётные записи, назначать роли (Дознаватель, Администратор), сбрасывать пароли и блокировать доступ. Форма редактирования содержит валидаторы сложности пароля и проверки на уникальность логина.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49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8"/>
        </w:rPr>
        <w:t>Рисунок 2.18 – Прототип окна управления пользователями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8"/>
        </w:rPr>
        <w:t>Рисунок 2.19 – Конфигуратор шаблона отчёта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Визуальный конструктор настроек массового экспорта в Excel. Позволяет выбрать название отчёта и отметить галочками секции данных, которые необходимо включить в итоговый файл (Социальные данные, Адреса, Эпизоды СОЧ и т.д.). Конфигурация сохраняется в БД для повторного использования без перенастройки.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49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8"/>
        </w:rPr>
        <w:t>Рисунок 2.19 – Прототип конфигуратора отчёта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8"/>
        </w:rPr>
        <w:t>Рисунок 2.20 – Настройки темы оформления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Модуль персонализации интерфейса. Позволяет пользователю выбрать цветовую палитру (фон, текст, цвета кнопок ролей) и размер шрифта. Изменения применяются глобально через QSS (Qt Style Sheets) и сохраняются в таблице `user_settings` в формате JSON. Кнопка «Сброс» возвращает стандартную светлую тему.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49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8"/>
        </w:rPr>
        <w:t>Рисунок 2.20 – Прототип окна настроек темы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8"/>
        </w:rPr>
        <w:t>Рисунок 2.21 – Аудит действий пользователей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Журнал безопасности, фиксирующий все операции в системе. Отображает временную метку, имя пользователя, тип действия (CREATE, UPDATE, DELETE, LOGIN), таблицу, ID записи и описание. Фильтры позволяют быстро найти изменения по конкретному пользователю или периоду. Поддерживается экспорт лога в CSV для внешних проверок.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49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8"/>
        </w:rPr>
        <w:t>Рисунок 2.21 – Прототип окна аудита действий</w:t>
      </w:r>
    </w:p>
    <w:p>
      <w:pPr>
        <w:spacing w:before="120" w:after="120"/>
        <w:ind w:firstLine="709"/>
      </w:pPr>
      <w:r>
        <w:rPr>
          <w:rFonts w:ascii="Times New Roman" w:hAnsi="Times New Roman"/>
          <w:b/>
          <w:sz w:val="28"/>
        </w:rPr>
        <w:t>Рисунок 2.22 – Просмотр удалённых записей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Модуль «Корзина» для восстановления ошибочно удалённых данных. Отображает записи с флагом `is_deleted = TRUE`. Содержит фильтры по типу сущности (КРД, Шаблоны, Запросы) и периоду удаления. Кнопка «Восстановить» сбрасывает флаг удаления и метаданные, возвращая объект в активный рабочий контур.</w:t>
      </w:r>
    </w:p>
    <w:p>
      <w:pPr>
        <w:spacing w:after="120"/>
      </w:pP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49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8"/>
        </w:rPr>
        <w:t>Рисунок 2.22 – Прототип окна просмотра удалённых записей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Таким образом, спроектированный интерфейс обеспечивает полное покрытие всех функциональных требований АРМ. Интуитивная навигация, строгая валидация, поддержка динамических шаблонов и механизмы безопасности позволяют минимизировать влияние человеческого фактора и повысить эффективность работы сотрудника отдела дознания.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