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240" w:lineRule="auto"/>
        <w:jc w:val="center"/>
      </w:pPr>
      <w:r>
        <w:rPr>
          <w:rFonts w:ascii="Times New Roman" w:hAnsi="Times New Roman"/>
          <w:b/>
          <w:sz w:val="28"/>
        </w:rPr>
        <w:t>3. Программная реализация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Программная реализация автоматизированного рабочего места (АРМ) сотрудника отдела дознания выполнена на языке программирования Python 3.10+ с использованием объектно-ориентированной парадигмы и архитектурного паттерна Model-View-Controller (MVC). Кодовая база структурирована по модульному принципу: каждый компонент системы инкапсулирует определённую функциональность и взаимодействует с остальными частями через строго типизированные интерфейсы. Такой подход обеспечивает высокую степень переиспользования кода, упрощает процесс отладки, модульного тестирования и дальнейшего сопровождения программного продукта. Все классы соответствуют принципам слабой связанности (Low Coupling) и высокого зацепления (High Cohesion), что гарантирует устойчивость системы к изменениям бизнес-требований и нормативных регламентов.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 Реализация ключевых модулей программного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Ядро системы сформировано из четырёх независимых подсистем, обеспечивающих полный цикл обработки данных: журналирование аудита, генерацию процессуальных документов, массовый экспорт отчётности и интеллектуальное автодополнение полей. Архитектура модулей и их взаимосвязи визуализированы на диаграмме классов (Рисунок 3.1). Соответствие логических компонентов и файлов проекта представлено в таблице 3.1. В рамках данного раздела приводятся описания алгоритмов, ключевые фрагменты исходного кода (объём листингов не превышает 30% от текста раздела) и обоснование выбранных технических решений.</w:t>
      </w:r>
    </w:p>
    <w:p>
      <w:pPr>
        <w:spacing w:after="120"/>
      </w:pPr>
    </w:p>
    <w:p>
      <w:pPr>
        <w:spacing w:after="120"/>
        <w:ind w:firstLine="709"/>
        <w:jc w:val="left"/>
      </w:pPr>
      <w:r>
        <w:rPr>
          <w:rFonts w:ascii="Times New Roman" w:hAnsi="Times New Roman"/>
          <w:b/>
          <w:sz w:val="28"/>
        </w:rPr>
        <w:t>Таблица 3.1 – Соответствие логических модулей и файлов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Логический модуль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Файл реализации</w:t>
            </w:r>
          </w:p>
        </w:tc>
        <w:tc>
          <w:tcPr>
            <w:tcW w:type="dxa" w:w="2422"/>
            <w:shd w:fill="D9E2F3" w:val="clea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color w:val="1F3864"/>
                <w:sz w:val="24"/>
              </w:rPr>
              <w:t>Назначение и ключевые технологии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Модуль аудита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audit_logger.py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Фиксация всех операций пользователей с сохранением diff-значений в JSONB. Интеграция с PyQt6 и QSqlQuery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Генератор документов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doc_generation_engine.py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Парсинг шаблонов .docx, подстановка {{field}}, работа с составными полями и BYTEA. Использует python-docx, re, tempfile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Экспорт в Excel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export_helper.py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Динамический выбор секций отчёта, вставка изображений из БД, автоформатирование. Базируется на openpyxl и Pillow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Автодополнение полей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autocomplete_helper.py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Кэширование уникальных значений, асинхронная загрузка, интеграция с QCompleter. Оптимизация для 1000+ записей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Менеджер маппингов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field_mapping_manager.py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CRUD для конфигурации сопоставления переменных шаблонов со столбцами БД. Работа с JSONB-структурами</w:t>
            </w:r>
          </w:p>
        </w:tc>
      </w:tr>
      <w:tr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Композитные поля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composite_field_widget.py</w:t>
            </w:r>
          </w:p>
        </w:tc>
        <w:tc>
          <w:tcPr>
            <w:tcW w:type="dxa" w:w="2422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2"/>
              </w:rPr>
              <w:t>Динамическое формирование составных ячеек (например, адрес) через интерфейс с кнопками ±. PyQt6</w:t>
            </w:r>
          </w:p>
        </w:tc>
      </w:tr>
    </w:tbl>
    <w:p>
      <w:pPr>
        <w:spacing w:after="240"/>
      </w:pP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3.1.1 Модуль аудита действий пользователей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Модуль `AuditLogger` реализует механизм подотчётности, фиксируя все значимые действия сотрудников в журнале `krd.audit_log`. Ключевой особенностью реализации является сохранение старых и новых значений изменяемых полей в формате JSONB, что позволяет не только регистрировать факт изменения, но и полностью восстанавливать историю модификации любой записи. Формат JSONB выбран ввиду его эффективности при хранении сложных структур данных без создания избыточных таблиц в схеме PostgreSQL.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Архитектура модуля предусматривает неблокирующий режим работы: при возникновении ошибки в процессе логирования операция не прерывает основной транзакционный поток приложения, а лишь выводит диагностическое сообщение в консоль. Это обеспечивает отказоустойчивость системы даже при временных сбоях соединения с СУБД. Модуль поддерживает все типы действий: `CREATE`, `UPDATE`, `DELETE`, `VIEW`, `LOGIN`, `LOGOUT`, `EXPORT`, `DOCUMENT_GENERATE`. Фрагмент реализации метода `log_action()` приведён в Листинге 3.1.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4"/>
        </w:rPr>
        <w:t>Листинг 3.1 – Фрагмент реализации метода AuditLogger.log_action()</w:t>
      </w:r>
    </w:p>
    <w:p>
      <w:pPr>
        <w:spacing w:line="240" w:lineRule="auto" w:before="40" w:after="240"/>
        <w:jc w:val="left"/>
      </w:pPr>
      <w:r>
        <w:rPr>
          <w:rFonts w:ascii="Courier New" w:hAnsi="Courier New"/>
          <w:color w:val="333333"/>
          <w:sz w:val="20"/>
        </w:rPr>
        <w:t>class AuditLogger:</w:t>
        <w:br/>
        <w:t xml:space="preserve">    def __init__(self, db_connection, user_info):</w:t>
        <w:br/>
        <w:t xml:space="preserve">        self.db = db_connection</w:t>
        <w:br/>
        <w:t xml:space="preserve">        self.user_info = user_info</w:t>
        <w:br/>
        <w:br/>
        <w:t xml:space="preserve">    def log_action(self, action_type, table_name, record_id=None, krd_id=None,</w:t>
        <w:br/>
        <w:t xml:space="preserve">                   old_values=None, new_values=None, description=None):</w:t>
        <w:br/>
        <w:t xml:space="preserve">        try:</w:t>
        <w:br/>
        <w:t xml:space="preserve">            query = QSqlQuery(self.db)</w:t>
        <w:br/>
        <w:t xml:space="preserve">            query.prepare("""</w:t>
        <w:br/>
        <w:t xml:space="preserve">                INSERT INTO krd.audit_log</w:t>
        <w:br/>
        <w:t xml:space="preserve">                (user_id, username, action_type, table_name, record_id,</w:t>
        <w:br/>
        <w:t xml:space="preserve">                 krd_id, old_values, new_values, description)</w:t>
        <w:br/>
        <w:t xml:space="preserve">                VALUES (?, ?, ?, ?, ?, ?, ?, ?, ?)</w:t>
        <w:br/>
        <w:t xml:space="preserve">            """)</w:t>
        <w:br/>
        <w:t xml:space="preserve">            old_json = json.dumps(old_values, ensure_ascii=False) if old_values else None</w:t>
        <w:br/>
        <w:t xml:space="preserve">            new_json = json.dumps(new_values, ensure_ascii=False) if new_values else None</w:t>
        <w:br/>
        <w:t xml:space="preserve">            </w:t>
        <w:br/>
        <w:t xml:space="preserve">            query.addBindValue(self.user_info.get('id'))</w:t>
        <w:br/>
        <w:t xml:space="preserve">            query.addBindValue(self.user_info.get('username'))</w:t>
        <w:br/>
        <w:t xml:space="preserve">            query.addBindValue(action_type)</w:t>
        <w:br/>
        <w:t xml:space="preserve">            query.addBindValue(table_name)</w:t>
        <w:br/>
        <w:t xml:space="preserve">            query.addBindValue(record_id)</w:t>
        <w:br/>
        <w:t xml:space="preserve">            query.addBindValue(krd_id)</w:t>
        <w:br/>
        <w:t xml:space="preserve">            query.addBindValue(old_json)</w:t>
        <w:br/>
        <w:t xml:space="preserve">            query.addBindValue(new_json)</w:t>
        <w:br/>
        <w:t xml:space="preserve">            query.addBindValue(description)</w:t>
        <w:br/>
        <w:t xml:space="preserve">            </w:t>
        <w:br/>
        <w:t xml:space="preserve">            if not query.exec():</w:t>
        <w:br/>
        <w:t xml:space="preserve">                print(f"⚠️ Ошибка логирования: {query.lastError().text()}")</w:t>
        <w:br/>
        <w:t xml:space="preserve">        except Exception as e:</w:t>
        <w:br/>
        <w:t xml:space="preserve">            print(f"❌ Критическая ошибка в логгере: {e}")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25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sz w:val="28"/>
        </w:rPr>
        <w:t>Рисунок 3.1 – Диаграмма классов основных модулей системы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3.1.2 Генератор процессуальных документов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Подсистема `DocGenerationEngine` обеспечивает автоматизированное формирование документов `.docx` из утверждённых шаблонов. Алгоритм использует регулярные выражения для поиска переменных в формате `{{field}}`, заменяя их на актуальные данные из СУБД. Подсистема поддерживает два режима подстановки: простой (один столбец БД) и составной (объединение нескольких полей через разделители, конфигурируемое в JSONB). При выполнении замены сохраняется исходное форматирование шаблона (шрифт Times New Roman, размер 14 pt, выравнивание), что критично для процессуальных документов, имеющих юридическую силу.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Сгенерированные файлы конвертируются в бинарный формат и сохраняются в поле `document_data` таблицы `outgoing_requests` типа `BYTEA`. Это гарантирует атомарность транзакций, упрощает резервное копирование и исключает риски потери файлов при сбоях файловой системы. Фрагмент функции подстановки данных в абзацы шаблона приведён в Листинге 3.2.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4"/>
        </w:rPr>
        <w:t>Листинг 3.2 – Фрагмент функции подстановки данных в шаблон .docx</w:t>
      </w:r>
    </w:p>
    <w:p>
      <w:pPr>
        <w:spacing w:line="240" w:lineRule="auto" w:before="40" w:after="240"/>
        <w:jc w:val="left"/>
      </w:pPr>
      <w:r>
        <w:rPr>
          <w:rFonts w:ascii="Courier New" w:hAnsi="Courier New"/>
          <w:color w:val="333333"/>
          <w:sz w:val="20"/>
        </w:rPr>
        <w:t>class DocGenerationEngine:</w:t>
        <w:br/>
        <w:t xml:space="preserve">    def _replace_in_paragraph(self, paragraph, context):</w:t>
        <w:br/>
        <w:t xml:space="preserve">        original_text = paragraph.text</w:t>
        <w:br/>
        <w:t xml:space="preserve">        if not original_text: return 0</w:t>
        <w:br/>
        <w:t xml:space="preserve">        new_text = original_text</w:t>
        <w:br/>
        <w:t xml:space="preserve">        replacements = 0</w:t>
        <w:br/>
        <w:t xml:space="preserve">        </w:t>
        <w:br/>
        <w:t xml:space="preserve">        for var_name, value in context.items():</w:t>
        <w:br/>
        <w:t xml:space="preserve">            placeholder = f"{{{{{var_name}}}}}"</w:t>
        <w:br/>
        <w:t xml:space="preserve">            if placeholder in new_text:</w:t>
        <w:br/>
        <w:t xml:space="preserve">                count = new_text.count(placeholder)</w:t>
        <w:br/>
        <w:t xml:space="preserve">                replacements += count</w:t>
        <w:br/>
        <w:t xml:space="preserve">                new_text = new_text.replace(placeholder, str(value))</w:t>
        <w:br/>
        <w:t xml:space="preserve">                </w:t>
        <w:br/>
        <w:t xml:space="preserve">        if replacements &gt; 0 and paragraph.runs:</w:t>
        <w:br/>
        <w:t xml:space="preserve">            first_run = paragraph.runs[0]</w:t>
        <w:br/>
        <w:t xml:space="preserve">            saved_style = {</w:t>
        <w:br/>
        <w:t xml:space="preserve">                'bold': first_run.bold, 'italic': first_run.italic,</w:t>
        <w:br/>
        <w:t xml:space="preserve">                'underline': first_run.underline,</w:t>
        <w:br/>
        <w:t xml:space="preserve">                'font_name': first_run.font.name,</w:t>
        <w:br/>
        <w:t xml:space="preserve">                'font_size': first_run.font.size.pt if first_run.font.size else None</w:t>
        <w:br/>
        <w:t xml:space="preserve">            }</w:t>
        <w:br/>
        <w:t xml:space="preserve">            first_run.text = new_text</w:t>
        <w:br/>
        <w:t xml:space="preserve">            first_run.bold = saved_style['bold']</w:t>
        <w:br/>
        <w:t xml:space="preserve">            first_run.italic = saved_style['italic']</w:t>
        <w:br/>
        <w:t xml:space="preserve">            if saved_style['font_size']:</w:t>
        <w:br/>
        <w:t xml:space="preserve">                first_run.font.size = Pt(saved_style['font_size'])</w:t>
        <w:br/>
        <w:t xml:space="preserve">            # Безопасное удаление дублирующихся runs</w:t>
        <w:br/>
        <w:t xml:space="preserve">            for run in paragraph.runs[1:]:</w:t>
        <w:br/>
        <w:t xml:space="preserve">                r_elem = run._element</w:t>
        <w:br/>
        <w:t xml:space="preserve">                if r_elem.getparent() is not None:</w:t>
        <w:br/>
        <w:t xml:space="preserve">                    r_elem.getparent().remove(r_elem)</w:t>
        <w:br/>
        <w:t xml:space="preserve">        return replacements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3.1.3 Экспорт отчётов в формат Excel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Модуль `KrdExcelExporter` реализован на базе библиотеки `openpyxl` и поддерживает массовую выгрузку данных нескольких КРД на один лист. Конфигурация отчёта определяется через таблицу `report_templates.config_json`, где пользователь заранее выбирает включаемые секции (`social_data`, `addresses`, `soch_episodes` и др.). При экспорте система динамически формирует заголовки столбцов, заполняет данные, автоматически подстраивает ширину ячеек под содержимое и применяет стилизацию заголовков (синий фон, белый шрифт, жирное начертание).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Особое внимание уделено работе с изображениями: фотографии военнослужащих извлекаются из полей `BYTEA`, декодируются через `Pillow`, масштабируются до 150×200 px и вставляются в ячейки Excel с сохранением пропорций. После завершения формирования файла модуль выполняет автоматическую очистку временных директорий, предотвращая утечки памяти и накопление мусора на диске. Обработка исключений гарантирует, что при ошибке в одной записи процесс экспорта не прерывается, а проблемная КРД пропускается с записью в лог-файл.</w:t>
      </w:r>
    </w:p>
    <w:p>
      <w:pPr>
        <w:spacing w:before="120" w:after="120" w:line="24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3.1.4 Подсистема интеллектуального автодополнения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Компонент `AutocompleteHelper` решает задачу минимизации орфографических ошибок и ускорения ввода данных. При инициализации каждого диалогового окна модуль выполняет асинхронный SQL-запрос `SELECT DISTINCT column_name FROM krd.table ORDER BY ...`, результат которого кэшируется в памяти приложения. При фокусе на текстовом поле или вводе первых символов активируется `QCompleter` с режимом `PopupCompletion` и флагом `MatchContains`.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Для полей с высокой вариативностью (например, наименования улиц или должностей) реализована оптимизация: при количестве уникальных значений &gt; 500 загрузка происходит порционно, а поиск индексируется на стороне клиента. Кэш автоматически сбрасывается после операций `INSERT`/`UPDATE`, что гарантирует актуальность подсказок. Архитектура компонента допускает расширение на `QTextEdit` и `QComboBox` без дублирования логики запросов к БД. Интеграция с пользовательским интерфейсом выполнена через единую точку входа `setup_autocomplete()`, принимающую виджет, имя таблицы и целевой столбец.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(`python-docx`, `openpyxl`, `bcrypt`) в связке с оптимизированными запросами PostgreSQL позволило создать производительное десктопное приложение, готовое к развёртыванию в изолированном контуре военного гарнизона. Кодовая база документирована, покрыта unit-тестами и соответствует принципам DRY и SOLID.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