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240" w:line="240" w:lineRule="auto"/>
        <w:jc w:val="center"/>
      </w:pPr>
      <w:r>
        <w:rPr>
          <w:rFonts w:ascii="Times New Roman" w:hAnsi="Times New Roman"/>
          <w:b/>
          <w:sz w:val="28"/>
        </w:rPr>
        <w:t>4.1 Анализ качества программного продукта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Комплексный анализ качества разработанного автоматизированного рабочего места (АРМ) сотрудника отдела дознания осуществлялся на основе критериев соответствия нормативным требованиям, надёжности, информационной безопасности и эргономичности пользовательского интерфейса. Оценка проводилась с учётом специфики эксплуатации программного продукта в изолированном контуре военной комендатуры, где приоритетом является защита персональных данных, целостность процессуальных документов и исключение влияния человеческого фактора на результаты работы.</w:t>
      </w:r>
    </w:p>
    <w:p>
      <w:pPr>
        <w:spacing w:before="240" w:after="240" w:line="240" w:lineRule="auto"/>
        <w:jc w:val="center"/>
      </w:pPr>
      <w:r>
        <w:rPr>
          <w:rFonts w:ascii="Times New Roman" w:hAnsi="Times New Roman"/>
          <w:b/>
          <w:sz w:val="28"/>
        </w:rPr>
        <w:t>4.1.1 Соответствие заявленным требованиям и стандартам ГОСТ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Разработанный программный продукт полностью соответствует техническому заданию и требованиям, сформулированным на этапе проектирования. Архитектура системы реализована в соответствии с принципами, изложенными в ГОСТ 34.602-89 «Техническое задание на создание автоматизированной системы», а структура документации и программный код оформлены согласно стандартам единой системы программной документации (ЕСПД), в частности ГОСТ 19.701-90.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Проверка соответствия функциональным требованиям подтвердила реализацию полного цикла CRUD-операций по всем сущностям базы данных (КРД, адреса, места службы, эпизоды СОЧ, запросы). Механизм динамического маппинга шаблонов через конфигурацию JSONB обеспечивает гибкость генерации документов без изменения схемы БД. Журнал аудита `audit_log` ведётся в строгом соответствии с требованиями ФЗ-152 «О персональных данных», фиксируя дифференциальные значения изменений (diff) в формате JSONB.</w:t>
      </w:r>
    </w:p>
    <w:p>
      <w:pPr>
        <w:spacing w:before="240" w:after="240" w:line="240" w:lineRule="auto"/>
        <w:jc w:val="center"/>
      </w:pPr>
      <w:r>
        <w:rPr>
          <w:rFonts w:ascii="Times New Roman" w:hAnsi="Times New Roman"/>
          <w:b/>
          <w:sz w:val="28"/>
        </w:rPr>
        <w:t>4.1.2 Метрики надёжности и отказоустойчивости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Надёжность системы обеспечивается на нескольких уровнях: транзакционной целостности СУБД, механизмах конкурентного доступа и резервного копирования. Все критические операции создания и обновления записей обёрнуты в транзакции `BEGIN TRANSACTION` и завершаются `COMMIT` только при успешном выполнении всех шагов. При возникновении исключений СУБД (например, нарушение уникальности, потеря соединения) автоматически выполняется откат `ROLLBACK`, что гарантирует отсутствие частичных изменений и сохранение консистентного состояния базы данных.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Для предотвращения конфликтов при одновременном редактировании одной карточки розыска несколькими пользователями реализован механизм блокировок на уровне приложения с использованием функций PostgreSQL `pg_try_advisory_lock`. При открытии окна редактирования сессия пытается захватить блокировку по ID записи; при неудаче пользователю выводится уведомление о том, что запись занята другим оператором. Блокировка автоматически снимается при закрытии окна или аварийном завершении сессии, что предотвращает «зависание» записей.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Восстановление данных после ошибочных действий обеспечивается механизмом мягкого удаления (`soft delete`). Вместо физического удаления (`DELETE`) записи поле `is_deleted` устанавливается в `TRUE`, а метаданные удаления (время, пользователь) сохраняются в полях `deleted_at` и `deleted_by`. Это позволяет администратору восстановить любую запись из специального раздела «Корзина» без нарушения ссылочной целостности внешних ключей.</w:t>
      </w:r>
    </w:p>
    <w:p>
      <w:pPr>
        <w:spacing w:after="120"/>
      </w:pP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38257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25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Times New Roman" w:hAnsi="Times New Roman"/>
          <w:sz w:val="28"/>
        </w:rPr>
        <w:t>Рисунок 4.1 – Схема механизма версионирования и аудита изменений</w:t>
      </w:r>
    </w:p>
    <w:p>
      <w:pPr>
        <w:spacing w:before="240" w:after="240" w:line="240" w:lineRule="auto"/>
        <w:jc w:val="center"/>
      </w:pPr>
      <w:r>
        <w:rPr>
          <w:rFonts w:ascii="Times New Roman" w:hAnsi="Times New Roman"/>
          <w:b/>
          <w:sz w:val="28"/>
        </w:rPr>
        <w:t>4.1.3 Информационная безопасность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Система информационной безопасности АРМ построена по многоуровневому принципу, охватывающему аутентификацию, авторизацию, защиту данных при хранении и передачу информации. Аутентификация пользователей реализована с использованием алгоритма хеширования `bcrypt` с адаптивным коэффициентом сложности (work factor), что делает неэффективными атаки методом полного перебора (brute-force) и использование радужных таблиц. Пароли никогда не хранятся в открытом виде и не передаются по сети.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Разграничение прав доступа (RBAC) реализовано на уровне ролей: пользователи с ролью `admin` имеют доступ к административным модулям (управление пользователями, настройка справочников, корзина удалённых записей, полный журнал аудита), тогда как роль `user` ограничена функционалом обработки карточек розыска и генерации отчётов. Все попытки несанкционированного доступа фиксируются в журнале безопасности.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Полный аудит действий пользователей (`audit_log`) является ключевым элементом подотчётности системы. Каждая операция CREATE, UPDATE, DELETE, LOGIN, EXPORT логируется с привязкой к `user_id`, временной метке и ID конкретной КРД. Для операций обновления сохраняются старые (`old_values`) и новые (`new_values`) состояния записи в формате JSONB, что позволяет восстановить историю изменений любого поля в любой момент времени. Это обеспечивает соответствие требованиям приказов ФСТЭК № 17 и 21 по защите информации в автоматизированных системах.</w:t>
      </w:r>
    </w:p>
    <w:p>
      <w:pPr>
        <w:spacing w:before="240" w:after="240" w:line="240" w:lineRule="auto"/>
        <w:jc w:val="center"/>
      </w:pPr>
      <w:r>
        <w:rPr>
          <w:rFonts w:ascii="Times New Roman" w:hAnsi="Times New Roman"/>
          <w:b/>
          <w:sz w:val="28"/>
        </w:rPr>
        <w:t>4.1.4 Эргономика и UX-решения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Пользовательский интерфейс спроектирован с учётом когнитивной нагрузки оператора и требований к скорости выполнения рутинных операций. Применение паттерна MVC (Model-View-Controller) позволило отделить логику отображения данных от бизнес-логики, что обеспечило высокую отзывчивость интерфейса. Табличные представления (`QTableView`) поддерживают динамическую сортировку по столбцам и мгновенный поиск с механизмом debounce (задержка запроса 300 мс), что снижает нагрузку на СУБД при быстром вводе текста.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Для минимизации ошибок ввода реализовано интеллектуальное автодополнение полей (`AutocompleteHelper`), кэширующее уникальные значения из базы данных (например, наименования улиц, должностей, воинских частей). Валидация данных осуществляется как на клиенте (через `QRegularExpressionValidator`), так и на уровне СУБД (CHECK-ограничения). При работе с изображениями предусмотрен предпросмотр фотографий в карточке КРД с автоматическим масштабированием до 180×240 px и строгой проверкой размера файла (≤ 5 МБ). Закрытие окна с несохранёнными изменениями вызывает диалог подтверждения, предотвращая потерю данных. Цветовая индикация статусов и группировка элементов управления по логическим вкладкам (`QTabWidget`) повышают интуитивность навигации.</w:t>
      </w:r>
    </w:p>
    <w:p>
      <w:pPr>
        <w:spacing w:after="120"/>
      </w:pPr>
    </w:p>
    <w:p>
      <w:pPr>
        <w:spacing w:after="120"/>
        <w:ind w:firstLine="709"/>
        <w:jc w:val="left"/>
      </w:pPr>
      <w:r>
        <w:rPr>
          <w:rFonts w:ascii="Times New Roman" w:hAnsi="Times New Roman"/>
          <w:b/>
          <w:sz w:val="28"/>
        </w:rPr>
        <w:t>Таблица 4.1 – Соответствие ПП функциональным и техническим требованиям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№</w:t>
            </w:r>
          </w:p>
        </w:tc>
        <w:tc>
          <w:tcPr>
            <w:tcW w:type="dxa" w:w="1938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Категория требования</w:t>
            </w:r>
          </w:p>
        </w:tc>
        <w:tc>
          <w:tcPr>
            <w:tcW w:type="dxa" w:w="1938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Требование</w:t>
            </w:r>
          </w:p>
        </w:tc>
        <w:tc>
          <w:tcPr>
            <w:tcW w:type="dxa" w:w="1938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Реализация в ПП</w:t>
            </w:r>
          </w:p>
        </w:tc>
        <w:tc>
          <w:tcPr>
            <w:tcW w:type="dxa" w:w="1938"/>
            <w:shd w:fill="D9E2F3" w:val="clea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Статус</w:t>
            </w:r>
          </w:p>
        </w:tc>
      </w:tr>
      <w:tr>
        <w:tc>
          <w:tcPr>
            <w:tcW w:type="dxa" w:w="193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Функциональные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Авторизация с ролевой моделью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Модуль `authorization.py`, хеширование `bcrypt`, проверка роли в `main_window.py`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✅ Выполнено</w:t>
            </w:r>
          </w:p>
        </w:tc>
      </w:tr>
      <w:tr>
        <w:tc>
          <w:tcPr>
            <w:tcW w:type="dxa" w:w="193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Функциональные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CRUD-операции по КРД и связям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Классы `QSqlTableModel`, транзакции, мягкое удаление (`is_deleted`)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✅ Выполнено</w:t>
            </w:r>
          </w:p>
        </w:tc>
      </w:tr>
      <w:tr>
        <w:tc>
          <w:tcPr>
            <w:tcW w:type="dxa" w:w="193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Функциональные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Генерация документов .docx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Модуль `doc_generation_engine.py`, парсинг `{{field}}`, сохранение в BYTEA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✅ Выполнено</w:t>
            </w:r>
          </w:p>
        </w:tc>
      </w:tr>
      <w:tr>
        <w:tc>
          <w:tcPr>
            <w:tcW w:type="dxa" w:w="193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Функциональные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Массовый экспорт в .xlsx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Класс `KrdExcelExporter` (openpyxl), вставка фото, автоформатирование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✅ Выполнено</w:t>
            </w:r>
          </w:p>
        </w:tc>
      </w:tr>
      <w:tr>
        <w:tc>
          <w:tcPr>
            <w:tcW w:type="dxa" w:w="193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Функциональные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Полный аудит действий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Таблица `audit_log`, запись JSONB (old/new), привязка к user_id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✅ Выполнено</w:t>
            </w:r>
          </w:p>
        </w:tc>
      </w:tr>
      <w:tr>
        <w:tc>
          <w:tcPr>
            <w:tcW w:type="dxa" w:w="193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Надёжность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Целостность транзакций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Использование `db.transaction()`, `commit()`, `rollback()` при ошибках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✅ Выполнено</w:t>
            </w:r>
          </w:p>
        </w:tc>
      </w:tr>
      <w:tr>
        <w:tc>
          <w:tcPr>
            <w:tcW w:type="dxa" w:w="193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Надёжность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Защита от конфликтов (Lock)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Функции PostgreSQL `pg_try_advisory_lock`, авто-сброс при закрытии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✅ Выполнено</w:t>
            </w:r>
          </w:p>
        </w:tc>
      </w:tr>
      <w:tr>
        <w:tc>
          <w:tcPr>
            <w:tcW w:type="dxa" w:w="193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Безопасность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Защита паролей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Алгоритм `bcrypt`, отсутствие хранения в открытом виде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✅ Выполнено</w:t>
            </w:r>
          </w:p>
        </w:tc>
      </w:tr>
      <w:tr>
        <w:tc>
          <w:tcPr>
            <w:tcW w:type="dxa" w:w="193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9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Безопасность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Восстановление данных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Soft Delete (`is_deleted`), админ-панель восстановления из корзины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✅ Выполнено</w:t>
            </w:r>
          </w:p>
        </w:tc>
      </w:tr>
      <w:tr>
        <w:tc>
          <w:tcPr>
            <w:tcW w:type="dxa" w:w="193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UX/Эргономика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Валидация и автодополнение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`QRegularExpressionValidator`, `AutocompleteHelper` с кэшем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✅ Выполнено</w:t>
            </w:r>
          </w:p>
        </w:tc>
      </w:tr>
      <w:tr>
        <w:tc>
          <w:tcPr>
            <w:tcW w:type="dxa" w:w="193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11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UX/Эргономика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Производительность поиска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Индексы BTREE, debounce 300мс, ленивая загрузка моделей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✅ Выполнено</w:t>
            </w:r>
          </w:p>
        </w:tc>
      </w:tr>
      <w:tr>
        <w:tc>
          <w:tcPr>
            <w:tcW w:type="dxa" w:w="193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12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Технические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Кроссплатформенность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Python 3.10+, PyQt6, совместимость с Astra Linux / РЕД ОС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✅ Выполнено</w:t>
            </w:r>
          </w:p>
        </w:tc>
      </w:tr>
    </w:tbl>
    <w:p>
      <w:pPr>
        <w:spacing w:after="240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Таким образом, проведённый анализ качества подтверждает, что разработанный программный продукт соответствует всем заявленным функциональным, техническим и нормативным требованиям. Реализованные механизмы транзакционной целостности, мягкого удаления, ролевого доступа и сквозного аудита обеспечивают высокую надёжность и безопасность системы. Эргономичный интерфейс с функциями автодополнения и валидации минимизирует вероятность ошибок оператора, что критически важно для процессуальной деятельности отдела дознания. Архитектура приложения допускает дальнейшее масштабирование и интеграцию с ведомственными системами без изменения ядра системы.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