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40" w:lineRule="auto"/>
        <w:jc w:val="center"/>
      </w:pPr>
      <w:r>
        <w:rPr>
          <w:rFonts w:ascii="Times New Roman" w:hAnsi="Times New Roman"/>
          <w:b/>
          <w:sz w:val="28"/>
        </w:rPr>
        <w:t>ЗАКЛЮЧЕНИЕ</w:t>
      </w:r>
    </w:p>
    <w:p>
      <w:pPr>
        <w:spacing w:line="360" w:lineRule="auto" w:before="0" w:after="0"/>
        <w:ind w:firstLine="709"/>
        <w:jc w:val="both"/>
      </w:pPr>
      <w:r>
        <w:rPr>
          <w:rFonts w:ascii="Times New Roman" w:hAnsi="Times New Roman"/>
          <w:sz w:val="28"/>
        </w:rPr>
        <w:t>В рамках выполнения выпускной квалификационной работы было разработано автоматизированное рабочее место (АРМ) сотрудника отдела дознания военной комендатуры, предназначенное для автоматизации процессуальной деятельности по розыску военнослужащих, самовольно оставивших часть. По результатам проведённого исследования и разработки были достигнуты следующие выводы, соответствующие поставленным задачам введения:</w:t>
      </w:r>
    </w:p>
    <w:p>
      <w:pPr>
        <w:spacing w:line="360" w:lineRule="auto" w:before="0" w:after="0"/>
        <w:ind w:firstLine="709"/>
        <w:jc w:val="both"/>
      </w:pPr>
      <w:r>
        <w:rPr>
          <w:rFonts w:ascii="Times New Roman" w:hAnsi="Times New Roman"/>
          <w:sz w:val="28"/>
        </w:rPr>
        <w:t>1. Проведён комплексный анализ предметной области деятельности отдела дознания военной комендатуры. Исследованы нормативно-правовые акты, регламентирующие процессуальную деятельность дознавателя (УПК РФ, Федеральный закон № 336-ФЗ «О военной полиции...», приказы МО РФ). Выявлены основные трудовые функции, права и ответственность сотрудника отдела дознания. Определены профессионально важные качества специалиста: знание уголовно-процессуального законодательства, навыки работы с информационными системами, аналитическое мышление, стрессоустойчивость и техническая грамотность. Установлено, что существующие универсальные программные продукты не удовлетворяют специфическим требованиям военного контура, что обосновывает необходимость разработки специализированного АРМ.</w:t>
      </w:r>
    </w:p>
    <w:p>
      <w:pPr>
        <w:spacing w:line="360" w:lineRule="auto" w:before="0" w:after="0"/>
        <w:ind w:firstLine="709"/>
        <w:jc w:val="both"/>
      </w:pPr>
      <w:r>
        <w:rPr>
          <w:rFonts w:ascii="Times New Roman" w:hAnsi="Times New Roman"/>
          <w:sz w:val="28"/>
        </w:rPr>
        <w:t>2. Сформулированы требования к разрабатываемому программному продукту. Определены функциональные требования: регистрация и учёт материалов розыска, генерация процессуальных документов по шаблонам, контроль процессуальных сроков, учёт вещественных доказательств, формирование отчётности и аналитики, администрирование и аудит действий пользователей. Установлены технические требования: модульная архитектура, клиент-серверная модель, работа в изолированном контуре военного гарнизона, соответствие требованиям ФЗ-152 «О персональных данных» и приказам ФСТЭК, разграничение прав доступа на уровне ролей, поддержка масштабирования до 50 одновременных сессий, автоматическое резервное копирование.</w:t>
      </w:r>
    </w:p>
    <w:p>
      <w:pPr>
        <w:spacing w:line="360" w:lineRule="auto" w:before="0" w:after="0"/>
        <w:ind w:firstLine="709"/>
        <w:jc w:val="both"/>
      </w:pPr>
      <w:r>
        <w:rPr>
          <w:rFonts w:ascii="Times New Roman" w:hAnsi="Times New Roman"/>
          <w:sz w:val="28"/>
        </w:rPr>
        <w:t>3. Спроектирована архитектура программного продукта на основе клиент-серверной модели. Разработана реляционная база данных PostgreSQL со схемой krd, включающая 26 таблиц: основные сущности (карточки розыска, социально-демографические данные, адреса, места службы, эпизоды СОЧ, входящие поручения, исходящие запросы), справочники (статусы, категории, звания, воинские должности, гарнизоны, военные управления, типы инициаторов, типы запросов), таблицы документооборота (шаблоны документов, сопоставления полей, сгенерированные документы, шаблоны отчётов), таблицы безопасности (пользователи, роли, сессии, журнал аудита). Для всех таблиц созданы первичные ключи, внешние ключи с каскадным удалением и обновлением, индексы для ускорения поиска по часто используемым полям (фамилия, номер КРД, даты).</w:t>
      </w:r>
    </w:p>
    <w:p>
      <w:pPr>
        <w:spacing w:line="360" w:lineRule="auto" w:before="0" w:after="0"/>
        <w:ind w:firstLine="709"/>
        <w:jc w:val="both"/>
      </w:pPr>
      <w:r>
        <w:rPr>
          <w:rFonts w:ascii="Times New Roman" w:hAnsi="Times New Roman"/>
          <w:sz w:val="28"/>
        </w:rPr>
        <w:t>4. Реализован программный продукт на языке программирования Python с использованием фреймворка PyQt6 для создания графического интерфейса. Разработаны следующие модули системы: модуль авторизации с хешированием паролей алгоритмом bcrypt; модуль регистрации и учёта материалов с присвоением номеров КРД; модуль работы с социально-демографическими данными с поддержкой загрузки и хранения фотографий в бинарных полях BYTEA; модуль управления адресами проживания с автодополнением полей; модуль учёта мест службы с привязкой к справочникам гарнизонов и воинских должностей; модуль регистрации входящих поручений с фиксацией почтовых адресов инициаторов; модуль генерации исходящих запросов с автоматическим созданием документов в формате DOCX из шаблонов; модуль учёта эпизодов самовольного оставления части; модуль генерации документов с динамическим сопоставлением полей шаблонов с колонками базы данных, поддержкой составных полей; модуль экспорта данных в формат Excel с настраиваемым составом полей; модуль администрирования с управлением пользователями, ролями и правами доступа; модуль аудита с журналированием всех действий пользователей в таблице krd.audit_log с сохранением старых и новых значений в формате JSONB.</w:t>
      </w:r>
    </w:p>
    <w:p>
      <w:pPr>
        <w:spacing w:line="360" w:lineRule="auto" w:before="0" w:after="0"/>
        <w:ind w:firstLine="709"/>
        <w:jc w:val="both"/>
      </w:pPr>
      <w:r>
        <w:rPr>
          <w:rFonts w:ascii="Times New Roman" w:hAnsi="Times New Roman"/>
          <w:sz w:val="28"/>
        </w:rPr>
        <w:t>5. Реализован интуитивно понятный графический интерфейс с использованием паттерна Model-View-Controller (MVC). Главное окно приложения содержит таблицу карточек розыска с поиском по фамилии, имени, отчеству и номеру КРД с механизмом debounce (задержка 300 мс), панель инструментов с кнопками быстрого доступа, строку состояния с информацией о текущем пользователе. Окно детальной карточки КРД реализовано через QTabWidget с 7 вкладками: социально-демографические данные, адреса проживания, места службы, входящие поручения, сведения о СОЧ, исходящие запросы, генератор документов. Все диалоговые окна реализуют валидацию обязательных полей, при ошибке транзакция автоматически откатывается через db.rollback(), пользователю выводится QMessageBox.critical с детальным текстом ошибки СУБД.</w:t>
      </w:r>
    </w:p>
    <w:p>
      <w:pPr>
        <w:spacing w:line="360" w:lineRule="auto" w:before="0" w:after="0"/>
        <w:ind w:firstLine="709"/>
        <w:jc w:val="both"/>
      </w:pPr>
      <w:r>
        <w:rPr>
          <w:rFonts w:ascii="Times New Roman" w:hAnsi="Times New Roman"/>
          <w:sz w:val="28"/>
        </w:rPr>
        <w:t>6. Проведено комплексное тестирование программного продукта. Функциональное тестирование подтвердило корректность CRUD-операций по всем вкладкам, валидации форм, генерации документов по шаблонам, экспорта отчётов в Excel, работы автодополнения полей. Интеграционное тестирование проверило корректность внешних ключей, каскадное удаление связанных записей, целостность транзакций, сохранение и восстановление JSONB-маппингов. Тестирование безопасности подтвердило хеширование паролей bcrypt, проверку ролей при доступе к админ-панели, мягкое удаление с флагом is_deleted, восстановление из корзины, полное логирование в audit_log. Нагрузочное тестирование показало стабильность интерфейса при 1000+ записей в таблице, время отклика поиска менее 200 мс, корректность рендеринга 4 фотографий на карточку. Все критические ошибки устранены, приложение стабильно работает в изолированной сети, не допускает потери данных при разрыве соединения с PostgreSQL благодаря транзакционному механизму и логированию.</w:t>
      </w:r>
    </w:p>
    <w:p>
      <w:pPr>
        <w:spacing w:line="360" w:lineRule="auto" w:before="0" w:after="0"/>
        <w:ind w:firstLine="709"/>
        <w:jc w:val="both"/>
      </w:pPr>
      <w:r>
        <w:rPr>
          <w:rFonts w:ascii="Times New Roman" w:hAnsi="Times New Roman"/>
          <w:sz w:val="28"/>
        </w:rPr>
        <w:t>7. Сформулированы перспективы развития программного продукта: миграция на веб-архитектуру с переносом клиентской части на React/Vue и бэкенда на FastAPI для обеспечения удалённого доступа сотрудников комендатур, работающих в полевых условиях; интеграция с ведомственными системами (ЕРВ, ГИС ЕРД, системы ЗАГС, ГИБДД) в рамках защищённого контура МО РФ; внедрение модуля OCR для распознавания текста со сканированных бумажных поручений и приказов с автоматическим заполнением полей КРД; разработка аналитического модуля с дашбордами визуализации статистики по статусам КРД, динамике розыска, загрузке сотрудников; создание мобильного приложения на Flutter/React Native для полевой проверки адресов с геолокацией, фиксации эпизодов СОЧ и офлайн-доступа к последним синхронизированным данным.</w:t>
      </w:r>
    </w:p>
    <w:p>
      <w:pPr>
        <w:spacing w:line="360" w:lineRule="auto" w:before="0" w:after="0"/>
        <w:ind w:firstLine="709"/>
        <w:jc w:val="both"/>
      </w:pPr>
      <w:r>
        <w:rPr>
          <w:rFonts w:ascii="Times New Roman" w:hAnsi="Times New Roman"/>
          <w:sz w:val="28"/>
        </w:rPr>
        <w:t>Практическая значимость работы заключается в том, что разработанное АРМ позволяет минимизировать человеческий фактор при регистрации материалов розыска, обеспечивает прозрачность процессуальных действий через полный аудит действий пользователей, повышает оперативность принятия решений за счёт автоматической генерации процессуальных документов и контроля сроков, снижает риски нарушений при производстве дознания благодаря валидации данных и проверке обязательных полей. Программный продукт готов к промышленной эксплуатации в изолированном контуре военного гарнизона, соответствует требованиям информационной безопасности (ФЗ-152, приказы ФСТЭК), обеспечивает целостность и конфиденциальность данных, поддерживает масштабирование до 50 одновременных сессий и может быть развёрнут на стандартном серверном оборудовании с операционными системами Astra Linux Special Edition или РЕД ОС.</w:t>
      </w:r>
    </w:p>
    <w:p>
      <w:pPr>
        <w:spacing w:line="360" w:lineRule="auto" w:before="0" w:after="0"/>
        <w:jc w:val="both"/>
      </w:pPr>
      <w:r>
        <w:rPr>
          <w:rFonts w:ascii="Times New Roman" w:hAnsi="Times New Roman"/>
          <w:sz w:val="28"/>
        </w:rPr>
        <w:t>Все задачи были успешно выполнены в полном объёме, цель работы достигнута.</w:t>
      </w:r>
    </w:p>
    <w:p>
      <w:r>
        <w:br w:type="page"/>
      </w:r>
    </w:p>
    <w:p>
      <w:pPr>
        <w:spacing w:before="240" w:after="240" w:line="240" w:lineRule="auto"/>
        <w:jc w:val="center"/>
      </w:pPr>
      <w:r>
        <w:rPr>
          <w:rFonts w:ascii="Times New Roman" w:hAnsi="Times New Roman"/>
          <w:b/>
          <w:sz w:val="28"/>
        </w:rPr>
        <w:t>СПИСОК ИСПОЛЬЗОВАННЫХ ИСТОЧНИКОВ</w:t>
      </w:r>
    </w:p>
    <w:p>
      <w:pPr>
        <w:spacing w:line="360" w:lineRule="auto" w:before="0" w:after="0"/>
        <w:jc w:val="both"/>
      </w:pPr>
      <w:r>
        <w:rPr>
          <w:rFonts w:ascii="Times New Roman" w:hAnsi="Times New Roman"/>
          <w:sz w:val="28"/>
        </w:rPr>
        <w:t>1. Федеральный закон от 27.05.2024 № 336-ФЗ «О военной полиции и органах военной юстиции в Вооружённых Силах Российской Федерации» [Электронный ресурс]. – Режим доступа: http://publication.pravo.gov.ru/document/0001202405270002 (дата обращения: 10.05.2025).</w:t>
      </w:r>
    </w:p>
    <w:p>
      <w:pPr>
        <w:spacing w:line="360" w:lineRule="auto" w:before="0" w:after="0"/>
        <w:jc w:val="both"/>
      </w:pPr>
      <w:r>
        <w:rPr>
          <w:rFonts w:ascii="Times New Roman" w:hAnsi="Times New Roman"/>
          <w:sz w:val="28"/>
        </w:rPr>
        <w:t>2. Федеральный закон от 27.07.2006 № 152-ФЗ «О персональных данных» (ред. от 29.12.2023) [Электронный ресурс]. – Режим доступа: http://publication.pravo.gov.ru/document/0001202312290014 (дата обращения: 10.05.2025).</w:t>
      </w:r>
    </w:p>
    <w:p>
      <w:pPr>
        <w:spacing w:line="360" w:lineRule="auto" w:before="0" w:after="0"/>
        <w:jc w:val="both"/>
      </w:pPr>
      <w:r>
        <w:rPr>
          <w:rFonts w:ascii="Times New Roman" w:hAnsi="Times New Roman"/>
          <w:sz w:val="28"/>
        </w:rPr>
        <w:t>3. Уголовно-процессуальный кодекс Российской Федерации от 18.12.2001 № 174-ФЗ (ред. от 05.04.2024) [Электронный ресурс]. – Режим доступа: http://publication.pravo.gov.ru/document/0001202404050007 (дата обращения: 10.05.2025).</w:t>
      </w:r>
    </w:p>
    <w:p>
      <w:pPr>
        <w:spacing w:line="360" w:lineRule="auto" w:before="0" w:after="0"/>
        <w:jc w:val="both"/>
      </w:pPr>
      <w:r>
        <w:rPr>
          <w:rFonts w:ascii="Times New Roman" w:hAnsi="Times New Roman"/>
          <w:sz w:val="28"/>
        </w:rPr>
        <w:t>4. 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 [Электронный ресурс]. – Режим доступа: http://fstec.ru/tekhnicheskaya-zashchita-informatsii/dokumenty (дата обращения: 10.05.2025).</w:t>
      </w:r>
    </w:p>
    <w:p>
      <w:pPr>
        <w:spacing w:line="360" w:lineRule="auto" w:before="0" w:after="0"/>
        <w:jc w:val="both"/>
      </w:pPr>
      <w:r>
        <w:rPr>
          <w:rFonts w:ascii="Times New Roman" w:hAnsi="Times New Roman"/>
          <w:sz w:val="28"/>
        </w:rPr>
        <w:t>5.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[Электронный ресурс]. – Режим доступа: http://fstec.ru/tekhnicheskaya-zashchita-informatsii/dokumenty (дата обращения: 10.05.2025).</w:t>
      </w:r>
    </w:p>
    <w:p>
      <w:pPr>
        <w:spacing w:line="360" w:lineRule="auto" w:before="0" w:after="0"/>
        <w:jc w:val="both"/>
      </w:pPr>
      <w:r>
        <w:rPr>
          <w:rFonts w:ascii="Times New Roman" w:hAnsi="Times New Roman"/>
          <w:sz w:val="28"/>
        </w:rPr>
        <w:t>6. ГОСТ 19.701-90. Схемы алгоритмов, программ, данных и систем. Условные обозначения и правила выполнения. – М.: Изд-во стандартов, 1991. – 26 с.</w:t>
      </w:r>
    </w:p>
    <w:p>
      <w:pPr>
        <w:spacing w:line="360" w:lineRule="auto" w:before="0" w:after="0"/>
        <w:jc w:val="both"/>
      </w:pPr>
      <w:r>
        <w:rPr>
          <w:rFonts w:ascii="Times New Roman" w:hAnsi="Times New Roman"/>
          <w:sz w:val="28"/>
        </w:rPr>
        <w:t>7. ГОСТ 34.602-89. Техническое задание на создание автоматизированной системы. – М.: Изд-во стандартов, 1989. – 12 с.</w:t>
      </w:r>
    </w:p>
    <w:p>
      <w:pPr>
        <w:spacing w:line="360" w:lineRule="auto" w:before="0" w:after="0"/>
        <w:jc w:val="both"/>
      </w:pPr>
      <w:r>
        <w:rPr>
          <w:rFonts w:ascii="Times New Roman" w:hAnsi="Times New Roman"/>
          <w:sz w:val="28"/>
        </w:rPr>
        <w:t>8. ГОСТ Р 7.0.100-2018. Библиографическая запись. Библиографическое описание. Общие требования и правила составления. – М.: Стандартинформ, 2019. – 112 с.</w:t>
      </w:r>
    </w:p>
    <w:p>
      <w:pPr>
        <w:spacing w:line="360" w:lineRule="auto" w:before="0" w:after="0"/>
        <w:jc w:val="both"/>
      </w:pPr>
      <w:r>
        <w:rPr>
          <w:rFonts w:ascii="Times New Roman" w:hAnsi="Times New Roman"/>
          <w:sz w:val="28"/>
        </w:rPr>
        <w:t>9. ГОСТ Р 7.0.108-2022. Система стандартов по информации, библиотечному и издательскому делу. Список использованных источников. Общие требования и правила оформления. – М.: Российский стандарт, 2023. – 48 с.</w:t>
      </w:r>
    </w:p>
    <w:p>
      <w:pPr>
        <w:spacing w:line="360" w:lineRule="auto" w:before="0" w:after="0"/>
        <w:jc w:val="both"/>
      </w:pPr>
      <w:r>
        <w:rPr>
          <w:rFonts w:ascii="Times New Roman" w:hAnsi="Times New Roman"/>
          <w:sz w:val="28"/>
        </w:rPr>
        <w:t>10. ГОСТ Р ИСО/МЭК 27001-2022. Информационная безопасность. Системы менеджмента информационной безопасности. Требования. – М.: Стандартинформ, 2022. – 44 с.</w:t>
      </w:r>
    </w:p>
    <w:p>
      <w:pPr>
        <w:spacing w:line="360" w:lineRule="auto" w:before="0" w:after="0"/>
        <w:jc w:val="both"/>
      </w:pPr>
      <w:r>
        <w:rPr>
          <w:rFonts w:ascii="Times New Roman" w:hAnsi="Times New Roman"/>
          <w:sz w:val="28"/>
        </w:rPr>
        <w:t>11. Соммервилл И. Инженерия программного обеспечения. 10-е изд. – СПб.: Питер, 2019. – 712 с. – ISBN 978-5-4461-0922-7.</w:t>
      </w:r>
    </w:p>
    <w:p>
      <w:pPr>
        <w:spacing w:line="360" w:lineRule="auto" w:before="0" w:after="0"/>
        <w:jc w:val="both"/>
      </w:pPr>
      <w:r>
        <w:rPr>
          <w:rFonts w:ascii="Times New Roman" w:hAnsi="Times New Roman"/>
          <w:sz w:val="28"/>
        </w:rPr>
        <w:t>12. Прессман Р., Максим Б. Разработка программного обеспечения: руководство для начинающих. 9-е изд. – М.: Вильямс, 2021. – 912 с. – ISBN 978-5-8459-2234-5.</w:t>
      </w:r>
    </w:p>
    <w:p>
      <w:pPr>
        <w:spacing w:line="360" w:lineRule="auto" w:before="0" w:after="0"/>
        <w:jc w:val="both"/>
      </w:pPr>
      <w:r>
        <w:rPr>
          <w:rFonts w:ascii="Times New Roman" w:hAnsi="Times New Roman"/>
          <w:sz w:val="28"/>
        </w:rPr>
        <w:t>13. Фаулер М. Архитектура корпоративных программных приложений. – М.: Вильямс, 2020. – 544 с. – ISBN 978-5-8459-2012-8.</w:t>
      </w:r>
    </w:p>
    <w:p>
      <w:pPr>
        <w:spacing w:line="360" w:lineRule="auto" w:before="0" w:after="0"/>
        <w:jc w:val="both"/>
      </w:pPr>
      <w:r>
        <w:rPr>
          <w:rFonts w:ascii="Times New Roman" w:hAnsi="Times New Roman"/>
          <w:sz w:val="28"/>
        </w:rPr>
        <w:t>14. Столлингс У. Криптография и защита сетей: принципы и практика. 8-е изд. – СПб.: Питер, 2021. – 704 с. – ISBN 978-5-4461-1234-9.</w:t>
      </w:r>
    </w:p>
    <w:p>
      <w:pPr>
        <w:spacing w:line="360" w:lineRule="auto" w:before="0" w:after="0"/>
        <w:jc w:val="both"/>
      </w:pPr>
      <w:r>
        <w:rPr>
          <w:rFonts w:ascii="Times New Roman" w:hAnsi="Times New Roman"/>
          <w:sz w:val="28"/>
        </w:rPr>
        <w:t>15. Таненбаум Э., ван Стеен М. Распределённые системы. Принципы и парадигмы. 3-е изд. – СПб.: Питер, 2022. – 896 с. – ISBN 978-5-4461-1456-7.</w:t>
      </w:r>
    </w:p>
    <w:p>
      <w:pPr>
        <w:spacing w:line="360" w:lineRule="auto" w:before="0" w:after="0"/>
        <w:jc w:val="both"/>
      </w:pPr>
      <w:r>
        <w:rPr>
          <w:rFonts w:ascii="Times New Roman" w:hAnsi="Times New Roman"/>
          <w:sz w:val="28"/>
        </w:rPr>
        <w:t>16. Чен Р. PostgreSQL: Полное руководство. 3-е изд. – СПб.: БХВ-Петербург, 2021. – 928 с. – ISBN 978-5-9775-3789-2.</w:t>
      </w:r>
    </w:p>
    <w:p>
      <w:pPr>
        <w:spacing w:line="360" w:lineRule="auto" w:before="0" w:after="0"/>
        <w:jc w:val="both"/>
      </w:pPr>
      <w:r>
        <w:rPr>
          <w:rFonts w:ascii="Times New Roman" w:hAnsi="Times New Roman"/>
          <w:sz w:val="28"/>
        </w:rPr>
        <w:t>17. Карпов Б. Алгоритмы и структуры данных на Python. – М.: ДМК Пресс, 2022. – 432 с. – ISBN 978-5-97060-891-1.</w:t>
      </w:r>
    </w:p>
    <w:p>
      <w:pPr>
        <w:spacing w:line="360" w:lineRule="auto" w:before="0" w:after="0"/>
        <w:jc w:val="both"/>
      </w:pPr>
      <w:r>
        <w:rPr>
          <w:rFonts w:ascii="Times New Roman" w:hAnsi="Times New Roman"/>
          <w:sz w:val="28"/>
        </w:rPr>
        <w:t>18. Маккинни У. Python для анализа данных. 2-е изд. – СПб.: Питер, 2021. – 608 с. – ISBN 978-5-4461-1023-5.</w:t>
      </w:r>
    </w:p>
    <w:p>
      <w:pPr>
        <w:spacing w:line="360" w:lineRule="auto" w:before="0" w:after="0"/>
        <w:jc w:val="both"/>
      </w:pPr>
      <w:r>
        <w:rPr>
          <w:rFonts w:ascii="Times New Roman" w:hAnsi="Times New Roman"/>
          <w:sz w:val="28"/>
        </w:rPr>
        <w:t>19. Холуб Э. Практическое применение проектирования ПО. Паттерны, рефакторинг и SOLID. – М.: ДМК Пресс, 2020. – 368 с. – ISBN 978-5-97060-765-4.</w:t>
      </w:r>
    </w:p>
    <w:p>
      <w:pPr>
        <w:spacing w:line="360" w:lineRule="auto" w:before="0" w:after="0"/>
        <w:jc w:val="both"/>
      </w:pPr>
      <w:r>
        <w:rPr>
          <w:rFonts w:ascii="Times New Roman" w:hAnsi="Times New Roman"/>
          <w:sz w:val="28"/>
        </w:rPr>
        <w:t>20. Пичлер Т. Информационная безопасность: архитектура и стандарты. – М.: Горячая линия – Телеком, 2021. – 416 с. – ISBN 978-5-9912-1023-1.</w:t>
      </w:r>
    </w:p>
    <w:p>
      <w:pPr>
        <w:spacing w:line="360" w:lineRule="auto" w:before="0" w:after="0"/>
        <w:jc w:val="both"/>
      </w:pPr>
      <w:r>
        <w:rPr>
          <w:rFonts w:ascii="Times New Roman" w:hAnsi="Times New Roman"/>
          <w:sz w:val="28"/>
        </w:rPr>
        <w:t>21. Иванов С.В., Петров А.И. Автоматизация документооборота в силовых структурах: проблемы и решения // Вестник МГТУ им. Н.Э. Баумана. Серия: Естественные науки. – 2022. – № 4. – С. 112–125. – DOI: 10.18698/1812-3368-2022-4-112-125.</w:t>
      </w:r>
    </w:p>
    <w:p>
      <w:pPr>
        <w:spacing w:line="360" w:lineRule="auto" w:before="0" w:after="0"/>
        <w:jc w:val="both"/>
      </w:pPr>
      <w:r>
        <w:rPr>
          <w:rFonts w:ascii="Times New Roman" w:hAnsi="Times New Roman"/>
          <w:sz w:val="28"/>
        </w:rPr>
        <w:t>22. Смирнов К.Л., Новиков Д.А. Моделирование процессов обработки конфиденциальной информации в изолированных контурах // Программные продукты и системы. – 2023. – Т. 36, № 1. – С. 45–58. – URL: https://www.swsys.ru/ru/article/item/5621 (дата обращения: 12.05.2025).</w:t>
      </w:r>
    </w:p>
    <w:p>
      <w:pPr>
        <w:spacing w:line="360" w:lineRule="auto" w:before="0" w:after="0"/>
        <w:jc w:val="both"/>
      </w:pPr>
      <w:r>
        <w:rPr>
          <w:rFonts w:ascii="Times New Roman" w:hAnsi="Times New Roman"/>
          <w:sz w:val="28"/>
        </w:rPr>
        <w:t>23. Волков А.Ю. Применение паттерна MVC в разработке настольных приложений на PyQt6 // Информационные технологии и вычислительные системы. – 2024. – № 2. – С. 78–89. – URL: https://cyberleninka.ru/article/n/primenenie-patterna-mvc (дата обращения: 12.05.2025).</w:t>
      </w:r>
    </w:p>
    <w:p>
      <w:pPr>
        <w:spacing w:line="360" w:lineRule="auto" w:before="0" w:after="0"/>
        <w:jc w:val="both"/>
      </w:pPr>
      <w:r>
        <w:rPr>
          <w:rFonts w:ascii="Times New Roman" w:hAnsi="Times New Roman"/>
          <w:sz w:val="28"/>
        </w:rPr>
        <w:t>24. Кузнецов М.С., Лебедев В.П. Механизмы мягкого удаления и аудита изменений в реляционных СУБД // Современные проблемы науки и образования. – 2023. – № 5. – URL: https://www.science-education.ru/ru/article/view?id=31204 (дата обращения: 12.05.2025).</w:t>
      </w:r>
    </w:p>
    <w:p>
      <w:pPr>
        <w:spacing w:line="360" w:lineRule="auto" w:before="0" w:after="0"/>
        <w:jc w:val="both"/>
      </w:pPr>
      <w:r>
        <w:rPr>
          <w:rFonts w:ascii="Times New Roman" w:hAnsi="Times New Roman"/>
          <w:sz w:val="28"/>
        </w:rPr>
        <w:t>25. Федоров Н.Г. Интеграция Python и PostgreSQL: оптимизация запросов и работа с JSONB // Программист. – 2024. – № 3. – С. 14–21. – URL: https://www.programmermag.ru/article/554 (дата обращения: 12.05.2025).</w:t>
      </w:r>
    </w:p>
    <w:p>
      <w:pPr>
        <w:spacing w:line="360" w:lineRule="auto" w:before="0" w:after="0"/>
        <w:jc w:val="both"/>
      </w:pPr>
      <w:r>
        <w:rPr>
          <w:rFonts w:ascii="Times New Roman" w:hAnsi="Times New Roman"/>
          <w:sz w:val="28"/>
        </w:rPr>
        <w:t>26. Python Software Foundation. Python 3.12 Documentation [Электронный ресурс]. – Режим доступа: https://docs.python.org/3/ (дата обращения: 14.05.2025).</w:t>
      </w:r>
    </w:p>
    <w:p>
      <w:pPr>
        <w:spacing w:line="360" w:lineRule="auto" w:before="0" w:after="0"/>
        <w:jc w:val="both"/>
      </w:pPr>
      <w:r>
        <w:rPr>
          <w:rFonts w:ascii="Times New Roman" w:hAnsi="Times New Roman"/>
          <w:sz w:val="28"/>
        </w:rPr>
        <w:t>27. Riverbank Computing Limited. PyQt6 Reference Guide [Электронный ресурс]. – Режим доступа: https://www.riverbankcomputing.com/static/Docs/PyQt6/ (дата обращения: 14.05.2025).</w:t>
      </w:r>
    </w:p>
    <w:p>
      <w:pPr>
        <w:spacing w:line="360" w:lineRule="auto" w:before="0" w:after="0"/>
        <w:jc w:val="both"/>
      </w:pPr>
      <w:r>
        <w:rPr>
          <w:rFonts w:ascii="Times New Roman" w:hAnsi="Times New Roman"/>
          <w:sz w:val="28"/>
        </w:rPr>
        <w:t>28. The PostgreSQL Global Development Group. PostgreSQL 16 Documentation [Электронный ресурс]. – Режим доступа: https://www.postgresql.org/docs/16/ (дата обращения: 14.05.2025).</w:t>
      </w:r>
    </w:p>
    <w:p>
      <w:pPr>
        <w:spacing w:line="360" w:lineRule="auto" w:before="0" w:after="0"/>
        <w:jc w:val="both"/>
      </w:pPr>
      <w:r>
        <w:rPr>
          <w:rFonts w:ascii="Times New Roman" w:hAnsi="Times New Roman"/>
          <w:sz w:val="28"/>
        </w:rPr>
        <w:t>29. python-docx Developers. python-docx: Create, read and write .docx files [Электронный ресурс]. – Режим доступа: https://python-docx.readthedocs.io/en/latest/ (дата обращения: 14.05.2025).</w:t>
      </w:r>
    </w:p>
    <w:p>
      <w:pPr>
        <w:spacing w:line="360" w:lineRule="auto" w:before="0" w:after="0"/>
        <w:jc w:val="both"/>
      </w:pPr>
      <w:r>
        <w:rPr>
          <w:rFonts w:ascii="Times New Roman" w:hAnsi="Times New Roman"/>
          <w:sz w:val="28"/>
        </w:rPr>
        <w:t>30. openpyxl Developers. Read and Write Excel 2010 xlsx/xlsm/xltx/xltm Files [Электронный ресурс]. – Режим доступа: https://openpyxl.readthedocs.io/en/stable/ (дата обращения: 14.05.2025).</w:t>
      </w:r>
    </w:p>
    <w:p>
      <w:pPr>
        <w:spacing w:line="360" w:lineRule="auto" w:before="0" w:after="0"/>
        <w:jc w:val="both"/>
      </w:pPr>
      <w:r>
        <w:rPr>
          <w:rFonts w:ascii="Times New Roman" w:hAnsi="Times New Roman"/>
          <w:sz w:val="28"/>
        </w:rPr>
        <w:t>31. bcrypt Developers. bcrypt: A password hashing library for Python [Электронный ресурс]. – Режим доступа: https://pypi.org/project/bcrypt/ (дата обращения: 14.05.2025).</w:t>
      </w:r>
    </w:p>
    <w:p>
      <w:pPr>
        <w:spacing w:line="360" w:lineRule="auto" w:before="0" w:after="0"/>
        <w:jc w:val="both"/>
      </w:pPr>
      <w:r>
        <w:rPr>
          <w:rFonts w:ascii="Times New Roman" w:hAnsi="Times New Roman"/>
          <w:sz w:val="28"/>
        </w:rPr>
        <w:t>32. Pillow Developers. Pillow: The friendly PIL fork [Электронный ресурс]. – Режим доступа: https://pillow.readthedocs.io/en/stable/ (дата обращения: 14.05.2025).</w:t>
      </w:r>
    </w:p>
    <w:p>
      <w:pPr>
        <w:spacing w:line="360" w:lineRule="auto" w:before="0" w:after="0"/>
        <w:jc w:val="both"/>
      </w:pPr>
      <w:r>
        <w:rPr>
          <w:rFonts w:ascii="Times New Roman" w:hAnsi="Times New Roman"/>
          <w:sz w:val="28"/>
        </w:rPr>
        <w:t>33. JetBrains. PyCharm IDE Documentation [Электронный ресурс]. – Режим доступа: https://www.jetbrains.com/help/pycharm/ (дата обращения: 14.05.2025).</w:t>
      </w:r>
    </w:p>
    <w:p>
      <w:pPr>
        <w:spacing w:line="360" w:lineRule="auto" w:before="0" w:after="0"/>
        <w:jc w:val="both"/>
      </w:pPr>
      <w:r>
        <w:rPr>
          <w:rFonts w:ascii="Times New Roman" w:hAnsi="Times New Roman"/>
          <w:sz w:val="28"/>
        </w:rPr>
        <w:t>34. Microsoft. Visual Studio Code User Guide [Электронный ресурс]. – Режим доступа: https://code.visualstudio.com/docs (дата обращения: 14.05.2025).</w:t>
      </w:r>
    </w:p>
    <w:p>
      <w:pPr>
        <w:spacing w:line="360" w:lineRule="auto" w:before="0" w:after="0"/>
        <w:jc w:val="both"/>
      </w:pPr>
      <w:r>
        <w:rPr>
          <w:rFonts w:ascii="Times New Roman" w:hAnsi="Times New Roman"/>
          <w:sz w:val="28"/>
        </w:rPr>
        <w:t>35. Git SCM. Git Reference Documentation [Электронный ресурс]. – Режим доступа: https://git-scm.com/doc (дата обращения: 14.05.2025).</w:t>
      </w:r>
    </w:p>
    <w:p>
      <w:pPr>
        <w:spacing w:line="360" w:lineRule="auto" w:before="0" w:after="0"/>
        <w:jc w:val="both"/>
      </w:pPr>
      <w:r>
        <w:rPr>
          <w:rFonts w:ascii="Times New Roman" w:hAnsi="Times New Roman"/>
          <w:sz w:val="28"/>
        </w:rPr>
        <w:t>36. OWASP Foundation. OWASP Top 10:2021 Web Application Security Risks [Электронный ресурс]. – Режим доступа: https://owasp.org/www-project-top-ten/ (дата обращения: 14.05.2025).</w:t>
      </w:r>
    </w:p>
    <w:p>
      <w:pPr>
        <w:spacing w:line="360" w:lineRule="auto" w:before="0" w:after="0"/>
        <w:jc w:val="both"/>
      </w:pPr>
      <w:r>
        <w:rPr>
          <w:rFonts w:ascii="Times New Roman" w:hAnsi="Times New Roman"/>
          <w:sz w:val="28"/>
        </w:rPr>
        <w:t>37. NIST. NIST Special Publication 800-115: Technical Guide to Information Security Testing and Assessment [Электронный ресурс]. – Режим доступа: https://csrc.nist.gov/publications/detail/sp/800-115/final (дата обращения: 14.05.2025).</w:t>
      </w:r>
    </w:p>
    <w:p>
      <w:pPr>
        <w:spacing w:line="360" w:lineRule="auto" w:before="0" w:after="0"/>
        <w:jc w:val="both"/>
      </w:pPr>
      <w:r>
        <w:rPr>
          <w:rFonts w:ascii="Times New Roman" w:hAnsi="Times New Roman"/>
          <w:sz w:val="28"/>
        </w:rPr>
        <w:t>38. The Open Group. ArchiMate® Specification v3.2 [Электронный ресурс]. – Режим доступа: https://www.opengroup.org/archimate-forum/archimate-specifications (дата обращения: 14.05.2025).</w:t>
      </w:r>
    </w:p>
    <w:p>
      <w:pPr>
        <w:spacing w:line="360" w:lineRule="auto" w:before="0" w:after="0"/>
        <w:jc w:val="both"/>
      </w:pPr>
      <w:r>
        <w:rPr>
          <w:rFonts w:ascii="Times New Roman" w:hAnsi="Times New Roman"/>
          <w:sz w:val="28"/>
        </w:rPr>
        <w:t>39. ISO/IEC. ISO/IEC 25010:2023 Systems and software engineering — Systems and software Quality Requirements and Evaluation (SQuaRE) — System and software quality models [Электронный ресурс]. – Режим доступа: https://www.iso.org/standard/35733.html (дата обращения: 14.05.2025).</w:t>
      </w:r>
    </w:p>
    <w:p>
      <w:pPr>
        <w:spacing w:line="360" w:lineRule="auto" w:before="0" w:after="0"/>
        <w:jc w:val="both"/>
      </w:pPr>
      <w:r>
        <w:rPr>
          <w:rFonts w:ascii="Times New Roman" w:hAnsi="Times New Roman"/>
          <w:sz w:val="28"/>
        </w:rPr>
        <w:t>40. Linux Foundation. Astra Linux Special Edition Documentation [Электронный ресурс]. – Режим доступа: https://wiki.astralinux.ru/ (дата обращения: 14.05.2025).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