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Технические требования</w:t>
      </w:r>
    </w:p>
    <w:p>
      <w:pPr/>
      <w:r>
        <w:t>Технические требования к аппаратному обеспечению и программной среде сформированы на основе анализа потребляемых ресурсов и условий эксплуатации в изолированном информационном контуре. Минимальные аппаратные требования: процессор 64-разрядной архитектуры с многоядерной структурой (обеспечивает параллельную обработку событий пользовательского интерфейса и фоновых запросов к хранилищу данных), объём оперативной памяти, достаточный для кэширования часто используемых данных и комфортной работы с выборками свыше тысячи записей, свободное дисковое пространство для хранения временных файлов, шаблонов документов и локальных отчётов.</w:t>
      </w:r>
    </w:p>
    <w:p>
      <w:pPr/>
      <w:r>
        <w:t>В качестве системы управления базами данных должна использоваться современная реляционная СУБД с полной поддержкой транзакционной целостности, расширенными типами данных для хранения гибких конфигураций, механизмами внешних ключей с каскадными операциями и оптимизированными индексами. Язык программирования и графический фреймворк должны относиться к категории открытого программного обеспечения, поддерживать кроссплатформенность и иметь развитое сообщество разработчиков. Развёртывание системы допускается исключительно в изолированной локальной сети без прямого доступа к глобальным сетям, с обязательным использованием защищённых протоколов шифрования трафика между клиентским приложением и сервером баз данных. Подробные технические требования представлены в таблице 1.4.</w:t>
      </w:r>
    </w:p>
    <w:p>
      <w:pPr>
        <w:spacing w:after="120"/>
        <w:ind w:firstLine="709"/>
      </w:pPr>
      <w:r>
        <w:t>Таблица 1.4 – Технические требования к операционной среде и оборудованию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68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Абстрактная спецификация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ОС Клиента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Кроссплатформенность, импортозамещение</w:t>
            </w:r>
          </w:p>
        </w:tc>
        <w:tc>
          <w:tcPr>
            <w:tcW w:type="dxa" w:w="3685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Современные ОС общего назначения, включая сертифицированные отечественные платформы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ОС Сервера БД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Стабильность, поддержка штатного резервного копирования</w:t>
            </w:r>
          </w:p>
        </w:tc>
        <w:tc>
          <w:tcPr>
            <w:tcW w:type="dxa" w:w="3685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Серверные дистрибутивы с долгосрочной поддержкой (LTS)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Процессор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Параллельная обработка запросов</w:t>
            </w:r>
          </w:p>
        </w:tc>
        <w:tc>
          <w:tcPr>
            <w:tcW w:type="dxa" w:w="3685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64-разрядная архитектура, многоядерная структура, тактовая частота от 2.0 ГГц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Оперативная память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Кэширование данных, работа с большими выборками</w:t>
            </w:r>
          </w:p>
        </w:tc>
        <w:tc>
          <w:tcPr>
            <w:tcW w:type="dxa" w:w="3685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Не менее 4 ГБ (рекомендуется 8 ГБ для оптимальной производительности)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Дисковое пространство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Хранение временных файлов, шаблонов, отчётов, логов</w:t>
            </w:r>
          </w:p>
        </w:tc>
        <w:tc>
          <w:tcPr>
            <w:tcW w:type="dxa" w:w="3685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Не менее 500 МБ свободного пространства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СУБД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Транзакционная целостность, гибкие структуры, бинарные данные</w:t>
            </w:r>
          </w:p>
        </w:tc>
        <w:tc>
          <w:tcPr>
            <w:tcW w:type="dxa" w:w="3685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Реляционная СУБД с поддержкой ACID, JSON-конфигураций и бинарных полей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Язык / Фреймворк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Открытое ПО, активное сообщество, кроссплатформенность</w:t>
            </w:r>
          </w:p>
        </w:tc>
        <w:tc>
          <w:tcPr>
            <w:tcW w:type="dxa" w:w="3685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Язык программирования высокого уровня / Современный GUI-фреймворк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Сетевое взаимодействие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Изолированный контур, шифрование трафика</w:t>
            </w:r>
          </w:p>
        </w:tc>
        <w:tc>
          <w:tcPr>
            <w:tcW w:type="dxa" w:w="3685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Локальная сеть (LAN), стандарты защищённого сетевого обмена (TLS)</w:t>
            </w:r>
          </w:p>
        </w:tc>
      </w:tr>
    </w:tbl>
    <w:p/>
    <w:p>
      <w:pPr>
        <w:pStyle w:val="Heading2"/>
      </w:pPr>
      <w:r>
        <w:t>Требования информационной безопасности</w:t>
      </w:r>
    </w:p>
    <w:p>
      <w:pPr/>
      <w:r>
        <w:t>Информационная безопасность АРМ реализуется на нескольких уровнях защиты данных и контроля доступа. На уровне аутентификации применяются криптографические алгоритмы одностороннего хеширования паролей с настраиваемой вычислительной сложностью, что обеспечивает устойчивость к методам полного перебора и использованию предвычисленных таблиц в соответствии с современными стандартами информационной безопасности. На уровне авторизации внедрена ролевая модель управления доступом, строго ограничивающая функционал административных модулей (управление учётными записями, восстановление удалённых данных, просмотр журналов) для соответствующей роли; базовая роль предоставляет доступ исключительно к операциям учёта и генерации отчётности в пределах активной сессии.</w:t>
      </w:r>
    </w:p>
    <w:p>
      <w:pPr/>
      <w:r>
        <w:t>На уровне хранения данных реализован механизм логического (мягкого) удаления: вместо физической очистки записи активируется соответствующий статусный флаг, а метаданные операции (временная метка и идентификатор инициатора) фиксируются в системных полях, что позволяет уполномоченным лицам восстанавливать ошибочно удалённые данные без нарушения ссылочной целостности. Все значимые действия пользователей регистрируются в централизованном журнале аудита с фиксацией предыдущих и новых состояний полей в структурированном формате, что обеспечивает полную ретроспективную трассируемость изменений и соответствие требованиям федерального законодательства о защите персональных данных. Транзакционная целостность обеспечивается через механизмы фиксации и автоматического отката операций при возникновении системных ошибок, предотвращая частичное сохранение данных. Резервное копирование выполняется регламентно средствами СУБД, а контроль целостности осуществляется через встроенные механизмы верификации и регулярный аудит журналов. Передача данных между клиентским интерфейсом и сервером базы данных защищена протоколами шифрования, исключающими риски несанкционированного перехвата трафика.</w:t>
      </w:r>
    </w:p>
    <w:p>
      <w:pPr>
        <w:pStyle w:val="Heading2"/>
      </w:pPr>
      <w:r>
        <w:t>Выводы</w:t>
      </w:r>
    </w:p>
    <w:p>
      <w:pPr/>
      <w:r>
        <w:t>На основе проведённого анализа предметной области, информационных потоков и сравнительной оценки существующих программных решений были сформулированы комплексные требования к разрабатываемому автоматизированному рабочему месту сотрудника отдела дознания. Требования структурированы по пяти ключевым направлениям: общие, функциональные, требования к пользовательскому интерфейсу, технические и требования информационной безопасности. Установлено, что разрабатываемый программный продукт должен обеспечивать кроссплатформенность, стабильную работу в изолированном контуре, поддержку гибкой конфигурации процессуальных шаблонов через расширяемые структуры данных, полный цикл операций управления учётными записями, автоматизированную генерацию документов, экспорт отчётности, а также многоуровневую защиту данных с применением криптографических алгоритмов, ролевой модели доступа и сквозного аудита действий пользователей. Сформулированные требования соответствуют нормативным актам Российской Федерации в области защиты информации и формируют методологический базис для последующего этапа проектирования архитектуры и информационного моделирования программного комплекса.</w:t>
      </w:r>
    </w:p>
    <w:p>
      <w:pPr>
        <w:pStyle w:val="Heading2"/>
      </w:pPr>
      <w:r>
        <w:t>Выводы по разделу 1</w:t>
      </w:r>
    </w:p>
    <w:p>
      <w:pPr/>
      <w:r>
        <w:t>Проведён детальный анализ процессуальной деятельности отдела дознания военной комендатуры, выявлены ключевые информационные потоки при регистрации и сопровождении карточек розыска. Установлено, что существующий ручной учёт с использованием бумажных журналов и разрозненных файлов офисных приложений приводит к дублированию записей, нарушению процессуальных сроков, отсутствию механизма версионирования и создаёт критические риски утечки персональных и служебных данных. Выполнен сравнительный анализ коммерческих, открытых и ведомственных информационных систем. Подтверждена невозможность их прямого применения для задач военной комендатуры из-за высокой стоимости владения, закрытой архитектуры, отсутствия поддержки изолированного контура, негибкой работы с бинарными данными и невозможности быстрой адаптации под узкоспециализированные процессуальные шаблоны. Сформулированы и структурированы полные требования к разрабатываемому АРМ, охватывающие общие, функциональные, дизайнерские, технические аспекты и вопросы информационной безопасности. Определены технологические ограничения: использование реляционной СУБД с поддержкой транзакционной целостности, кроссплатформенного графического фреймворка, современных алгоритмов шифрования, поддержка сертифицированных отечественных операционных систем и развёртывание исключительно в закрытой локальной сети. Обоснована необходимость разработки собственного специализированного программного продукта, архитектура которого будет основана на принципах модульности, клиент-серверного взаимодействия и централизованного хранения данных. Сформулированные требования и ограничения формируют техническое задание для следующего этапа работы – проектирования структуры базы данных, выбора модели жизненного цикла и разработки архитектуры приложения.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