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709"/>
      </w:pPr>
      <w:r>
        <w:rPr>
          <w:rFonts w:ascii="Times New Roman" w:hAnsi="Times New Roman"/>
          <w:b/>
          <w:color w:val="000000"/>
          <w:sz w:val="28"/>
        </w:rPr>
        <w:t>2.3 Архитектура программного продукта</w:t>
      </w:r>
    </w:p>
    <w:p>
      <w:pPr>
        <w:ind w:firstLine="709"/>
      </w:pPr>
      <w:r>
        <w:t>Проектирование архитектуры автоматизированного рабочего места (АРМ) сотрудника отдела дознания осуществлялось с учётом требований к отказоустойчивости, информационной безопасности, масштабируемости и удобства сопровождения. В качестве базовой парадигмы выбрана трёхуровневая клиент-серверная архитектура с адаптацией паттерна Model-View-Controller (MVC). Данное решение обеспечивает строгое разделение ответственности между слоями, минимизирует связность компонентов и упрощает независимое тестирование каждого модуля системы.</w:t>
      </w:r>
    </w:p>
    <w:p>
      <w:pPr>
        <w:ind w:firstLine="709"/>
      </w:pPr>
      <w:r>
        <w:t>Трёхуровневая архитектура является стандартом де-факто для корпоративных информационных систем, обрабатывающих конфиденциальные данные. В рамках проекта архитектура разделена на три изолированных логических уровня: уровень представления, уровень бизнес-логики и уровень данных. Взаимодействие между уровнями осуществляется через строго определённые интерфейсы, что исключает риски несанкционированного доступа и SQL-инъекций.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color w:val="000000"/>
          <w:sz w:val="28"/>
        </w:rPr>
        <w:t>2.3.1 Общая схема архитектуры</w:t>
      </w:r>
    </w:p>
    <w:p>
      <w:pPr>
        <w:ind w:firstLine="709"/>
      </w:pPr>
      <w:r>
        <w:t>Общая схема архитектуры приложения представлена на рисунке 2.2. Данная диаграмма демонстрирует трёхуровневую структуру системы с чётким разделением ответственности между компонентами.</w:t>
      </w:r>
    </w:p>
    <w:p/>
    <w:p>
      <w:pPr>
        <w:spacing w:before="120" w:after="120"/>
        <w:ind w:firstLine="0"/>
        <w:jc w:val="center"/>
      </w:pPr>
      <w:r>
        <w:rPr>
          <w:rFonts w:ascii="Times New Roman" w:hAnsi="Times New Roman"/>
          <w:b/>
          <w:color w:val="808080"/>
          <w:sz w:val="24"/>
        </w:rPr>
        <w:t>[МЕСТО ДЛЯ РИСУНКА 2.2]</w:t>
        <w:br/>
      </w:r>
      <w:r>
        <w:rPr>
          <w:rFonts w:ascii="Times New Roman" w:hAnsi="Times New Roman"/>
          <w:color w:val="808080"/>
          <w:sz w:val="20"/>
        </w:rPr>
        <w:t>(Схема архитектуры приложения)</w:t>
      </w:r>
    </w:p>
    <w:p>
      <w:pPr>
        <w:spacing w:before="120" w:after="240"/>
        <w:ind w:firstLine="0"/>
        <w:jc w:val="center"/>
      </w:pPr>
      <w:r>
        <w:rPr>
          <w:rFonts w:ascii="Times New Roman" w:hAnsi="Times New Roman"/>
          <w:sz w:val="28"/>
        </w:rPr>
        <w:t>Рисунок 2.2 – Схема архитектуры приложения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>На рисунке 2.2 показано: взаимодействие трёх уровней системы: уровня представления (PyQt6 View/Controller), уровня бизнес-логики (Python Model/Audit/DocGen) и уровня данных (PostgreSQL 16). Показаны интерфейсы взаимодействия между уровнями и направление потоков данных.</w:t>
      </w:r>
    </w:p>
    <w:p/>
    <w:p>
      <w:pPr>
        <w:ind w:firstLine="709"/>
      </w:pPr>
      <w:r>
        <w:t>На схеме представлены следующие компоненты системы: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Уровень представления (View/Controller). Реализован на базе фреймворка PyQt6. Отвечает за отображение графического интерфейса пользователя, обработку событий и валидацию вводимых данных. Включает главные окна приложения, диалоговые формы и элементы управления.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Уровень бизнес-логики (Model/Audit/DocGen). Реализован на языке Python. Содержит основные алгоритмы работы системы: генерацию процессуальных документов, экспорт данных в Excel, ведение журнала аудита, автодополнение полей и обработку бизнес-правил предметной области.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Уровень данных (PostgreSQL 16). Реализован на базе СУБД PostgreSQL версии 16. Обеспечивает надёжное хранение данных с поддержкой ACID-транзакций, работу с бинарными данными (BYTEA) для хранения фотографий и документов, использование гибких структур JSONB для конфигураций.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color w:val="000000"/>
          <w:sz w:val="28"/>
        </w:rPr>
        <w:t>2.3.2 Компоненты системы</w:t>
      </w:r>
    </w:p>
    <w:p>
      <w:pPr>
        <w:ind w:firstLine="709"/>
      </w:pPr>
      <w:r>
        <w:t>Архитектура системы включает следующие основные компоненты, распределённые по уровням: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MainWindow, KrdDetailsWindow (уровень представления). Графический интерфейс пользователя, включающий главное окно с таблицей карточек розыска, окно детального просмотра и редактирования КРД с вкладочной навигацией.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Основные функции: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Визуализация данных КРД в табличном виде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Валидация ввода с использованием регулярных выражений (RegEx)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Обработка событий пользователя (клики, ввод данных)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Масштабирование фотографий до фиксированного размера 180×240 px</w:t>
      </w:r>
    </w:p>
    <w:p/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Controller (MVC) (уровень бизнес-логики). Контроллер бизнес-логики, управляющий взаимодействием между представлением и данными.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Основные функции: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Валидация данных перед сохранением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Подготовка SQL-запросов с использованием PREPARE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Передача параметров через bindValue для защиты от SQL-инъекций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Обработка транзакций (BEGIN, COMMIT, ROLLBACK)</w:t>
      </w:r>
    </w:p>
    <w:p/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AuditLogger (уровень бизнес-логики). Система сквозного аудита действий пользователей.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Основные функции: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Логирование всех значимых действий (CREATE, UPDATE, DELETE)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Сохранение старых и новых значений полей в формате JSONB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Фиксация пользователя и времени выполнения операции</w:t>
      </w:r>
    </w:p>
    <w:p/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PostgreSQL 16 (уровень данных). Система управления реляционными базами данных.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Основные функции: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ACID-транзакции для обеспечения целостности данных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Хранение данных в 26 таблицах, нормализованных до 3НФ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JSONB для хранения гибких конфигураций и составных полей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BYTEA для хранения бинарных данных (фотографии, документы)</w:t>
      </w:r>
    </w:p>
    <w:p>
      <w:pPr>
        <w:ind w:firstLine="709"/>
      </w:pPr>
      <w:r>
        <w:t xml:space="preserve">   </w:t>
      </w:r>
      <w:r>
        <w:rPr>
          <w:rFonts w:ascii="Times New Roman" w:hAnsi="Times New Roman"/>
          <w:sz w:val="28"/>
        </w:rPr>
        <w:t>Advisory Locks для предотвращения конфликтов при одновременном редактировании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color w:val="000000"/>
          <w:sz w:val="28"/>
        </w:rPr>
        <w:t>2.3.3 Диаграммы архитектуры</w:t>
      </w:r>
    </w:p>
    <w:p>
      <w:pPr>
        <w:ind w:firstLine="709"/>
      </w:pPr>
      <w:r>
        <w:t>Информационная модель данных, лежащая в основе архитектуры системы, формализована в нотации UML (Unified Modeling Language). Диаграммы отображают трансформацию процессов обработки карточек розыска (КРД) при переходе от ручного учёта к автоматизированному рабочему месту.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color w:val="000000"/>
          <w:sz w:val="28"/>
        </w:rPr>
        <w:t>Диаграмма вариантов использования (Use Case Diagram)</w:t>
      </w:r>
    </w:p>
    <w:p>
      <w:pPr>
        <w:ind w:firstLine="709"/>
      </w:pPr>
      <w:r>
        <w:t>Диаграмма вариантов использования (рисунок 2.5) определяет границы системы и роли пользователей. Данная диаграмма показывает, какие функции доступны различным категориям пользователей системы.</w:t>
      </w:r>
    </w:p>
    <w:p/>
    <w:p>
      <w:pPr>
        <w:spacing w:before="120" w:after="120"/>
        <w:ind w:firstLine="0"/>
        <w:jc w:val="center"/>
      </w:pPr>
      <w:r>
        <w:rPr>
          <w:rFonts w:ascii="Times New Roman" w:hAnsi="Times New Roman"/>
          <w:b/>
          <w:color w:val="808080"/>
          <w:sz w:val="24"/>
        </w:rPr>
        <w:t>[МЕСТО ДЛЯ РИСУНКА 2.5]</w:t>
        <w:br/>
      </w:r>
      <w:r>
        <w:rPr>
          <w:rFonts w:ascii="Times New Roman" w:hAnsi="Times New Roman"/>
          <w:color w:val="808080"/>
          <w:sz w:val="20"/>
        </w:rPr>
        <w:t>(Диаграмма вариантов использования системы)</w:t>
      </w:r>
    </w:p>
    <w:p>
      <w:pPr>
        <w:spacing w:before="120" w:after="240"/>
        <w:ind w:firstLine="0"/>
        <w:jc w:val="center"/>
      </w:pPr>
      <w:r>
        <w:rPr>
          <w:rFonts w:ascii="Times New Roman" w:hAnsi="Times New Roman"/>
          <w:sz w:val="28"/>
        </w:rPr>
        <w:t>Рисунок 2.5 – Диаграмма вариантов использования системы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>На рисунке 2.5 показано: взаимодействие двух основных акторов (Администратор и Пользователь/Дознаватель) с функциональными возможностями системы. Показаны основные use cases: создание КРД, удаление КРД, просмотр КРД, работа с шаблонами, справочниками, отчётами и настройками системы.</w:t>
      </w:r>
    </w:p>
    <w:p/>
    <w:p>
      <w:pPr>
        <w:ind w:firstLine="709"/>
      </w:pPr>
      <w:r>
        <w:t>На диаграмме представлены следующие элементы: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Актор «Дознаватель» (Пользователь). Основной пользователь системы, осуществляющий ведение карточек розыска, генерацию процессуальных документов в формате .docx и выгрузку аналитических отчётов в .xlsx.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Актор «Администратор». Пользователь с расширенными правами, осуществляющий управление справочниками (звания, категории, статусы), контроль активных сессий, просмотр журнала аудита и восстановление мягко удалённых записей из «Корзины».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Use Cases (варианты использования). Основные сценарии работы с системой: создание КРД, удаление КРД, просмотр КРД, работа с шаблонами документов, работа со справочниками, формирование отчётов, настройка системы.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Аутентификация. Все операции проходят через систему аутентификации с хешированием паролей алгоритмом bcrypt для обеспечения безопасности.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color w:val="000000"/>
          <w:sz w:val="28"/>
        </w:rPr>
        <w:t>Диаграмма активностей (Activity Diagram)</w:t>
      </w:r>
    </w:p>
    <w:p>
      <w:pPr>
        <w:ind w:firstLine="709"/>
      </w:pPr>
      <w:r>
        <w:t>Диаграмма активностей (рисунок 2.6) визуализирует алгоритм создания и сохранения новой карточки розыска. Данная диаграмма показывает последовательность действий системы и пользователя при добавлении новой записи.</w:t>
      </w:r>
    </w:p>
    <w:p/>
    <w:p>
      <w:pPr>
        <w:spacing w:before="120" w:after="120"/>
        <w:ind w:firstLine="0"/>
        <w:jc w:val="center"/>
      </w:pPr>
      <w:r>
        <w:rPr>
          <w:rFonts w:ascii="Times New Roman" w:hAnsi="Times New Roman"/>
          <w:b/>
          <w:color w:val="808080"/>
          <w:sz w:val="24"/>
        </w:rPr>
        <w:t>[МЕСТО ДЛЯ РИСУНКА 2.6]</w:t>
        <w:br/>
      </w:r>
      <w:r>
        <w:rPr>
          <w:rFonts w:ascii="Times New Roman" w:hAnsi="Times New Roman"/>
          <w:color w:val="808080"/>
          <w:sz w:val="20"/>
        </w:rPr>
        <w:t>(Диаграмма активностей создания и сохранения КРД)</w:t>
      </w:r>
    </w:p>
    <w:p>
      <w:pPr>
        <w:spacing w:before="120" w:after="240"/>
        <w:ind w:firstLine="0"/>
        <w:jc w:val="center"/>
      </w:pPr>
      <w:r>
        <w:rPr>
          <w:rFonts w:ascii="Times New Roman" w:hAnsi="Times New Roman"/>
          <w:sz w:val="28"/>
        </w:rPr>
        <w:t>Рисунок 2.6 – Диаграмма активностей создания и сохранения КРД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>На рисунке 2.6 показано: последовательный алгоритм создания карточки розыска: от ввода данных в интерфейс через валидацию полей к транзакционной записи в базу данных с одновременным созданием записи в журнале аудита и фиксацией транзакции.</w:t>
      </w:r>
    </w:p>
    <w:p/>
    <w:p>
      <w:pPr>
        <w:ind w:firstLine="709"/>
      </w:pPr>
      <w:r>
        <w:t>Процесс создания КРД включает следующие этапы: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Начальное состояние. Процесс начинается с ввода данных в интерфейс системы. Пользователь заполняет форму карточки розыска, включая масштабирование фотографий и проверку форматов данных.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Проверка обязательных полей. Система выполняет автоматическую проверку заполнения обязательных полей и соответствие форматов регулярным выражениям (RegEx). Проверяются форматы паспортных данных, военного билета, банковских карт.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Решение о валидации. Diamond-элемент (ромб) принимает решение: если валидация не пройдена (Нет), транзакция отклоняется и пользователю выводится структурированное сообщение об ошибке. Если валидация пройдена (Да), процесс продолжается.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Начало транзакции (BEGIN TRANSACTION). При успешной валидации система начинает транзакцию базы данных для обеспечения атомарности операции.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Запись данных в БД (QSqlQuery, INSERT). Данные карточки розыска записываются в таблицу krd.social_data с использованием подготовленных SQL-запросов через QSqlQuery.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Создание записи в audit_log. Одновременно с сохранением данных создаётся запись в таблице журнала аудита с типом действия CREATE и фиксацией новых значений в формате JSONB.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Фиксация транзакции (COMMIT). Транзакция завершается командой COMMIT, что гарантирует атомарность операции и отсутствие «висячих» состояний в базе данных.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Конечное состояние. Процесс завершается успешно, пользователю выводится сообщение о создании карточки розыска.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color w:val="000000"/>
          <w:sz w:val="28"/>
        </w:rPr>
        <w:t>Диаграмма последовательности (Sequence Diagram)</w:t>
      </w:r>
    </w:p>
    <w:p>
      <w:pPr>
        <w:ind w:firstLine="709"/>
      </w:pPr>
      <w:r>
        <w:t>Диаграмма последовательности (рисунок 2.7) детализирует временное взаимодействие слоёв MVC при сохранении записи. Данная диаграмма показывает порядок обмена сообщениями между компонентами системы во времени.</w:t>
      </w:r>
    </w:p>
    <w:p/>
    <w:p>
      <w:pPr>
        <w:spacing w:before="120" w:after="120"/>
        <w:ind w:firstLine="0"/>
        <w:jc w:val="center"/>
      </w:pPr>
      <w:r>
        <w:rPr>
          <w:rFonts w:ascii="Times New Roman" w:hAnsi="Times New Roman"/>
          <w:b/>
          <w:color w:val="808080"/>
          <w:sz w:val="24"/>
        </w:rPr>
        <w:t>[МЕСТО ДЛЯ РИСУНКА 2.7]</w:t>
        <w:br/>
      </w:r>
      <w:r>
        <w:rPr>
          <w:rFonts w:ascii="Times New Roman" w:hAnsi="Times New Roman"/>
          <w:color w:val="808080"/>
          <w:sz w:val="20"/>
        </w:rPr>
        <w:t>(Диаграмма последовательности сохранения данных)</w:t>
      </w:r>
    </w:p>
    <w:p>
      <w:pPr>
        <w:spacing w:before="120" w:after="240"/>
        <w:ind w:firstLine="0"/>
        <w:jc w:val="center"/>
      </w:pPr>
      <w:r>
        <w:rPr>
          <w:rFonts w:ascii="Times New Roman" w:hAnsi="Times New Roman"/>
          <w:sz w:val="28"/>
        </w:rPr>
        <w:t>Рисунок 2.7 – Диаграмма последовательности сохранения данных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>На рисунке 2.7 показано: временное взаимодействие компонентов: Пользователь → View (UI) → Controller (Business Logic) → AuditLogger (Service) → PostgreSQL (СУБД). Показана последовательность вызовов методов, подготовка SQL-запросов, выполнение транзакции и возврат результатов.</w:t>
      </w:r>
    </w:p>
    <w:p/>
    <w:p>
      <w:pPr>
        <w:ind w:firstLine="709"/>
      </w:pPr>
      <w:r>
        <w:t>Последовательность взаимодействия компонентов: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Пользователь (Дознаватель) инициирует действие, нажимая кнопку «Сохранить» в интерфейсе.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View (UI) [PyQt6 Window] принимает событие и передаёт данные методу triggerSave(data) контроллера.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Controller (Business Logic) выполняет бизнес-логику валидации данных через метод validateData(). При ошибке вызывается showError() и пользователю выводится QMessageBox с сообщением об ошибке.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При успешной валидации контроллер подготавливает SQL-запрос через PREPARE Query() и передаёт параметры через bindValue(params) для предотвращения SQL-инъекций.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PostgreSQL (СУБД) выполняет INSERT запрос и возвращает сгенерированный id записи через RETURNING id.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Controller вызывает метод логгера аудита AuditLogger.logAction('CREATE') для записи информации о созданной записи в журнал аудита.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AuditLogger → PostgreSQL выполняет INSERT into audit_log с сохранением diff-значений в формате JSONB.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Controller → PostgreSQL выполняет COMMIT для фиксации транзакции.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Controller → View возвращает результат updateStatus(SUCCESS) и выводит пользователю QMessageBox с сообщением об успешном сохранении.</w:t>
      </w:r>
    </w:p>
    <w:p>
      <w:pPr>
        <w:ind w:firstLine="709"/>
      </w:pPr>
      <w:r>
        <w:t>При возникновении ошибки на любом этапе вызывается ROLLBACK, интерфейс остаётся в стабильном состоянии, а пользователю выводится сообщение с кодом исключения СУБД.</w:t>
      </w:r>
    </w:p>
    <w:p>
      <w:pPr>
        <w:spacing w:before="240" w:after="120"/>
        <w:ind w:firstLine="709"/>
      </w:pPr>
      <w:r>
        <w:rPr>
          <w:rFonts w:ascii="Times New Roman" w:hAnsi="Times New Roman"/>
          <w:b/>
          <w:color w:val="000000"/>
          <w:sz w:val="28"/>
        </w:rPr>
        <w:t>2.3.4 Механизмы информационной безопасности</w:t>
      </w:r>
    </w:p>
    <w:p>
      <w:pPr>
        <w:ind w:firstLine="709"/>
      </w:pPr>
      <w:r>
        <w:t>Архитектура системы реализует многоуровневую защиту данных в соответствии с требованиями Федерального закона № 152-ФЗ «О персональных данных» и приказами ФСТЭК России № 17 и 21.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Аутентификация. Хеширование паролей алгоритмом bcrypt с настраиваемой вычислительной сложностью (work factor), контроль активных сессий, защита от brute-force атак.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Авторизация. Ролевая модель разграничения доступа (RBAC) с чётким разделением прав: роль «Дознаватель» имеет доступ к операциям учёта и генерации отчётности, роль «Администратор» обладает расширенными правами управления системой.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Целостность данных. ACID-транзакции обеспечивают атомарность, согласованность, изоляцию и долговечность операций. Механизм мягкого удаления (soft delete) с флагом is_deleted позволяет восстанавливать ошибочно удалённые записи. Advisory Locks предотвращают конфликты при одновременном редактировании.</w:t>
      </w:r>
    </w:p>
    <w:p>
      <w:pPr>
        <w:ind w:firstLine="709"/>
      </w:pPr>
      <w:r>
        <w:rPr>
          <w:b w:val="0"/>
        </w:rPr>
        <w:t xml:space="preserve">– </w:t>
      </w:r>
      <w:r>
        <w:rPr>
          <w:rFonts w:ascii="Times New Roman" w:hAnsi="Times New Roman"/>
          <w:sz w:val="28"/>
        </w:rPr>
        <w:t>Сквозной аудит. Все значимые действия пользователей регистрируются в журнале аудита (audit_log) с фиксацией предыдущих и новых состояний полей в формате JSONB, что обеспечивает полную ретроспективную трассируемость любых изменений.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