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160"/>
      </w:pPr>
      <w:r>
        <w:t xml:space="preserve"/>
      </w:r>
    </w:p>
    <w:p>
      <w:pPr>
        <w:spacing w:after="140"/>
        <w:jc w:val="center"/>
      </w:pPr>
      <w:r>
        <w:rPr>
          <w:rFonts w:ascii="Arial" w:cs="Arial" w:eastAsia="Arial" w:hAnsi="Arial"/>
          <w:b/>
          <w:bCs/>
          <w:color w:val="5B21B6"/>
          <w:sz w:val="56"/>
          <w:szCs w:val="56"/>
        </w:rPr>
        <w:t xml:space="preserve">BOUND PROTOCOL</w:t>
      </w:r>
    </w:p>
    <w:p>
      <w:pPr>
        <w:spacing w:after="80"/>
        <w:jc w:val="center"/>
      </w:pPr>
      <w:r>
        <w:rPr>
          <w:rFonts w:ascii="Arial" w:cs="Arial" w:eastAsia="Arial" w:hAnsi="Arial"/>
          <w:color w:val="6D28D9"/>
          <w:sz w:val="28"/>
          <w:szCs w:val="28"/>
        </w:rPr>
        <w:t xml:space="preserve">RWA Migration — Milestone Roadmap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Built on deployed APSS infrastructure (BLD stablecoin + liquidity pool)</w:t>
      </w:r>
    </w:p>
    <w:p>
      <w:pPr>
        <w:pBdr>
          <w:top w:val="single" w:color="6D28D9" w:sz="4" w:space="4"/>
          <w:bottom w:val="single" w:color="6D28D9" w:sz="4" w:space="4"/>
        </w:pBdr>
        <w:spacing w:after="140" w:before="140"/>
        <w:jc w:val="center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Non-Technical Stakeholder Edition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12 Milestones · 3 Phases · 22–25 Weeks · $320,000 Development Budget</w:t>
      </w:r>
    </w:p>
    <w:p>
      <w:pPr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CONFIDENTIAL · INTERNAL USE ONLY</w:t>
      </w:r>
    </w:p>
    <w:p>
      <w:r>
        <w:br w:type="page"/>
      </w:r>
    </w:p>
    <w:p>
      <w:pPr>
        <w:pStyle w:val="Heading1"/>
        <w:pBdr>
          <w:bottom w:val="single" w:color="6D28D9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Starting Point: What's Already Built</w:t>
      </w:r>
    </w:p>
    <w:p>
      <w:pPr>
        <w:spacing w:after="2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BOUND is not starting from zero. The APSS system — BLD stablecoin and core liquidity pool — is already deployed and operational. This roadmap extends that foundation to support Real-World Asset instant liquidity, rather than building a new protocol from scratch.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E1B4B" w:sz="1"/>
              <w:left w:val="single" w:color="1E1B4B" w:sz="1"/>
              <w:bottom w:val="single" w:color="1E1B4B" w:sz="1"/>
              <w:right w:val="single" w:color="1E1B4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6760"/>
            <w:tcBorders>
              <w:top w:val="single" w:color="1E1B4B" w:sz="1"/>
              <w:left w:val="single" w:color="1E1B4B" w:sz="1"/>
              <w:bottom w:val="single" w:color="1E1B4B" w:sz="1"/>
              <w:right w:val="single" w:color="1E1B4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APSS System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BLD stablecoin and liquidity pool — deployed and operational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BLD Token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Existing stablecoin infrastructure retained as settlement asset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Liquidity Pool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Core pool deployed; requires RWA instant-exit extensions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6D28D9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This roadmap presents twelve milestones across three phases, taking BOUND from a locked architecture decision through to live RWA markets on mainnet. Each milestone is written for a non-technical audience: what gets built, what becomes possible as a result, and why it matters strategically.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5B21B6"/>
          <w:sz w:val="20"/>
          <w:szCs w:val="20"/>
        </w:rPr>
        <w:t xml:space="preserve">Development is budgeted at a fixed $320,000 across 22 weeks of engineering execution, with a realistic delivery window of 22–25 weeks to mainnet inclusive of audit and launch buffer. External audit and security competition fees are budgeted and tracked separately from the development allocation.</w:t>
      </w:r>
    </w:p>
    <w:p>
      <w:pPr>
        <w:pStyle w:val="Heading1"/>
        <w:pBdr>
          <w:bottom w:val="single" w:color="6D28D9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Timeline at a Glance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1E1B4B" w:sz="1"/>
              <w:left w:val="single" w:color="1E1B4B" w:sz="1"/>
              <w:bottom w:val="single" w:color="1E1B4B" w:sz="1"/>
              <w:right w:val="single" w:color="1E1B4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1E1B4B" w:sz="1"/>
              <w:left w:val="single" w:color="1E1B4B" w:sz="1"/>
              <w:bottom w:val="single" w:color="1E1B4B" w:sz="1"/>
              <w:right w:val="single" w:color="1E1B4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5760"/>
            <w:tcBorders>
              <w:top w:val="single" w:color="1E1B4B" w:sz="1"/>
              <w:left w:val="single" w:color="1E1B4B" w:sz="1"/>
              <w:bottom w:val="single" w:color="1E1B4B" w:sz="1"/>
              <w:right w:val="single" w:color="1E1B4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Phase 1: Foundation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Weeks 1–6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APSS baseline mapped, RWA architecture locked, core contracts aligned, platform ready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Phase 2: Build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Weeks 7–16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Oracle automation, instant exit UX, issuer platform, APIs, pre-audit hardening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Phase 3: Audit &amp; Launch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Weeks 17–25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External audit, public competition, production readiness, RWA mainnet launch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D28D9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Milestones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Phase 1: Foundation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Weeks 1–6</w:t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5B21B6"/>
          <w:sz w:val="20"/>
          <w:szCs w:val="20"/>
        </w:rPr>
        <w:t xml:space="preserve">M1 · Wks 1–2  —  </w:t>
      </w:r>
      <w:r>
        <w:rPr>
          <w:rFonts w:ascii="Arial" w:cs="Arial" w:eastAsia="Arial" w:hAnsi="Arial"/>
          <w:b/>
          <w:bCs/>
          <w:color w:val="1E1B4B"/>
          <w:sz w:val="21"/>
          <w:szCs w:val="21"/>
        </w:rPr>
        <w:t xml:space="preserve">RWA Architecture Blueprint Locked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The RWA migration specification is finalised. Existing APSS contracts are mapped against target architecture; net-new modules are fully specified with no open design decisions.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APSS baseline documented — current BLD stablecoin and liquidity pool behaviour catalogued and mapped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RWA eligibility framework defined — qualifying asset classes, onboarding criteria, and collateral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Haircut model specified — instant-exit pricing logic, parameter bounds, and oracle dependencies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Migration path agreed — upgrade strategy for APSS contracts without disrupting live BLD markets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Governance and delivery cadence live — decision log, weekly syncs, escalation path</w:t>
      </w:r>
    </w:p>
    <w:p>
      <w:pPr>
        <w:pBdr>
          <w:left w:val="single" w:color="5B21B6" w:sz="18" w:space="8"/>
        </w:pBdr>
        <w:shd w:fill="EDE9FE" w:val="clear"/>
        <w:spacing w:after="200" w:before="140"/>
        <w:ind w:left="0"/>
      </w:pPr>
      <w:r>
        <w:rPr>
          <w:rFonts w:ascii="Arial" w:cs="Arial" w:eastAsia="Arial" w:hAnsi="Arial"/>
          <w:b/>
          <w:bCs/>
          <w:color w:val="5B21B6"/>
          <w:sz w:val="18"/>
          <w:szCs w:val="18"/>
        </w:rPr>
        <w:t xml:space="preserve">Strategic outcome: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Engineering proceeds against a locked target state. The pivot is explicit; rework is minimised.</w:t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5B21B6"/>
          <w:sz w:val="20"/>
          <w:szCs w:val="20"/>
        </w:rPr>
        <w:t xml:space="preserve">M2 · Wks 3–4  —  </w:t>
      </w:r>
      <w:r>
        <w:rPr>
          <w:rFonts w:ascii="Arial" w:cs="Arial" w:eastAsia="Arial" w:hAnsi="Arial"/>
          <w:b/>
          <w:bCs/>
          <w:color w:val="1E1B4B"/>
          <w:sz w:val="21"/>
          <w:szCs w:val="21"/>
        </w:rPr>
        <w:t xml:space="preserve">Core Contracts Aligned to RWA Architecture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APSS contracts are extended and new RWA modules are implemented. BLD and the liquidity pool are refactored for RWA instant exits; registry and governance modules are built and unit-tested.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BLD token aligned — stablecoin accounting extended for RWA collateral and settlement flows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Liquidity pool extended — instant-exit swap path, reserve tracking, background settlement queue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RWA registry contract built — onboarding, eligibility enforcement, haircut assignment on-chain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Governance module extended — proposals, timelock, emergency pause integrated with RWA permissions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Admin controls scoped — multi-sig emergency levers only; routine operations permissionless</w:t>
      </w:r>
    </w:p>
    <w:p>
      <w:pPr>
        <w:pBdr>
          <w:left w:val="single" w:color="5B21B6" w:sz="18" w:space="8"/>
        </w:pBdr>
        <w:shd w:fill="EDE9FE" w:val="clear"/>
        <w:spacing w:after="200" w:before="140"/>
        <w:ind w:left="0"/>
      </w:pPr>
      <w:r>
        <w:rPr>
          <w:rFonts w:ascii="Arial" w:cs="Arial" w:eastAsia="Arial" w:hAnsi="Arial"/>
          <w:b/>
          <w:bCs/>
          <w:color w:val="5B21B6"/>
          <w:sz w:val="18"/>
          <w:szCs w:val="18"/>
        </w:rPr>
        <w:t xml:space="preserve">Strategic outcome: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The deployed APSS foundation is preserved while the full RWA stack is assembled around it.</w:t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5B21B6"/>
          <w:sz w:val="20"/>
          <w:szCs w:val="20"/>
        </w:rPr>
        <w:t xml:space="preserve">M3 · Wks 5–6  —  </w:t>
      </w:r>
      <w:r>
        <w:rPr>
          <w:rFonts w:ascii="Arial" w:cs="Arial" w:eastAsia="Arial" w:hAnsi="Arial"/>
          <w:b/>
          <w:bCs/>
          <w:color w:val="1E1B4B"/>
          <w:sz w:val="21"/>
          <w:szCs w:val="21"/>
        </w:rPr>
        <w:t xml:space="preserve">Infrastructure &amp; Platform Readiness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Cloud infrastructure, CI/CD, and application platform are extended for RWA workloads. Teams ship against the new architecture without provisioning debt.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Environment parity — dev, staging, and testnet reproducible; APSS and RWA stacks deployable on demand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CI/CD pipeline extended — contract migration tests, integration gates, and safe deployment automation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Design system and app shell updated — RWA flows, issuer surfaces, and protocol branding consistent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Observability baseline — logging, metrics, and alerting wired for BLD reserve and pool health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SEO and metadata foundations — search and social previews reflect RWA positioning</w:t>
      </w:r>
    </w:p>
    <w:p>
      <w:pPr>
        <w:pBdr>
          <w:left w:val="single" w:color="5B21B6" w:sz="18" w:space="8"/>
        </w:pBdr>
        <w:shd w:fill="EDE9FE" w:val="clear"/>
        <w:spacing w:after="200" w:before="140"/>
        <w:ind w:left="0"/>
      </w:pPr>
      <w:r>
        <w:rPr>
          <w:rFonts w:ascii="Arial" w:cs="Arial" w:eastAsia="Arial" w:hAnsi="Arial"/>
          <w:b/>
          <w:bCs/>
          <w:color w:val="5B21B6"/>
          <w:sz w:val="18"/>
          <w:szCs w:val="18"/>
        </w:rPr>
        <w:t xml:space="preserve">Strategic outcome: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Phase 2 begins with operational infrastructure, not setup. The pivot ships on a proven platform.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Phase 2: Build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Weeks 7–16</w:t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M4 · Wks 7–9  —  </w:t>
      </w:r>
      <w:r>
        <w:rPr>
          <w:rFonts w:ascii="Arial" w:cs="Arial" w:eastAsia="Arial" w:hAnsi="Arial"/>
          <w:b/>
          <w:bCs/>
          <w:color w:val="1E1B4B"/>
          <w:sz w:val="21"/>
          <w:szCs w:val="21"/>
        </w:rPr>
        <w:t xml:space="preserve">Oracle Engine Operational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The automated pricing and settlement layer is live. BOUND receives real-time RWA valuations and executes haircut and settlement logic without manual intervention.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Real-time NAV feeds connected — live pricing for all listed RWAs with freshness guards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Haircut engine automated — discount rates update from oracle data without manual intervention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Background settlement processor running — queued redemptions execute autonomously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Failover and redundancy validated — oracle continuity through RPC outages and stale feeds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Issuer obligation tracker active — missed reporting deadlines flagged and suspension workflows triggered</w:t>
      </w:r>
    </w:p>
    <w:p>
      <w:pPr>
        <w:pBdr>
          <w:left w:val="single" w:color="0E7490" w:sz="18" w:space="8"/>
        </w:pBdr>
        <w:shd w:fill="E0F2FE" w:val="clear"/>
        <w:spacing w:after="200" w:before="140"/>
        <w:ind w:left="0"/>
      </w:pPr>
      <w:r>
        <w:rPr>
          <w:rFonts w:ascii="Arial" w:cs="Arial" w:eastAsia="Arial" w:hAnsi="Arial"/>
          <w:b/>
          <w:bCs/>
          <w:color w:val="0E7490"/>
          <w:sz w:val="18"/>
          <w:szCs w:val="18"/>
        </w:rPr>
        <w:t xml:space="preserve">Strategic outcome: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RWA markets price and settle programmatically. The protocol no longer depends on manual operations.</w:t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M5 · Wks 10–11  —  </w:t>
      </w:r>
      <w:r>
        <w:rPr>
          <w:rFonts w:ascii="Arial" w:cs="Arial" w:eastAsia="Arial" w:hAnsi="Arial"/>
          <w:b/>
          <w:bCs/>
          <w:color w:val="1E1B4B"/>
          <w:sz w:val="21"/>
          <w:szCs w:val="21"/>
        </w:rPr>
        <w:t xml:space="preserve">Instant Exit Swap Live on Testnet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End-to-end RWA-to-BLD instant exit is demonstrable on testnet. Existing BLD liquidity supports the new swap path.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Instant exit interface complete — asset selection, haircut preview, and execution against extended pool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Wallet connectivity verified — MetaMask, WalletConnect, and hardware wallet flows production-ready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Settlement status tracking live — holders follow background redemption progress in real time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Error handling standardised — failure modes surface clear, actionable messages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Integration tests passing — APSS pool extensions and RWA registry interact correctly under load</w:t>
      </w:r>
    </w:p>
    <w:p>
      <w:pPr>
        <w:pBdr>
          <w:left w:val="single" w:color="0E7490" w:sz="18" w:space="8"/>
        </w:pBdr>
        <w:shd w:fill="E0F2FE" w:val="clear"/>
        <w:spacing w:after="200" w:before="140"/>
        <w:ind w:left="0"/>
      </w:pPr>
      <w:r>
        <w:rPr>
          <w:rFonts w:ascii="Arial" w:cs="Arial" w:eastAsia="Arial" w:hAnsi="Arial"/>
          <w:b/>
          <w:bCs/>
          <w:color w:val="0E7490"/>
          <w:sz w:val="18"/>
          <w:szCs w:val="18"/>
        </w:rPr>
        <w:t xml:space="preserve">Strategic outcome: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The core product promise is demonstrable: illiquid RWA holders receive BLD stablecoin instantly.</w:t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M6 · Wks 12–13  —  </w:t>
      </w:r>
      <w:r>
        <w:rPr>
          <w:rFonts w:ascii="Arial" w:cs="Arial" w:eastAsia="Arial" w:hAnsi="Arial"/>
          <w:b/>
          <w:bCs/>
          <w:color w:val="1E1B4B"/>
          <w:sz w:val="21"/>
          <w:szCs w:val="21"/>
        </w:rPr>
        <w:t xml:space="preserve">Issuer Onboarding Platform Complete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RWA issuers apply, are vetted, pay fees, and launch markets through a self-serve platform integrated with on-chain registry logic.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Issuer application workflow — guided entity and asset documentation with eligibility pre-checks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On-chain fee collection — vetting and market-enabling fees without manual invoicing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Issuer dashboard live — NAV submission, obligation calendar, market status, and compliance tracking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Eligibility engine — real-time feedback on asset qualification against protocol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Audit obligation tracker — quarterly reporting requirements visible and enforceable</w:t>
      </w:r>
    </w:p>
    <w:p>
      <w:pPr>
        <w:pBdr>
          <w:left w:val="single" w:color="0E7490" w:sz="18" w:space="8"/>
        </w:pBdr>
        <w:shd w:fill="E0F2FE" w:val="clear"/>
        <w:spacing w:after="200" w:before="140"/>
        <w:ind w:left="0"/>
      </w:pPr>
      <w:r>
        <w:rPr>
          <w:rFonts w:ascii="Arial" w:cs="Arial" w:eastAsia="Arial" w:hAnsi="Arial"/>
          <w:b/>
          <w:bCs/>
          <w:color w:val="0E7490"/>
          <w:sz w:val="18"/>
          <w:szCs w:val="18"/>
        </w:rPr>
        <w:t xml:space="preserve">Strategic outcome: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Partner onboarding scales without proportional operational headcount.</w:t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M7 · Wks 14–15  —  </w:t>
      </w:r>
      <w:r>
        <w:rPr>
          <w:rFonts w:ascii="Arial" w:cs="Arial" w:eastAsia="Arial" w:hAnsi="Arial"/>
          <w:b/>
          <w:bCs/>
          <w:color w:val="1E1B4B"/>
          <w:sz w:val="21"/>
          <w:szCs w:val="21"/>
        </w:rPr>
        <w:t xml:space="preserve">Data &amp; Analytics Platform Live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Protocol data — markets, BLD reserves, settlements, governance — is exposed via APIs and operational dashboards.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GraphQL API live — unified query surface for markets, registry, and settlement state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REST API complete — issuer and asset-manager operations fully covered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Protocol analytics dashboard — BLD reserve health, swap volume, active markets, settlement queue depth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Public transparency endpoint — on-chain and indexed data for holders and researchers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Partner documentation published — OpenAPI and GraphQL Playground for integrators</w:t>
      </w:r>
    </w:p>
    <w:p>
      <w:pPr>
        <w:pBdr>
          <w:left w:val="single" w:color="0E7490" w:sz="18" w:space="8"/>
        </w:pBdr>
        <w:shd w:fill="E0F2FE" w:val="clear"/>
        <w:spacing w:after="200" w:before="140"/>
        <w:ind w:left="0"/>
      </w:pPr>
      <w:r>
        <w:rPr>
          <w:rFonts w:ascii="Arial" w:cs="Arial" w:eastAsia="Arial" w:hAnsi="Arial"/>
          <w:b/>
          <w:bCs/>
          <w:color w:val="0E7490"/>
          <w:sz w:val="18"/>
          <w:szCs w:val="18"/>
        </w:rPr>
        <w:t xml:space="preserve">Strategic outcome: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Institutional stakeholders, issuers, and developers access consistent, auditable protocol data.</w:t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M8 · Wk 16  —  </w:t>
      </w:r>
      <w:r>
        <w:rPr>
          <w:rFonts w:ascii="Arial" w:cs="Arial" w:eastAsia="Arial" w:hAnsi="Arial"/>
          <w:b/>
          <w:bCs/>
          <w:color w:val="1E1B4B"/>
          <w:sz w:val="21"/>
          <w:szCs w:val="21"/>
        </w:rPr>
        <w:t xml:space="preserve">Full Integration &amp; Pre-Audit Hardening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All layers — extended APSS contracts, RWA modules, backend, and frontend — are integrated, security-tested, and ready for external audit.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End-to-end testnet validation — issuer onboarding through holder exit and settlement completion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Penetration test completed — external red team on all public surfaces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Static analysis clean — zero high or critical findings across smart contract scope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Attack scenario suite complete — flash-loan, governance, and oracle manipulation vectors tested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Infrastructure security baseline verified — WAF, DDoS protection, network segmentation</w:t>
      </w:r>
    </w:p>
    <w:p>
      <w:pPr>
        <w:pBdr>
          <w:left w:val="single" w:color="0E7490" w:sz="18" w:space="8"/>
        </w:pBdr>
        <w:shd w:fill="E0F2FE" w:val="clear"/>
        <w:spacing w:after="200" w:before="140"/>
        <w:ind w:left="0"/>
      </w:pPr>
      <w:r>
        <w:rPr>
          <w:rFonts w:ascii="Arial" w:cs="Arial" w:eastAsia="Arial" w:hAnsi="Arial"/>
          <w:b/>
          <w:bCs/>
          <w:color w:val="0E7490"/>
          <w:sz w:val="18"/>
          <w:szCs w:val="18"/>
        </w:rPr>
        <w:t xml:space="preserve">Strategic outcome: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The RWA migration enters audit with fewer unknowns, reducing remediation cost and timeline risk.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Phase 3: Audit &amp; Launch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Weeks 17–25</w:t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M9 · Wks 17–20  —  </w:t>
      </w:r>
      <w:r>
        <w:rPr>
          <w:rFonts w:ascii="Arial" w:cs="Arial" w:eastAsia="Arial" w:hAnsi="Arial"/>
          <w:b/>
          <w:bCs/>
          <w:color w:val="1E1B4B"/>
          <w:sz w:val="21"/>
          <w:szCs w:val="21"/>
        </w:rPr>
        <w:t xml:space="preserve">First-Party Security Audit Complete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A tier-one firm audits the full RWA scope — APSS extensions and net-new modules. All material findings are resolved.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Full-scope audit by Trail of Bits, Certora, or OpenZeppelin — migration path and new contracts in scope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Critical and high findings remediated and re-verified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Audit report published — transparent disclosure for issuers, investors, and partners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Re-test sign-off obtained from auditing firm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Protocol listed in recognised security registries where applicable</w:t>
      </w:r>
    </w:p>
    <w:p>
      <w:pPr>
        <w:pBdr>
          <w:left w:val="single" w:color="B91C1C" w:sz="18" w:space="8"/>
        </w:pBdr>
        <w:shd w:fill="FEE2E2" w:val="clear"/>
        <w:spacing w:after="200" w:before="140"/>
        <w:ind w:left="0"/>
      </w:pP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>Strategic outcome: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Institutional partners receive the security assurance required before allocating RWA capital.</w:t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M10 · Wks 21–23  —  </w:t>
      </w:r>
      <w:r>
        <w:rPr>
          <w:rFonts w:ascii="Arial" w:cs="Arial" w:eastAsia="Arial" w:hAnsi="Arial"/>
          <w:b/>
          <w:bCs/>
          <w:color w:val="1E1B4B"/>
          <w:sz w:val="21"/>
          <w:szCs w:val="21"/>
        </w:rPr>
        <w:t xml:space="preserve">Public Security Competition Closed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Independent researchers stress-test the RWA migration under competitive review. Valid findings are remediated before launch.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Code4rena or Sherlock competition completed — broad coverage of BLD mechanics and RWA registry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Competition findings triaged and remediated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Targeted re-audit of modified modules completed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Results published publicly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Immunefi bug bounty configured for mainnet launch</w:t>
      </w:r>
    </w:p>
    <w:p>
      <w:pPr>
        <w:pBdr>
          <w:left w:val="single" w:color="B91C1C" w:sz="18" w:space="8"/>
        </w:pBdr>
        <w:shd w:fill="FEE2E2" w:val="clear"/>
        <w:spacing w:after="200" w:before="140"/>
        <w:ind w:left="0"/>
      </w:pP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>Strategic outcome: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Community-scale review complements the firm audit. Confidence is earned, not asserted.</w:t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M11 · Wk 24  —  </w:t>
      </w:r>
      <w:r>
        <w:rPr>
          <w:rFonts w:ascii="Arial" w:cs="Arial" w:eastAsia="Arial" w:hAnsi="Arial"/>
          <w:b/>
          <w:bCs/>
          <w:color w:val="1E1B4B"/>
          <w:sz w:val="21"/>
          <w:szCs w:val="21"/>
        </w:rPr>
        <w:t xml:space="preserve">Production Readiness Verified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Load, disaster recovery, and operational runbooks are validated. The RWA system meets launch-grade reliability targets.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Load test passed — 10x projected peak swap volume without degradation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Disaster recovery drill completed — oracle failure, database outage, and RPC loss recovered cleanly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BLD peg monitoring and alerting live — anomalies surfaced within seconds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On-call runbooks tested — incident response executable by any qualified engineer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Zero-downtime upgrade pipeline validated — contract migrations deploy safely</w:t>
      </w:r>
    </w:p>
    <w:p>
      <w:pPr>
        <w:pBdr>
          <w:left w:val="single" w:color="B91C1C" w:sz="18" w:space="8"/>
        </w:pBdr>
        <w:shd w:fill="FEE2E2" w:val="clear"/>
        <w:spacing w:after="200" w:before="140"/>
        <w:ind w:left="0"/>
      </w:pP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>Strategic outcome: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Real capital enters a system proven under operational stress, not best-case conditions.</w:t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M12 · Wk 25  —  </w:t>
      </w:r>
      <w:r>
        <w:rPr>
          <w:rFonts w:ascii="Arial" w:cs="Arial" w:eastAsia="Arial" w:hAnsi="Arial"/>
          <w:b/>
          <w:bCs/>
          <w:color w:val="1E1B4B"/>
          <w:sz w:val="21"/>
          <w:szCs w:val="21"/>
        </w:rPr>
        <w:t xml:space="preserve">RWA Markets Live on Mainnet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The RWA architecture goes live. Existing BLD stablecoin and extended liquidity pool support instant exits for listed RWAs.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RWA contract upgrades deployed from audited commit hash — APSS baseline preserved where unchanged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Multi-sig ownership confirmed — no single key controls protocol functions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First RWA markets enabled — issuer partners live at launch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BLD liquidity maintained — stablecoin and pool extensions operational for instant exits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Immunefi bug bounty live — continuous post-launch security coverage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Launch communications distributed — partners, community, and public announcement</w:t>
      </w:r>
    </w:p>
    <w:p>
      <w:pPr>
        <w:pBdr>
          <w:left w:val="single" w:color="B91C1C" w:sz="18" w:space="8"/>
        </w:pBdr>
        <w:shd w:fill="FEE2E2" w:val="clear"/>
        <w:spacing w:after="200" w:before="140"/>
        <w:ind w:left="0"/>
      </w:pP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>Strategic outcome: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BOUND delivers on its mission: institutional RWA liquidity on-chain, built on a deployed BLD and pool foundation.</w:t>
      </w:r>
    </w:p>
    <w:p>
      <w:r>
        <w:br w:type="page"/>
      </w:r>
    </w:p>
    <w:p>
      <w:pPr>
        <w:pStyle w:val="Heading1"/>
        <w:pBdr>
          <w:bottom w:val="single" w:color="6D28D9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Development Budget</w:t>
      </w:r>
    </w:p>
    <w:p>
      <w:pPr>
        <w:spacing w:after="1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Fixed $320,000 development allocation through Milestone 12 (RWA markets live on mainnet), built on deployed APSS infrastructure. Covers engineering, infrastructure, and launch execution — audit and competition fees excluded.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1B4B" w:sz="1"/>
              <w:left w:val="single" w:color="1E1B4B" w:sz="1"/>
              <w:bottom w:val="single" w:color="1E1B4B" w:sz="1"/>
              <w:right w:val="single" w:color="1E1B4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budget</w:t>
            </w:r>
          </w:p>
        </w:tc>
        <w:tc>
          <w:tcPr>
            <w:tcW w:type="dxa" w:w="3120"/>
            <w:tcBorders>
              <w:top w:val="single" w:color="1E1B4B" w:sz="1"/>
              <w:left w:val="single" w:color="1E1B4B" w:sz="1"/>
              <w:bottom w:val="single" w:color="1E1B4B" w:sz="1"/>
              <w:right w:val="single" w:color="1E1B4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3120"/>
            <w:tcBorders>
              <w:top w:val="single" w:color="1E1B4B" w:sz="1"/>
              <w:left w:val="single" w:color="1E1B4B" w:sz="1"/>
              <w:bottom w:val="single" w:color="1E1B4B" w:sz="1"/>
              <w:right w:val="single" w:color="1E1B4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size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$320,000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22 weeks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~3.5 FTE blended team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5B21B6"/>
          <w:sz w:val="24"/>
          <w:szCs w:val="24"/>
        </w:rPr>
        <w:t xml:space="preserve">Budget by Workstream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1E1B4B" w:sz="1"/>
              <w:left w:val="single" w:color="1E1B4B" w:sz="1"/>
              <w:bottom w:val="single" w:color="1E1B4B" w:sz="1"/>
              <w:right w:val="single" w:color="1E1B4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Workstream</w:t>
            </w:r>
          </w:p>
        </w:tc>
        <w:tc>
          <w:tcPr>
            <w:tcW w:type="dxa" w:w="1200"/>
            <w:tcBorders>
              <w:top w:val="single" w:color="1E1B4B" w:sz="1"/>
              <w:left w:val="single" w:color="1E1B4B" w:sz="1"/>
              <w:bottom w:val="single" w:color="1E1B4B" w:sz="1"/>
              <w:right w:val="single" w:color="1E1B4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1E1B4B" w:sz="1"/>
              <w:left w:val="single" w:color="1E1B4B" w:sz="1"/>
              <w:bottom w:val="single" w:color="1E1B4B" w:sz="1"/>
              <w:right w:val="single" w:color="1E1B4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Milestones</w:t>
            </w:r>
          </w:p>
        </w:tc>
        <w:tc>
          <w:tcPr>
            <w:tcW w:type="dxa" w:w="4760"/>
            <w:tcBorders>
              <w:top w:val="single" w:color="1E1B4B" w:sz="1"/>
              <w:left w:val="single" w:color="1E1B4B" w:sz="1"/>
              <w:bottom w:val="single" w:color="1E1B4B" w:sz="1"/>
              <w:right w:val="single" w:color="1E1B4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Smart contracts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$90,000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M1–M2, M8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APSS contract extensions, RWA registry, liquidity pool upgrade path, governance alignment, migration scripts, unit and integration tests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Backend &amp; oracle automation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$62,000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M4, M7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NAV feed integration, haircut engine, background settlement processor, issuer obligation tracker, core REST endpoints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Frontend &amp; product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$52,000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M3, M5, M6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Instant exit swap interface, wallet flows, settlement tracker, issuer onboarding surfaces, protocol analytics 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DevOps &amp; infrastructure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$28,000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M3, M11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Cloud environments, CI/CD, RPC and indexing, observability, staging and production pipelines, deployment automation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Architecture &amp; program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$32,000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M1–M12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APSS migration specification, technical leadership, sprint coordination, delivery governance across all phases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QA &amp; integration testing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$18,000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M5, M8, M11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End-to-end testnet validation, regression suite, pre-mainnet integration checks, launch readiness verification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Mainnet launch engineering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$26,000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M11–M12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Contract upgrade deployment, multi-sig handover support, first-market enablement, launch runbooks and cutover execution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Contingency reserve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$12,000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All phases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Buffer for APSS migration surprises, oracle integration rework, and scope adjustments within the fixed budget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5B21B6"/>
          <w:sz w:val="24"/>
          <w:szCs w:val="24"/>
        </w:rPr>
        <w:t xml:space="preserve">Workforce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3200"/>
        <w:gridCol w:w="1800"/>
      </w:tblGrid>
      <w:tr>
        <w:trPr>
          <w:tblHeader/>
        </w:trPr>
        <w:tc>
          <w:tcPr>
            <w:tcW w:type="dxa" w:w="4360"/>
            <w:tcBorders>
              <w:top w:val="single" w:color="1E1B4B" w:sz="1"/>
              <w:left w:val="single" w:color="1E1B4B" w:sz="1"/>
              <w:bottom w:val="single" w:color="1E1B4B" w:sz="1"/>
              <w:right w:val="single" w:color="1E1B4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1E1B4B" w:sz="1"/>
              <w:left w:val="single" w:color="1E1B4B" w:sz="1"/>
              <w:bottom w:val="single" w:color="1E1B4B" w:sz="1"/>
              <w:right w:val="single" w:color="1E1B4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1E1B4B" w:sz="1"/>
              <w:left w:val="single" w:color="1E1B4B" w:sz="1"/>
              <w:bottom w:val="single" w:color="1E1B4B" w:sz="1"/>
              <w:right w:val="single" w:color="1E1B4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Senior smart contract engineer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18 weeks · full-time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$81,000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Backend / oracle engineer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16 weeks · full-time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$56,000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Frontend engineer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14 weeks · full-time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$45,500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DevOps engineer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8 weeks · fractional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$24,000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Protocol architect / PM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12 weeks · fractional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$36,000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QA engineer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8 weeks · fractional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$16,000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Infrastructure &amp; tooling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22 weeks · ongoing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$28,000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Integration &amp; launch overhead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Weeks 17–22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$21,500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Contingency reserve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All phases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$12,000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5B21B6"/>
          <w:sz w:val="24"/>
          <w:szCs w:val="24"/>
        </w:rPr>
        <w:t xml:space="preserve">Budget by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2200"/>
        <w:gridCol w:w="2000"/>
        <w:gridCol w:w="2000"/>
      </w:tblGrid>
      <w:tr>
        <w:trPr>
          <w:tblHeader/>
        </w:trPr>
        <w:tc>
          <w:tcPr>
            <w:tcW w:type="dxa" w:w="3160"/>
            <w:tcBorders>
              <w:top w:val="single" w:color="1E1B4B" w:sz="1"/>
              <w:left w:val="single" w:color="1E1B4B" w:sz="1"/>
              <w:bottom w:val="single" w:color="1E1B4B" w:sz="1"/>
              <w:right w:val="single" w:color="1E1B4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1E1B4B" w:sz="1"/>
              <w:left w:val="single" w:color="1E1B4B" w:sz="1"/>
              <w:bottom w:val="single" w:color="1E1B4B" w:sz="1"/>
              <w:right w:val="single" w:color="1E1B4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2000"/>
            <w:tcBorders>
              <w:top w:val="single" w:color="1E1B4B" w:sz="1"/>
              <w:left w:val="single" w:color="1E1B4B" w:sz="1"/>
              <w:bottom w:val="single" w:color="1E1B4B" w:sz="1"/>
              <w:right w:val="single" w:color="1E1B4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1E1B4B" w:sz="1"/>
              <w:left w:val="single" w:color="1E1B4B" w:sz="1"/>
              <w:bottom w:val="single" w:color="1E1B4B" w:sz="1"/>
              <w:right w:val="single" w:color="1E1B4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Phase 1 — Foundation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Weeks 1–6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$78,000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24%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Phase 2 — Build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Weeks 7–16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$154,000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48%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Phase 3 — Launch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Weeks 17–22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$88,000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28%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91C1C"/>
          <w:sz w:val="24"/>
          <w:szCs w:val="24"/>
        </w:rPr>
        <w:t xml:space="preserve">Excluded from Development Budget</w:t>
      </w:r>
    </w:p>
    <w:p>
      <w:pPr>
        <w:spacing w:after="10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The following are tracked and budgeted separately from the $320,000 development allocation: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External smart contract audit (Trail of Bits, Certora, OpenZeppelin, etc.)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Public security competition (Code4rena, Sherlock)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Targeted re-audit fees after competition findings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Immunefi bug bounty capital and escrow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Legal and securities compliance advisory</w:t>
      </w:r>
    </w:p>
    <w:p>
      <w:pPr>
        <w:spacing w:after="40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© BOUND Protocol — Institutional Liquidity Infrastructure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D28D9" w:sz="4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· Internal Use Only ·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D28D9" w:sz="4" w:space="4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BOUND Protocol · RWA Migration Roadmap · Non-Technical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E1B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5B21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1B4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2026-06-19T09:15:01.806Z</dcterms:created>
  <dcterms:modified xsi:type="dcterms:W3CDTF">2026-06-19T09:15:01.807Z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