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B7FF4" w14:textId="77777777" w:rsidR="008C0651" w:rsidRDefault="008C0651">
      <w:pPr>
        <w:spacing w:before="2400"/>
      </w:pPr>
    </w:p>
    <w:p w14:paraId="74C899C4" w14:textId="77777777" w:rsidR="008C0651" w:rsidRDefault="004F1041">
      <w:pPr>
        <w:spacing w:after="160"/>
        <w:jc w:val="center"/>
      </w:pPr>
      <w:r>
        <w:rPr>
          <w:b/>
          <w:bCs/>
          <w:color w:val="5B21B6"/>
          <w:sz w:val="60"/>
          <w:szCs w:val="60"/>
        </w:rPr>
        <w:t>BOUND PROTOCOL</w:t>
      </w:r>
    </w:p>
    <w:p w14:paraId="4EBFE438" w14:textId="77777777" w:rsidR="008C0651" w:rsidRDefault="004F1041">
      <w:pPr>
        <w:spacing w:after="80"/>
        <w:jc w:val="center"/>
      </w:pPr>
      <w:r>
        <w:rPr>
          <w:color w:val="8B5CF6"/>
          <w:sz w:val="26"/>
          <w:szCs w:val="26"/>
        </w:rPr>
        <w:t>Instant Liquidity for Real-World Assets</w:t>
      </w:r>
    </w:p>
    <w:p w14:paraId="32A32777" w14:textId="77777777" w:rsidR="008C0651" w:rsidRDefault="004F1041">
      <w:pPr>
        <w:spacing w:after="240"/>
        <w:jc w:val="center"/>
      </w:pPr>
      <w:r>
        <w:rPr>
          <w:color w:val="6B7280"/>
          <w:sz w:val="18"/>
          <w:szCs w:val="18"/>
        </w:rPr>
        <w:t>boundprotocol.com  ·  partnerships@boundprotocol.com</w:t>
      </w:r>
    </w:p>
    <w:p w14:paraId="382DC205" w14:textId="77777777" w:rsidR="008C0651" w:rsidRDefault="004F1041">
      <w:pPr>
        <w:pBdr>
          <w:top w:val="single" w:sz="4" w:space="4" w:color="8B5CF6"/>
          <w:bottom w:val="single" w:sz="4" w:space="4" w:color="8B5CF6"/>
        </w:pBdr>
        <w:spacing w:before="160" w:after="160"/>
        <w:jc w:val="center"/>
      </w:pPr>
      <w:r>
        <w:rPr>
          <w:b/>
          <w:bCs/>
          <w:color w:val="1E1B4B"/>
          <w:sz w:val="36"/>
          <w:szCs w:val="36"/>
        </w:rPr>
        <w:t>Engineering Technical Roadmap</w:t>
      </w:r>
    </w:p>
    <w:p w14:paraId="4E78FFB9" w14:textId="77777777" w:rsidR="008C0651" w:rsidRDefault="004F1041">
      <w:pPr>
        <w:spacing w:before="160" w:after="80"/>
        <w:jc w:val="center"/>
      </w:pPr>
      <w:r>
        <w:rPr>
          <w:color w:val="6B7280"/>
          <w:sz w:val="22"/>
          <w:szCs w:val="22"/>
        </w:rPr>
        <w:t>4 Layers  ·  3 Phases  ·  18–25 Weeks to Mainnet</w:t>
      </w:r>
    </w:p>
    <w:p w14:paraId="12F7481B" w14:textId="77777777" w:rsidR="008C0651" w:rsidRDefault="004F1041">
      <w:pPr>
        <w:jc w:val="center"/>
      </w:pPr>
      <w:r>
        <w:rPr>
          <w:color w:val="6B7280"/>
          <w:sz w:val="18"/>
          <w:szCs w:val="18"/>
        </w:rPr>
        <w:t>CONFIDENTIAL  ·  INTERNAL USE ONLY</w:t>
      </w:r>
    </w:p>
    <w:p w14:paraId="3395FCDD" w14:textId="77777777" w:rsidR="008C0651" w:rsidRDefault="004F1041">
      <w:r>
        <w:br w:type="page"/>
      </w:r>
    </w:p>
    <w:p w14:paraId="1C1287F3" w14:textId="77777777" w:rsidR="008C0651" w:rsidRDefault="004F1041">
      <w:pPr>
        <w:pStyle w:val="Heading1"/>
        <w:pBdr>
          <w:bottom w:val="single" w:sz="8" w:space="4" w:color="8B5CF6"/>
        </w:pBdr>
      </w:pPr>
      <w:r>
        <w:rPr>
          <w:sz w:val="28"/>
          <w:szCs w:val="28"/>
        </w:rPr>
        <w:lastRenderedPageBreak/>
        <w:t>About BOUND Protocol</w:t>
      </w:r>
    </w:p>
    <w:p w14:paraId="0DF62AB4" w14:textId="77777777" w:rsidR="008C0651" w:rsidRDefault="004F1041">
      <w:pPr>
        <w:spacing w:after="160"/>
      </w:pPr>
      <w:r>
        <w:t>BOUND is the institutional liquidity infrastructure layer for Real-World Assets. Tokenization has perfected asset issuance — but secondary liquidity remains a massive barrier. Allocators hesitate to commit capital when faced with 30-to-90-day redemption windows.</w:t>
      </w:r>
    </w:p>
    <w:p w14:paraId="37D1026C" w14:textId="77777777" w:rsidR="008C0651" w:rsidRDefault="004F1041">
      <w:pPr>
        <w:spacing w:after="160"/>
      </w:pPr>
      <w:r>
        <w:t>BOUND eliminates that friction by providing a shared, on-chain liquidity layer that gives RWA holders an instant dollar exit via the Bound Liquid Dollar (BLD) — while the underlying fund preserves its stable, long-term background settlement timeline. BLD trades at $1.00 on Uniswap and can be swapped for USDC instantly.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C0651" w14:paraId="4DA71ADC" w14:textId="77777777">
        <w:trPr>
          <w:tblHeader/>
        </w:trPr>
        <w:tc>
          <w:tcPr>
            <w:tcW w:w="2800" w:type="dxa"/>
            <w:tcBorders>
              <w:top w:val="single" w:sz="1" w:space="0" w:color="5B21B6"/>
              <w:left w:val="single" w:sz="1" w:space="0" w:color="5B21B6"/>
              <w:bottom w:val="single" w:sz="1" w:space="0" w:color="5B21B6"/>
              <w:right w:val="single" w:sz="1" w:space="0" w:color="5B21B6"/>
            </w:tcBorders>
            <w:shd w:val="clear" w:color="auto" w:fill="5B21B6"/>
            <w:tcMar>
              <w:top w:w="100" w:type="dxa"/>
              <w:left w:w="140" w:type="dxa"/>
              <w:bottom w:w="100" w:type="dxa"/>
              <w:right w:w="140" w:type="dxa"/>
            </w:tcMar>
          </w:tcPr>
          <w:p w14:paraId="6856CA90" w14:textId="77777777" w:rsidR="008C0651" w:rsidRDefault="004F1041">
            <w:r>
              <w:rPr>
                <w:b/>
                <w:bCs/>
                <w:color w:val="FFFFFF"/>
                <w:sz w:val="18"/>
                <w:szCs w:val="18"/>
              </w:rPr>
              <w:t>Strategic Benefit</w:t>
            </w:r>
          </w:p>
        </w:tc>
        <w:tc>
          <w:tcPr>
            <w:tcW w:w="6560" w:type="dxa"/>
            <w:tcBorders>
              <w:top w:val="single" w:sz="1" w:space="0" w:color="5B21B6"/>
              <w:left w:val="single" w:sz="1" w:space="0" w:color="5B21B6"/>
              <w:bottom w:val="single" w:sz="1" w:space="0" w:color="5B21B6"/>
              <w:right w:val="single" w:sz="1" w:space="0" w:color="5B21B6"/>
            </w:tcBorders>
            <w:shd w:val="clear" w:color="auto" w:fill="5B21B6"/>
            <w:tcMar>
              <w:top w:w="100" w:type="dxa"/>
              <w:left w:w="140" w:type="dxa"/>
              <w:bottom w:w="100" w:type="dxa"/>
              <w:right w:w="140" w:type="dxa"/>
            </w:tcMar>
          </w:tcPr>
          <w:p w14:paraId="64A5F4A4" w14:textId="77777777" w:rsidR="008C0651" w:rsidRDefault="004F1041">
            <w:r>
              <w:rPr>
                <w:b/>
                <w:bCs/>
                <w:color w:val="FFFFFF"/>
                <w:sz w:val="18"/>
                <w:szCs w:val="18"/>
              </w:rPr>
              <w:t>What It Means for Issuers</w:t>
            </w:r>
          </w:p>
        </w:tc>
      </w:tr>
      <w:tr w:rsidR="008C0651" w14:paraId="5ECCA43D"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1EBE3740" w14:textId="77777777" w:rsidR="008C0651" w:rsidRDefault="004F1041">
            <w:r>
              <w:rPr>
                <w:b/>
                <w:bCs/>
                <w:color w:val="5B21B6"/>
                <w:sz w:val="17"/>
                <w:szCs w:val="17"/>
              </w:rPr>
              <w:t>Accelerate Inflows &amp; Sales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25A571D" w14:textId="77777777" w:rsidR="008C0651" w:rsidRDefault="004F1041">
            <w:r>
              <w:rPr>
                <w:sz w:val="17"/>
                <w:szCs w:val="17"/>
              </w:rPr>
              <w:t>Instant exit liquidity removes the single biggest objection allocators raise</w:t>
            </w:r>
          </w:p>
        </w:tc>
      </w:tr>
      <w:tr w:rsidR="008C0651" w14:paraId="678AB78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6BC5948C" w14:textId="77777777" w:rsidR="008C0651" w:rsidRDefault="004F1041">
            <w:r>
              <w:rPr>
                <w:b/>
                <w:bCs/>
                <w:color w:val="5B21B6"/>
                <w:sz w:val="17"/>
                <w:szCs w:val="17"/>
              </w:rPr>
              <w:t>Eliminate Balance Sheet Run Risk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5E0AE48" w14:textId="77777777" w:rsidR="008C0651" w:rsidRDefault="004F1041">
            <w:r>
              <w:rPr>
                <w:sz w:val="17"/>
                <w:szCs w:val="17"/>
              </w:rPr>
              <w:t>BOUND's reserves absorb investor exit pressure; fund operational assets remain insulated</w:t>
            </w:r>
          </w:p>
        </w:tc>
      </w:tr>
      <w:tr w:rsidR="008C0651" w14:paraId="0A3F985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4FAF98CC" w14:textId="77777777" w:rsidR="008C0651" w:rsidRDefault="004F1041">
            <w:r>
              <w:rPr>
                <w:b/>
                <w:bCs/>
                <w:color w:val="5B21B6"/>
                <w:sz w:val="17"/>
                <w:szCs w:val="17"/>
              </w:rPr>
              <w:t>Zero Operational Disruption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E85B363" w14:textId="77777777" w:rsidR="008C0651" w:rsidRDefault="004F1041">
            <w:r>
              <w:rPr>
                <w:sz w:val="17"/>
                <w:szCs w:val="17"/>
              </w:rPr>
              <w:t>Issuer redemption calendar, NAV process, and settlement timeline remain unchanged</w:t>
            </w:r>
          </w:p>
        </w:tc>
      </w:tr>
      <w:tr w:rsidR="008C0651" w14:paraId="65B33B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44C2E325" w14:textId="77777777" w:rsidR="008C0651" w:rsidRDefault="004F1041">
            <w:r>
              <w:rPr>
                <w:b/>
                <w:bCs/>
                <w:color w:val="5B21B6"/>
                <w:sz w:val="17"/>
                <w:szCs w:val="17"/>
              </w:rPr>
              <w:t>No Middleman Dependency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90D11F" w14:textId="77777777" w:rsidR="008C0651" w:rsidRDefault="004F1041">
            <w:r>
              <w:rPr>
                <w:sz w:val="17"/>
                <w:szCs w:val="17"/>
              </w:rPr>
              <w:t>Liquidity is generated programmatically — no reliance on external market makers</w:t>
            </w:r>
          </w:p>
        </w:tc>
      </w:tr>
      <w:tr w:rsidR="008C0651" w14:paraId="639BC37F"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27EF07B3" w14:textId="77777777" w:rsidR="008C0651" w:rsidRDefault="004F1041">
            <w:r>
              <w:rPr>
                <w:b/>
                <w:bCs/>
                <w:color w:val="5B21B6"/>
                <w:sz w:val="17"/>
                <w:szCs w:val="17"/>
              </w:rPr>
              <w:t>MICA-Compliant 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8071ACC" w14:textId="77777777" w:rsidR="008C0651" w:rsidRDefault="004F1041">
            <w:r>
              <w:rPr>
                <w:sz w:val="17"/>
                <w:szCs w:val="17"/>
              </w:rPr>
              <w:t>Built around a MICA Title II utility-type classification from day one</w:t>
            </w:r>
          </w:p>
        </w:tc>
      </w:tr>
    </w:tbl>
    <w:p w14:paraId="69A7D299" w14:textId="77777777" w:rsidR="008C0651" w:rsidRDefault="008C0651">
      <w:pPr>
        <w:spacing w:after="160"/>
      </w:pPr>
    </w:p>
    <w:p w14:paraId="66473443" w14:textId="77777777" w:rsidR="008C0651" w:rsidRDefault="004F1041">
      <w:pPr>
        <w:pStyle w:val="Heading1"/>
        <w:pBdr>
          <w:bottom w:val="single" w:sz="8" w:space="4" w:color="8B5CF6"/>
        </w:pBdr>
      </w:pPr>
      <w:r>
        <w:rPr>
          <w:sz w:val="28"/>
          <w:szCs w:val="28"/>
        </w:rPr>
        <w:t>Engineering Roadmap: Executive Summary</w:t>
      </w:r>
    </w:p>
    <w:p w14:paraId="54ACD1C5" w14:textId="77777777" w:rsidR="008C0651" w:rsidRDefault="004F1041">
      <w:pPr>
        <w:spacing w:after="160"/>
      </w:pPr>
      <w:r>
        <w:t>This document defines the complete technical build roadmap for the BOUND Protocol. It covers four parallel engineering layers — Smart Contracts, Backend &amp; Oracle Automation, Frontend, and DevOps &amp; Security — structured across three high-intensity phases targeting mainnet launch in 18 to 25 weeks.</w:t>
      </w:r>
    </w:p>
    <w:p w14:paraId="04F84DD5" w14:textId="77777777" w:rsidR="008C0651" w:rsidRDefault="004F1041">
      <w:pPr>
        <w:spacing w:after="160"/>
      </w:pPr>
      <w:r>
        <w:t>The roadmap delivers every component required for BOUND to go live: the BLD token and liquidity pool contracts, the oracle-driven haircut and settlement engine, the RWA issuer onboarding and management system, the instant exit swap interface, and the data infrastructure serving issuers, asset managers, and external integrators.</w:t>
      </w:r>
    </w:p>
    <w:p w14:paraId="44CEA0FF" w14:textId="77777777" w:rsidR="008C0651" w:rsidRDefault="004F1041">
      <w:pPr>
        <w:spacing w:after="160"/>
      </w:pPr>
      <w:r>
        <w:rPr>
          <w:b/>
          <w:bCs/>
          <w:color w:val="5B21B6"/>
        </w:rPr>
        <w:t>Compression from the original 36-week plan to 18–25 weeks is achieved entirely through parallel execution across all layers — not by reducing scope. Every deliverable is preserved. Achieving 18 weeks requires dedicated, full-time teams across all four layers from day one.</w:t>
      </w:r>
    </w:p>
    <w:p w14:paraId="46032E74" w14:textId="77777777" w:rsidR="008C0651" w:rsidRDefault="004F1041">
      <w:pPr>
        <w:pStyle w:val="Heading1"/>
        <w:pBdr>
          <w:bottom w:val="single" w:sz="8" w:space="4" w:color="8B5CF6"/>
        </w:pBdr>
      </w:pPr>
      <w:r>
        <w:rPr>
          <w:sz w:val="28"/>
          <w:szCs w:val="28"/>
        </w:rPr>
        <w:t>Timeline at a Glance</w:t>
      </w:r>
    </w:p>
    <w:p w14:paraId="0319ED7D" w14:textId="77777777" w:rsidR="008C0651" w:rsidRDefault="008C06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100"/>
        <w:gridCol w:w="4560"/>
      </w:tblGrid>
      <w:tr w:rsidR="008C0651" w14:paraId="44289C6C" w14:textId="77777777">
        <w:trPr>
          <w:tblHeader/>
        </w:trPr>
        <w:tc>
          <w:tcPr>
            <w:tcW w:w="90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14B8839E" w14:textId="77777777" w:rsidR="008C0651" w:rsidRDefault="004F1041">
            <w:r>
              <w:rPr>
                <w:b/>
                <w:bCs/>
                <w:color w:val="FFFFFF"/>
                <w:sz w:val="18"/>
                <w:szCs w:val="18"/>
              </w:rPr>
              <w:t>Phase</w:t>
            </w:r>
          </w:p>
        </w:tc>
        <w:tc>
          <w:tcPr>
            <w:tcW w:w="280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059E0884" w14:textId="77777777" w:rsidR="008C0651" w:rsidRDefault="004F1041">
            <w:r>
              <w:rPr>
                <w:b/>
                <w:bCs/>
                <w:color w:val="FFFFFF"/>
                <w:sz w:val="18"/>
                <w:szCs w:val="18"/>
              </w:rPr>
              <w:t>Title</w:t>
            </w:r>
          </w:p>
        </w:tc>
        <w:tc>
          <w:tcPr>
            <w:tcW w:w="110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1AB95858" w14:textId="77777777" w:rsidR="008C0651" w:rsidRDefault="004F1041">
            <w:r>
              <w:rPr>
                <w:b/>
                <w:bCs/>
                <w:color w:val="FFFFFF"/>
                <w:sz w:val="18"/>
                <w:szCs w:val="18"/>
              </w:rPr>
              <w:t>Weeks</w:t>
            </w:r>
          </w:p>
        </w:tc>
        <w:tc>
          <w:tcPr>
            <w:tcW w:w="456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537ED7C6" w14:textId="77777777" w:rsidR="008C0651" w:rsidRDefault="004F1041">
            <w:r>
              <w:rPr>
                <w:b/>
                <w:bCs/>
                <w:color w:val="FFFFFF"/>
                <w:sz w:val="18"/>
                <w:szCs w:val="18"/>
              </w:rPr>
              <w:t>All-Layer Exit Gate</w:t>
            </w:r>
          </w:p>
        </w:tc>
      </w:tr>
      <w:tr w:rsidR="008C0651" w14:paraId="30C44ED0" w14:textId="77777777">
        <w:tc>
          <w:tcPr>
            <w:tcW w:w="900" w:type="dxa"/>
            <w:tcBorders>
              <w:top w:val="single" w:sz="1" w:space="0" w:color="CCCCCC"/>
              <w:left w:val="single" w:sz="1" w:space="0" w:color="CCCCCC"/>
              <w:bottom w:val="single" w:sz="1" w:space="0" w:color="CCCCCC"/>
              <w:right w:val="single" w:sz="1" w:space="0" w:color="CCCCCC"/>
            </w:tcBorders>
            <w:shd w:val="clear" w:color="auto" w:fill="EDE9FE"/>
            <w:tcMar>
              <w:top w:w="100" w:type="dxa"/>
              <w:left w:w="140" w:type="dxa"/>
              <w:bottom w:w="100" w:type="dxa"/>
              <w:right w:w="140" w:type="dxa"/>
            </w:tcMar>
          </w:tcPr>
          <w:p w14:paraId="6505BEBD" w14:textId="77777777" w:rsidR="008C0651" w:rsidRDefault="004F1041">
            <w:r>
              <w:rPr>
                <w:b/>
                <w:bCs/>
                <w:color w:val="5B21B6"/>
                <w:sz w:val="17"/>
                <w:szCs w:val="17"/>
              </w:rPr>
              <w:t>Phase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733AE5" w14:textId="77777777" w:rsidR="008C0651" w:rsidRDefault="004F1041">
            <w:r>
              <w:rPr>
                <w:sz w:val="17"/>
                <w:szCs w:val="17"/>
              </w:rPr>
              <w:t>Foundation &amp; Architecture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A71BAF" w14:textId="77777777" w:rsidR="008C0651" w:rsidRDefault="004F1041">
            <w:r>
              <w:rPr>
                <w:sz w:val="17"/>
                <w:szCs w:val="17"/>
              </w:rPr>
              <w:t>1–6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DE0722" w14:textId="77777777" w:rsidR="008C0651" w:rsidRDefault="004F1041">
            <w:r>
              <w:rPr>
                <w:sz w:val="17"/>
                <w:szCs w:val="17"/>
              </w:rPr>
              <w:t>BLD architecture finalised; all teams unblocked; devnet live</w:t>
            </w:r>
          </w:p>
        </w:tc>
      </w:tr>
      <w:tr w:rsidR="008C0651" w14:paraId="24CAE410" w14:textId="77777777">
        <w:tc>
          <w:tcPr>
            <w:tcW w:w="900" w:type="dxa"/>
            <w:tcBorders>
              <w:top w:val="single" w:sz="1" w:space="0" w:color="CCCCCC"/>
              <w:left w:val="single" w:sz="1" w:space="0" w:color="CCCCCC"/>
              <w:bottom w:val="single" w:sz="1" w:space="0" w:color="CCCCCC"/>
              <w:right w:val="single" w:sz="1" w:space="0" w:color="CCCCCC"/>
            </w:tcBorders>
            <w:shd w:val="clear" w:color="auto" w:fill="E0F2FE"/>
            <w:tcMar>
              <w:top w:w="100" w:type="dxa"/>
              <w:left w:w="140" w:type="dxa"/>
              <w:bottom w:w="100" w:type="dxa"/>
              <w:right w:w="140" w:type="dxa"/>
            </w:tcMar>
          </w:tcPr>
          <w:p w14:paraId="76104286" w14:textId="77777777" w:rsidR="008C0651" w:rsidRDefault="004F1041">
            <w:r>
              <w:rPr>
                <w:b/>
                <w:bCs/>
                <w:color w:val="5B21B6"/>
                <w:sz w:val="17"/>
                <w:szCs w:val="17"/>
              </w:rPr>
              <w:t>Phase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D4FB06" w14:textId="77777777" w:rsidR="008C0651" w:rsidRDefault="004F1041">
            <w:r>
              <w:rPr>
                <w:sz w:val="17"/>
                <w:szCs w:val="17"/>
              </w:rPr>
              <w:t>Build — Full Parallel Execution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AF0832" w14:textId="77777777" w:rsidR="008C0651" w:rsidRDefault="004F1041">
            <w:r>
              <w:rPr>
                <w:sz w:val="17"/>
                <w:szCs w:val="17"/>
              </w:rPr>
              <w:t>7–16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DA3909" w14:textId="77777777" w:rsidR="008C0651" w:rsidRDefault="004F1041">
            <w:r>
              <w:rPr>
                <w:sz w:val="17"/>
                <w:szCs w:val="17"/>
              </w:rPr>
              <w:t>All BOUND systems integrated end-to-end on testnet; pre-audit hardening complete</w:t>
            </w:r>
          </w:p>
        </w:tc>
      </w:tr>
      <w:tr w:rsidR="008C0651" w14:paraId="092509BA" w14:textId="77777777">
        <w:tc>
          <w:tcPr>
            <w:tcW w:w="900" w:type="dxa"/>
            <w:tcBorders>
              <w:top w:val="single" w:sz="1" w:space="0" w:color="CCCCCC"/>
              <w:left w:val="single" w:sz="1" w:space="0" w:color="CCCCCC"/>
              <w:bottom w:val="single" w:sz="1" w:space="0" w:color="CCCCCC"/>
              <w:right w:val="single" w:sz="1" w:space="0" w:color="CCCCCC"/>
            </w:tcBorders>
            <w:shd w:val="clear" w:color="auto" w:fill="D1FAE5"/>
            <w:tcMar>
              <w:top w:w="100" w:type="dxa"/>
              <w:left w:w="140" w:type="dxa"/>
              <w:bottom w:w="100" w:type="dxa"/>
              <w:right w:w="140" w:type="dxa"/>
            </w:tcMar>
          </w:tcPr>
          <w:p w14:paraId="169C12D5" w14:textId="77777777" w:rsidR="008C0651" w:rsidRDefault="004F1041">
            <w:r>
              <w:rPr>
                <w:b/>
                <w:bCs/>
                <w:color w:val="5B21B6"/>
                <w:sz w:val="17"/>
                <w:szCs w:val="17"/>
              </w:rPr>
              <w:t>Phase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8B20C2" w14:textId="77777777" w:rsidR="008C0651" w:rsidRDefault="004F1041">
            <w:r>
              <w:rPr>
                <w:sz w:val="17"/>
                <w:szCs w:val="17"/>
              </w:rPr>
              <w:t>Audit, Hardening &amp; Mainnet Launch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74B934" w14:textId="77777777" w:rsidR="008C0651" w:rsidRDefault="004F1041">
            <w:r>
              <w:rPr>
                <w:sz w:val="17"/>
                <w:szCs w:val="17"/>
              </w:rPr>
              <w:t>17–25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F1A3C9" w14:textId="77777777" w:rsidR="008C0651" w:rsidRDefault="004F1041">
            <w:r>
              <w:rPr>
                <w:sz w:val="17"/>
                <w:szCs w:val="17"/>
              </w:rPr>
              <w:t>Audit signed off; QA/performance/load targets met; BLD markets live on mainnet</w:t>
            </w:r>
          </w:p>
        </w:tc>
      </w:tr>
    </w:tbl>
    <w:p w14:paraId="6CF2C9EB" w14:textId="77777777" w:rsidR="008C0651" w:rsidRDefault="008C0651">
      <w:pPr>
        <w:spacing w:after="120"/>
      </w:pPr>
    </w:p>
    <w:p w14:paraId="39393E69" w14:textId="77777777" w:rsidR="008C0651" w:rsidRDefault="004F1041">
      <w:pPr>
        <w:spacing w:before="80"/>
      </w:pPr>
      <w:r>
        <w:rPr>
          <w:i/>
          <w:iCs/>
          <w:color w:val="6B7280"/>
          <w:sz w:val="17"/>
          <w:szCs w:val="17"/>
        </w:rPr>
        <w:t>* 18 weeks is the minimum with fully dedicated teams and a clean single-round audit remediation. 25 weeks is the realistic target accounting for team ramp-up and potential second-round audit findings.</w:t>
      </w:r>
    </w:p>
    <w:p w14:paraId="641C11F1" w14:textId="77777777" w:rsidR="008C0651" w:rsidRDefault="004F1041">
      <w:pPr>
        <w:pStyle w:val="Heading1"/>
        <w:pBdr>
          <w:bottom w:val="single" w:sz="8" w:space="4" w:color="8B5CF6"/>
        </w:pBdr>
      </w:pPr>
      <w:r>
        <w:rPr>
          <w:sz w:val="28"/>
          <w:szCs w:val="28"/>
        </w:rPr>
        <w:t>Guiding Principles</w:t>
      </w:r>
    </w:p>
    <w:p w14:paraId="23E9358D" w14:textId="77777777" w:rsidR="008C0651" w:rsidRDefault="004F1041">
      <w:pPr>
        <w:spacing w:before="240" w:after="60"/>
      </w:pPr>
      <w:r>
        <w:rPr>
          <w:b/>
          <w:bCs/>
          <w:color w:val="5B21B6"/>
          <w:sz w:val="21"/>
          <w:szCs w:val="21"/>
        </w:rPr>
        <w:t>Decentralisation by Default</w:t>
      </w:r>
    </w:p>
    <w:p w14:paraId="44B82462" w14:textId="77777777" w:rsidR="008C0651" w:rsidRDefault="004F1041">
      <w:pPr>
        <w:spacing w:after="120"/>
      </w:pPr>
      <w:r>
        <w:rPr>
          <w:sz w:val="19"/>
          <w:szCs w:val="19"/>
        </w:rPr>
        <w:t>All normal BOUND operations are permissionless. Admin keys are multi-sig gated and scope-limited to emergency market suspension and haircut parameter bounds only. Emergency controls must self-expire or require community ratification via timelock. Issuers, asset managers, and BLD holders can operate without any reliance on BOUND team keys.</w:t>
      </w:r>
    </w:p>
    <w:p w14:paraId="6758AC59" w14:textId="77777777" w:rsidR="008C0651" w:rsidRDefault="004F1041">
      <w:pPr>
        <w:spacing w:before="240" w:after="60"/>
      </w:pPr>
      <w:r>
        <w:rPr>
          <w:b/>
          <w:bCs/>
          <w:color w:val="5B21B6"/>
          <w:sz w:val="21"/>
          <w:szCs w:val="21"/>
        </w:rPr>
        <w:t>Parallelism is the Compression Strategy</w:t>
      </w:r>
    </w:p>
    <w:p w14:paraId="4FD8CFFC" w14:textId="77777777" w:rsidR="008C0651" w:rsidRDefault="004F1041">
      <w:pPr>
        <w:spacing w:after="120"/>
      </w:pPr>
      <w:r>
        <w:rPr>
          <w:sz w:val="19"/>
          <w:szCs w:val="19"/>
        </w:rPr>
        <w:t>The timeline shortens entirely through parallel execution. Smart contract development, backend, frontend, and DevOps all run at full capacity simultaneously from Week 1. Any sequential dependency is a schedule risk to be raised at the weekly cross-team sync immediately.</w:t>
      </w:r>
    </w:p>
    <w:p w14:paraId="4BAFE7D7" w14:textId="77777777" w:rsidR="008C0651" w:rsidRDefault="004F1041">
      <w:pPr>
        <w:spacing w:before="240" w:after="60"/>
      </w:pPr>
      <w:r>
        <w:rPr>
          <w:b/>
          <w:bCs/>
          <w:color w:val="5B21B6"/>
          <w:sz w:val="21"/>
          <w:szCs w:val="21"/>
        </w:rPr>
        <w:t>Audit Gate is Non-Negotiable</w:t>
      </w:r>
    </w:p>
    <w:p w14:paraId="365DEF29" w14:textId="77777777" w:rsidR="008C0651" w:rsidRDefault="004F1041">
      <w:pPr>
        <w:spacing w:after="120"/>
      </w:pPr>
      <w:r>
        <w:rPr>
          <w:sz w:val="19"/>
          <w:szCs w:val="19"/>
        </w:rPr>
        <w:t>No mainnet deployment until Phase 3 audit sign-off. Any contract modification from competition findings triggers a targeted re-audit of the affected modules. The audit window cannot be compressed below 6 weeks without dropping the public competition round, which is not recommended for a protocol handling institutional capital.</w:t>
      </w:r>
    </w:p>
    <w:p w14:paraId="4CACB962" w14:textId="77777777" w:rsidR="008C0651" w:rsidRDefault="004F1041">
      <w:pPr>
        <w:spacing w:before="240" w:after="60"/>
      </w:pPr>
      <w:r>
        <w:rPr>
          <w:b/>
          <w:bCs/>
          <w:color w:val="5B21B6"/>
          <w:sz w:val="21"/>
          <w:szCs w:val="21"/>
        </w:rPr>
        <w:t>MICA Compliance from Architecture</w:t>
      </w:r>
    </w:p>
    <w:p w14:paraId="1950B501" w14:textId="77777777" w:rsidR="008C0651" w:rsidRDefault="004F1041">
      <w:pPr>
        <w:spacing w:after="120"/>
      </w:pPr>
      <w:r>
        <w:rPr>
          <w:sz w:val="19"/>
          <w:szCs w:val="19"/>
        </w:rPr>
        <w:t>The BOUND smart contract and backend architecture is designed around MICA Title II utility-type classification from day one — not retrofitted. Compliance reporting pipelines, data retention, and issuer obligation tracking are first-class engineering concerns.</w:t>
      </w:r>
    </w:p>
    <w:p w14:paraId="483C9704" w14:textId="77777777" w:rsidR="008C0651" w:rsidRDefault="004F1041">
      <w:pPr>
        <w:spacing w:before="240" w:after="60"/>
      </w:pPr>
      <w:r>
        <w:rPr>
          <w:b/>
          <w:bCs/>
          <w:color w:val="5B21B6"/>
          <w:sz w:val="21"/>
          <w:szCs w:val="21"/>
        </w:rPr>
        <w:t>SEO from Day One</w:t>
      </w:r>
    </w:p>
    <w:p w14:paraId="577A625F" w14:textId="77777777" w:rsidR="008C0651" w:rsidRDefault="004F1041">
      <w:pPr>
        <w:spacing w:after="120"/>
      </w:pPr>
      <w:r>
        <w:rPr>
          <w:sz w:val="19"/>
          <w:szCs w:val="19"/>
        </w:rPr>
        <w:t>Frontend SEO is an engineering deliverable from Phase 1. The target is for BOUND to rank as the primary result for 'RWA instant liquidity', 'instant RWA exit', and 'BLD token' before mainnet launch.</w:t>
      </w:r>
    </w:p>
    <w:p w14:paraId="0D1CC243" w14:textId="77777777" w:rsidR="008C0651" w:rsidRDefault="004F1041">
      <w:pPr>
        <w:spacing w:before="240" w:after="60"/>
      </w:pPr>
      <w:r>
        <w:rPr>
          <w:b/>
          <w:bCs/>
          <w:color w:val="5B21B6"/>
          <w:sz w:val="21"/>
          <w:szCs w:val="21"/>
        </w:rPr>
        <w:t>Security at Every Layer</w:t>
      </w:r>
    </w:p>
    <w:p w14:paraId="23553F76" w14:textId="77777777" w:rsidR="008C0651" w:rsidRDefault="004F1041">
      <w:pPr>
        <w:spacing w:after="120"/>
      </w:pPr>
      <w:r>
        <w:rPr>
          <w:sz w:val="19"/>
          <w:szCs w:val="19"/>
        </w:rPr>
        <w:t>Security is not siloed to smart contracts. DevOps, backend, and frontend each carry their own security obligations — WAF, SAST/DAST, oracle node hardening, HSM-backed hot wallet signing, input validation — throughout all phases.</w:t>
      </w:r>
    </w:p>
    <w:p w14:paraId="18705169" w14:textId="77777777" w:rsidR="008C0651" w:rsidRDefault="004F1041">
      <w:r>
        <w:br w:type="page"/>
      </w:r>
    </w:p>
    <w:p w14:paraId="27EFDDD2" w14:textId="77777777" w:rsidR="008C0651" w:rsidRDefault="004F1041">
      <w:pPr>
        <w:pStyle w:val="Heading1"/>
        <w:pBdr>
          <w:bottom w:val="single" w:sz="8" w:space="4" w:color="8B5CF6"/>
        </w:pBdr>
      </w:pPr>
      <w:r>
        <w:rPr>
          <w:sz w:val="28"/>
          <w:szCs w:val="28"/>
        </w:rPr>
        <w:lastRenderedPageBreak/>
        <w:t>Phase-by-Phase Deliverables</w:t>
      </w:r>
    </w:p>
    <w:p w14:paraId="381D8F5D" w14:textId="77777777" w:rsidR="008C0651" w:rsidRDefault="004F1041">
      <w:pPr>
        <w:pStyle w:val="Heading2"/>
        <w:spacing w:before="400" w:after="80"/>
      </w:pPr>
      <w:r>
        <w:t>Phase 1: Foundation &amp; Architecture</w:t>
      </w:r>
      <w:r>
        <w:rPr>
          <w:color w:val="6B7280"/>
          <w:sz w:val="20"/>
          <w:szCs w:val="20"/>
        </w:rPr>
        <w:t xml:space="preserve">   Weeks 1–6</w:t>
      </w:r>
    </w:p>
    <w:p w14:paraId="6111C6F6" w14:textId="77777777" w:rsidR="008C0651" w:rsidRDefault="004F1041">
      <w:pPr>
        <w:spacing w:after="200"/>
      </w:pPr>
      <w:r>
        <w:rPr>
          <w:i/>
          <w:iCs/>
          <w:color w:val="6B7280"/>
          <w:sz w:val="18"/>
          <w:szCs w:val="18"/>
        </w:rPr>
        <w:t>All four layers mobilise simultaneously. The goal is to exit Phase 1 with every team unblocked: BOUND core contracts designed and core logic written, infra reproducible, app scaffold live, oracle scaffolded. Architecture decisions — upgrade pattern, storage layout, BLD token mechanics — must be finalised by end of Week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C0651" w14:paraId="55E626B5" w14:textId="77777777">
        <w:trPr>
          <w:tblHeader/>
        </w:trPr>
        <w:tc>
          <w:tcPr>
            <w:tcW w:w="220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020AC5F4" w14:textId="77777777" w:rsidR="008C0651" w:rsidRDefault="004F1041">
            <w:r>
              <w:rPr>
                <w:b/>
                <w:bCs/>
                <w:color w:val="FFFFFF"/>
                <w:sz w:val="18"/>
                <w:szCs w:val="18"/>
              </w:rPr>
              <w:t>Layer</w:t>
            </w:r>
          </w:p>
        </w:tc>
        <w:tc>
          <w:tcPr>
            <w:tcW w:w="716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7258DB68" w14:textId="77777777" w:rsidR="008C0651" w:rsidRDefault="004F1041">
            <w:r>
              <w:rPr>
                <w:b/>
                <w:bCs/>
                <w:color w:val="FFFFFF"/>
                <w:sz w:val="18"/>
                <w:szCs w:val="18"/>
              </w:rPr>
              <w:t>Focus Area</w:t>
            </w:r>
          </w:p>
        </w:tc>
      </w:tr>
      <w:tr w:rsidR="008C0651" w14:paraId="14D76F83" w14:textId="77777777">
        <w:tc>
          <w:tcPr>
            <w:tcW w:w="22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vAlign w:val="center"/>
          </w:tcPr>
          <w:p w14:paraId="7967DD52" w14:textId="77777777" w:rsidR="008C0651" w:rsidRDefault="004F1041">
            <w:r>
              <w:rPr>
                <w:b/>
                <w:bCs/>
                <w:color w:val="5B21B6"/>
                <w:sz w:val="17"/>
                <w:szCs w:val="17"/>
              </w:rPr>
              <w:t>Smart Contract Development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0A27E63" w14:textId="77777777" w:rsidR="008C0651" w:rsidRDefault="004F1041">
            <w:r>
              <w:rPr>
                <w:sz w:val="17"/>
                <w:szCs w:val="17"/>
              </w:rPr>
              <w:t>BOUND Protocol Core &amp; BLD Token Architecture</w:t>
            </w:r>
          </w:p>
        </w:tc>
      </w:tr>
      <w:tr w:rsidR="008C0651" w14:paraId="3E2B2797" w14:textId="77777777">
        <w:tc>
          <w:tcPr>
            <w:tcW w:w="2200" w:type="dxa"/>
            <w:tcBorders>
              <w:top w:val="single" w:sz="1" w:space="0" w:color="CCCCCC"/>
              <w:left w:val="single" w:sz="1" w:space="0" w:color="CCCCCC"/>
              <w:bottom w:val="single" w:sz="1" w:space="0" w:color="CCCCCC"/>
              <w:right w:val="single" w:sz="1" w:space="0" w:color="CCCCCC"/>
            </w:tcBorders>
            <w:shd w:val="clear" w:color="auto" w:fill="E0F2FE"/>
            <w:tcMar>
              <w:top w:w="90" w:type="dxa"/>
              <w:left w:w="140" w:type="dxa"/>
              <w:bottom w:w="90" w:type="dxa"/>
              <w:right w:w="140" w:type="dxa"/>
            </w:tcMar>
            <w:vAlign w:val="center"/>
          </w:tcPr>
          <w:p w14:paraId="27DDBC5F" w14:textId="77777777" w:rsidR="008C0651" w:rsidRDefault="004F1041">
            <w:r>
              <w:rPr>
                <w:b/>
                <w:bCs/>
                <w:color w:val="0E7490"/>
                <w:sz w:val="17"/>
                <w:szCs w:val="17"/>
              </w:rPr>
              <w:t>Backend &amp; Oracle Automation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9062CE" w14:textId="77777777" w:rsidR="008C0651" w:rsidRDefault="004F1041">
            <w:r>
              <w:rPr>
                <w:sz w:val="17"/>
                <w:szCs w:val="17"/>
              </w:rPr>
              <w:t>Mono-repo Scaffold &amp; Dev Environment</w:t>
            </w:r>
          </w:p>
        </w:tc>
      </w:tr>
      <w:tr w:rsidR="008C0651" w14:paraId="3F83A89A" w14:textId="77777777">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90" w:type="dxa"/>
              <w:left w:w="140" w:type="dxa"/>
              <w:bottom w:w="90" w:type="dxa"/>
              <w:right w:w="140" w:type="dxa"/>
            </w:tcMar>
            <w:vAlign w:val="center"/>
          </w:tcPr>
          <w:p w14:paraId="189AB2E3" w14:textId="77777777" w:rsidR="008C0651" w:rsidRDefault="004F1041">
            <w:r>
              <w:rPr>
                <w:b/>
                <w:bCs/>
                <w:color w:val="065F46"/>
                <w:sz w:val="17"/>
                <w:szCs w:val="17"/>
              </w:rPr>
              <w:t>Frontend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1CD640B" w14:textId="77777777" w:rsidR="008C0651" w:rsidRDefault="004F1041">
            <w:r>
              <w:rPr>
                <w:sz w:val="17"/>
                <w:szCs w:val="17"/>
              </w:rPr>
              <w:t>Design System &amp; App Scaffold</w:t>
            </w:r>
          </w:p>
        </w:tc>
      </w:tr>
      <w:tr w:rsidR="008C0651" w14:paraId="471342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40" w:type="dxa"/>
              <w:bottom w:w="90" w:type="dxa"/>
              <w:right w:w="140" w:type="dxa"/>
            </w:tcMar>
            <w:vAlign w:val="center"/>
          </w:tcPr>
          <w:p w14:paraId="38E7F50A" w14:textId="77777777" w:rsidR="008C0651" w:rsidRDefault="004F1041">
            <w:r>
              <w:rPr>
                <w:b/>
                <w:bCs/>
                <w:color w:val="991B1B"/>
                <w:sz w:val="17"/>
                <w:szCs w:val="17"/>
              </w:rPr>
              <w:t>DevOps &amp; 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5B049FD" w14:textId="77777777" w:rsidR="008C0651" w:rsidRDefault="004F1041">
            <w:r>
              <w:rPr>
                <w:sz w:val="17"/>
                <w:szCs w:val="17"/>
              </w:rPr>
              <w:t>Infrastructure as Code &amp; CI/CD</w:t>
            </w:r>
          </w:p>
        </w:tc>
      </w:tr>
    </w:tbl>
    <w:p w14:paraId="48DAEAEE" w14:textId="77777777" w:rsidR="008C0651" w:rsidRDefault="008C0651">
      <w:pPr>
        <w:spacing w:after="200"/>
      </w:pPr>
    </w:p>
    <w:p w14:paraId="11739B5C" w14:textId="77777777" w:rsidR="008C0651" w:rsidRDefault="004F1041">
      <w:pPr>
        <w:pStyle w:val="Heading3"/>
        <w:spacing w:before="220"/>
      </w:pPr>
      <w:r>
        <w:rPr>
          <w:color w:val="5B21B6"/>
        </w:rPr>
        <w:t>Smart Contract Development  —  BOUND Protocol Core &amp; BLD Token Architecture</w:t>
      </w:r>
    </w:p>
    <w:p w14:paraId="1B1BC54E" w14:textId="77777777" w:rsidR="008C0651" w:rsidRDefault="004F1041">
      <w:pPr>
        <w:pStyle w:val="ListParagraph"/>
        <w:numPr>
          <w:ilvl w:val="0"/>
          <w:numId w:val="2"/>
        </w:numPr>
        <w:spacing w:before="30" w:after="30"/>
      </w:pPr>
      <w:r>
        <w:rPr>
          <w:sz w:val="19"/>
          <w:szCs w:val="19"/>
        </w:rPr>
        <w:t>Architecture decisions finalised: upgrade pattern (proxy/diamond), storage layout, BLD token mechanics, haircut model</w:t>
      </w:r>
    </w:p>
    <w:p w14:paraId="136D139C" w14:textId="77777777" w:rsidR="008C0651" w:rsidRDefault="004F1041">
      <w:pPr>
        <w:pStyle w:val="ListParagraph"/>
        <w:numPr>
          <w:ilvl w:val="0"/>
          <w:numId w:val="2"/>
        </w:numPr>
        <w:spacing w:before="30" w:after="30"/>
      </w:pPr>
      <w:r>
        <w:rPr>
          <w:sz w:val="19"/>
          <w:szCs w:val="19"/>
        </w:rPr>
        <w:t>BLD token contract: mint/burn gated to liquidity pool, peg mechanics, USDC collateral accounting</w:t>
      </w:r>
    </w:p>
    <w:p w14:paraId="5A960C15" w14:textId="77777777" w:rsidR="008C0651" w:rsidRDefault="004F1041">
      <w:pPr>
        <w:pStyle w:val="ListParagraph"/>
        <w:numPr>
          <w:ilvl w:val="0"/>
          <w:numId w:val="2"/>
        </w:numPr>
        <w:spacing w:before="30" w:after="30"/>
      </w:pPr>
      <w:r>
        <w:rPr>
          <w:sz w:val="19"/>
          <w:szCs w:val="19"/>
        </w:rPr>
        <w:t>RWA registry: asset onboarding primitives, eligibility enforcement, haircut assignment storage</w:t>
      </w:r>
    </w:p>
    <w:p w14:paraId="495A5540" w14:textId="77777777" w:rsidR="008C0651" w:rsidRDefault="004F1041">
      <w:pPr>
        <w:pStyle w:val="ListParagraph"/>
        <w:numPr>
          <w:ilvl w:val="0"/>
          <w:numId w:val="2"/>
        </w:numPr>
        <w:spacing w:before="30" w:after="30"/>
      </w:pPr>
      <w:r>
        <w:rPr>
          <w:sz w:val="19"/>
          <w:szCs w:val="19"/>
        </w:rPr>
        <w:t>Liquidity pool core: instant exit swap logic, reserve tracking, background settlement queue</w:t>
      </w:r>
    </w:p>
    <w:p w14:paraId="29854700" w14:textId="77777777" w:rsidR="008C0651" w:rsidRDefault="004F1041">
      <w:pPr>
        <w:pStyle w:val="ListParagraph"/>
        <w:numPr>
          <w:ilvl w:val="0"/>
          <w:numId w:val="2"/>
        </w:numPr>
        <w:spacing w:before="30" w:after="30"/>
      </w:pPr>
      <w:r>
        <w:rPr>
          <w:sz w:val="19"/>
          <w:szCs w:val="19"/>
        </w:rPr>
        <w:t>Governance module: on-chain proposals, quorum, timelock, emergency pause — decentralised by default</w:t>
      </w:r>
    </w:p>
    <w:p w14:paraId="7901A12A" w14:textId="77777777" w:rsidR="008C0651" w:rsidRDefault="004F1041">
      <w:pPr>
        <w:pStyle w:val="ListParagraph"/>
        <w:numPr>
          <w:ilvl w:val="0"/>
          <w:numId w:val="2"/>
        </w:numPr>
        <w:spacing w:before="30" w:after="30"/>
      </w:pPr>
      <w:r>
        <w:rPr>
          <w:sz w:val="19"/>
          <w:szCs w:val="19"/>
        </w:rPr>
        <w:t>Admin role matrix: multi-sig gated emergency levers only (market suspension, haircut override); all normal ops permissionless</w:t>
      </w:r>
    </w:p>
    <w:p w14:paraId="4E90C41D" w14:textId="77777777" w:rsidR="008C0651" w:rsidRDefault="004F1041">
      <w:pPr>
        <w:pStyle w:val="ListParagraph"/>
        <w:numPr>
          <w:ilvl w:val="0"/>
          <w:numId w:val="2"/>
        </w:numPr>
        <w:spacing w:before="30" w:after="30"/>
      </w:pPr>
      <w:r>
        <w:rPr>
          <w:sz w:val="19"/>
          <w:szCs w:val="19"/>
        </w:rPr>
        <w:t>Security primitives: access control library, reentrancy guards, overflow checks, rate-limit patterns</w:t>
      </w:r>
    </w:p>
    <w:p w14:paraId="22C0701E" w14:textId="77777777" w:rsidR="008C0651" w:rsidRDefault="004F1041">
      <w:pPr>
        <w:pStyle w:val="ListParagraph"/>
        <w:numPr>
          <w:ilvl w:val="0"/>
          <w:numId w:val="2"/>
        </w:numPr>
        <w:spacing w:before="30" w:after="30"/>
      </w:pPr>
      <w:r>
        <w:rPr>
          <w:sz w:val="19"/>
          <w:szCs w:val="19"/>
        </w:rPr>
        <w:t>Unit test scaffold: 100% branch coverage target established; fuzz test harness set up (echidna/foundry)</w:t>
      </w:r>
    </w:p>
    <w:p w14:paraId="4B99F1BC" w14:textId="77777777" w:rsidR="008C0651" w:rsidRDefault="008C0651">
      <w:pPr>
        <w:spacing w:after="80"/>
      </w:pPr>
    </w:p>
    <w:p w14:paraId="6BDB9408" w14:textId="77777777" w:rsidR="008C0651" w:rsidRDefault="004F1041">
      <w:pPr>
        <w:pStyle w:val="Heading3"/>
        <w:spacing w:before="220"/>
      </w:pPr>
      <w:r>
        <w:t>Backend &amp; Oracle Automation  —  Mono-repo Scaffold &amp; Dev Environment</w:t>
      </w:r>
    </w:p>
    <w:p w14:paraId="61CAF5D5" w14:textId="77777777" w:rsidR="008C0651" w:rsidRDefault="004F1041">
      <w:pPr>
        <w:pStyle w:val="ListParagraph"/>
        <w:numPr>
          <w:ilvl w:val="0"/>
          <w:numId w:val="2"/>
        </w:numPr>
        <w:spacing w:before="30" w:after="30"/>
      </w:pPr>
      <w:r>
        <w:rPr>
          <w:sz w:val="19"/>
          <w:szCs w:val="19"/>
        </w:rPr>
        <w:t>Backend mono-repo: service boundaries, shared TypeScript types, CI skeleton</w:t>
      </w:r>
    </w:p>
    <w:p w14:paraId="4245E131" w14:textId="77777777" w:rsidR="008C0651" w:rsidRDefault="004F1041">
      <w:pPr>
        <w:pStyle w:val="ListParagraph"/>
        <w:numPr>
          <w:ilvl w:val="0"/>
          <w:numId w:val="2"/>
        </w:numPr>
        <w:spacing w:before="30" w:after="30"/>
      </w:pPr>
      <w:r>
        <w:rPr>
          <w:sz w:val="19"/>
          <w:szCs w:val="19"/>
        </w:rPr>
        <w:t>Database schema: RWA registry mirror, BLD market state, NAV history, settlement queue, issuer obligation tracker</w:t>
      </w:r>
    </w:p>
    <w:p w14:paraId="0DDCF576" w14:textId="77777777" w:rsidR="008C0651" w:rsidRDefault="004F1041">
      <w:pPr>
        <w:pStyle w:val="ListParagraph"/>
        <w:numPr>
          <w:ilvl w:val="0"/>
          <w:numId w:val="2"/>
        </w:numPr>
        <w:spacing w:before="30" w:after="30"/>
      </w:pPr>
      <w:r>
        <w:rPr>
          <w:sz w:val="19"/>
          <w:szCs w:val="19"/>
        </w:rPr>
        <w:t>Oracle service scaffold: NAV/price event listener, block-confirmation queue, retry and backoff logic</w:t>
      </w:r>
    </w:p>
    <w:p w14:paraId="70C16F7B" w14:textId="77777777" w:rsidR="008C0651" w:rsidRDefault="004F1041">
      <w:pPr>
        <w:pStyle w:val="ListParagraph"/>
        <w:numPr>
          <w:ilvl w:val="0"/>
          <w:numId w:val="2"/>
        </w:numPr>
        <w:spacing w:before="30" w:after="30"/>
      </w:pPr>
      <w:r>
        <w:rPr>
          <w:sz w:val="19"/>
          <w:szCs w:val="19"/>
        </w:rPr>
        <w:t>Local devnet with mock BOUND contracts wired to backend for end-to-end integration testing from day one</w:t>
      </w:r>
    </w:p>
    <w:p w14:paraId="47DEA3B1" w14:textId="77777777" w:rsidR="008C0651" w:rsidRDefault="008C0651">
      <w:pPr>
        <w:spacing w:after="80"/>
      </w:pPr>
    </w:p>
    <w:p w14:paraId="433A8741" w14:textId="77777777" w:rsidR="008C0651" w:rsidRDefault="004F1041">
      <w:pPr>
        <w:pStyle w:val="Heading3"/>
        <w:spacing w:before="220"/>
      </w:pPr>
      <w:r>
        <w:rPr>
          <w:color w:val="065F46"/>
        </w:rPr>
        <w:t>Frontend  —  Design System &amp; App Scaffold</w:t>
      </w:r>
    </w:p>
    <w:p w14:paraId="3763AD2B" w14:textId="77777777" w:rsidR="008C0651" w:rsidRDefault="004F1041">
      <w:pPr>
        <w:pStyle w:val="ListParagraph"/>
        <w:numPr>
          <w:ilvl w:val="0"/>
          <w:numId w:val="2"/>
        </w:numPr>
        <w:spacing w:before="30" w:after="30"/>
      </w:pPr>
      <w:r>
        <w:rPr>
          <w:sz w:val="19"/>
          <w:szCs w:val="19"/>
        </w:rPr>
        <w:t>Design system: BOUND brand tokens (colour, type, spacing), component library, accessibility baseline (WCAG AA)</w:t>
      </w:r>
    </w:p>
    <w:p w14:paraId="05F71B53" w14:textId="77777777" w:rsidR="008C0651" w:rsidRDefault="004F1041">
      <w:pPr>
        <w:pStyle w:val="ListParagraph"/>
        <w:numPr>
          <w:ilvl w:val="0"/>
          <w:numId w:val="2"/>
        </w:numPr>
        <w:spacing w:before="30" w:after="30"/>
      </w:pPr>
      <w:r>
        <w:rPr>
          <w:sz w:val="19"/>
          <w:szCs w:val="19"/>
        </w:rPr>
        <w:t>App scaffold: Next.js + TypeScript, wallet adapters (wagmi/viem), route architecture</w:t>
      </w:r>
    </w:p>
    <w:p w14:paraId="73DFE450" w14:textId="77777777" w:rsidR="008C0651" w:rsidRDefault="004F1041">
      <w:pPr>
        <w:pStyle w:val="ListParagraph"/>
        <w:numPr>
          <w:ilvl w:val="0"/>
          <w:numId w:val="2"/>
        </w:numPr>
        <w:spacing w:before="30" w:after="30"/>
      </w:pPr>
      <w:r>
        <w:rPr>
          <w:sz w:val="19"/>
          <w:szCs w:val="19"/>
        </w:rPr>
        <w:t>SEO foundation: metadata schema, Open Graph, structured data targeting 'RWA liquidity', 'instant RWA exit', 'BLD'</w:t>
      </w:r>
    </w:p>
    <w:p w14:paraId="6F46D4DC" w14:textId="77777777" w:rsidR="008C0651" w:rsidRDefault="004F1041">
      <w:pPr>
        <w:pStyle w:val="ListParagraph"/>
        <w:numPr>
          <w:ilvl w:val="0"/>
          <w:numId w:val="2"/>
        </w:numPr>
        <w:spacing w:before="30" w:after="30"/>
      </w:pPr>
      <w:r>
        <w:rPr>
          <w:sz w:val="19"/>
          <w:szCs w:val="19"/>
        </w:rPr>
        <w:t>Content strategy: keyword map positioning BOUND as the primary RWA instant liquidity protocol</w:t>
      </w:r>
    </w:p>
    <w:p w14:paraId="0B60E93F" w14:textId="77777777" w:rsidR="008C0651" w:rsidRDefault="008C0651">
      <w:pPr>
        <w:spacing w:after="80"/>
      </w:pPr>
    </w:p>
    <w:p w14:paraId="1FE0C9F7" w14:textId="77777777" w:rsidR="008C0651" w:rsidRDefault="004F1041">
      <w:pPr>
        <w:pStyle w:val="Heading3"/>
        <w:spacing w:before="220"/>
      </w:pPr>
      <w:r>
        <w:rPr>
          <w:color w:val="991B1B"/>
        </w:rPr>
        <w:lastRenderedPageBreak/>
        <w:t>DevOps &amp; Security  —  Infrastructure as Code &amp; CI/CD</w:t>
      </w:r>
    </w:p>
    <w:p w14:paraId="0DB0C56D" w14:textId="77777777" w:rsidR="008C0651" w:rsidRDefault="004F1041">
      <w:pPr>
        <w:pStyle w:val="ListParagraph"/>
        <w:numPr>
          <w:ilvl w:val="0"/>
          <w:numId w:val="2"/>
        </w:numPr>
        <w:spacing w:before="30" w:after="30"/>
      </w:pPr>
      <w:r>
        <w:rPr>
          <w:sz w:val="19"/>
          <w:szCs w:val="19"/>
        </w:rPr>
        <w:t>IaC: Terraform for all cloud resources (AWS/GCP); fully reproducible environment definitions</w:t>
      </w:r>
    </w:p>
    <w:p w14:paraId="51929F05" w14:textId="77777777" w:rsidR="008C0651" w:rsidRDefault="004F1041">
      <w:pPr>
        <w:pStyle w:val="ListParagraph"/>
        <w:numPr>
          <w:ilvl w:val="0"/>
          <w:numId w:val="2"/>
        </w:numPr>
        <w:spacing w:before="30" w:after="30"/>
      </w:pPr>
      <w:r>
        <w:rPr>
          <w:sz w:val="19"/>
          <w:szCs w:val="19"/>
        </w:rPr>
        <w:t>Container orchestration: Kubernetes or ECS; service mesh for internal inter-service communication</w:t>
      </w:r>
    </w:p>
    <w:p w14:paraId="00EB540B" w14:textId="77777777" w:rsidR="008C0651" w:rsidRDefault="004F1041">
      <w:pPr>
        <w:pStyle w:val="ListParagraph"/>
        <w:numPr>
          <w:ilvl w:val="0"/>
          <w:numId w:val="2"/>
        </w:numPr>
        <w:spacing w:before="30" w:after="30"/>
      </w:pPr>
      <w:r>
        <w:rPr>
          <w:sz w:val="19"/>
          <w:szCs w:val="19"/>
        </w:rPr>
        <w:t>CI/CD pipeline: GitHub Actions — lint, test, build, deploy gates enforced on every PR</w:t>
      </w:r>
    </w:p>
    <w:p w14:paraId="5F03D993" w14:textId="77777777" w:rsidR="008C0651" w:rsidRDefault="004F1041">
      <w:pPr>
        <w:pStyle w:val="ListParagraph"/>
        <w:numPr>
          <w:ilvl w:val="0"/>
          <w:numId w:val="2"/>
        </w:numPr>
        <w:spacing w:before="30" w:after="30"/>
      </w:pPr>
      <w:r>
        <w:rPr>
          <w:sz w:val="19"/>
          <w:szCs w:val="19"/>
        </w:rPr>
        <w:t>Secrets management: HashiCorp Vault or AWS Secrets Manager; zero plaintext secrets in any repo</w:t>
      </w:r>
    </w:p>
    <w:p w14:paraId="31BEC35B" w14:textId="77777777" w:rsidR="008C0651" w:rsidRDefault="008C0651">
      <w:pPr>
        <w:spacing w:after="80"/>
      </w:pPr>
    </w:p>
    <w:p w14:paraId="7E594F06" w14:textId="77777777" w:rsidR="008C0651" w:rsidRDefault="008C0651">
      <w:pPr>
        <w:spacing w:after="120"/>
      </w:pPr>
    </w:p>
    <w:p w14:paraId="433998A2" w14:textId="77777777" w:rsidR="008C0651" w:rsidRDefault="004F1041">
      <w:pPr>
        <w:pStyle w:val="Heading2"/>
        <w:spacing w:before="400" w:after="80"/>
      </w:pPr>
      <w:r>
        <w:t>Phase 2: Build — Full Parallel Execution</w:t>
      </w:r>
      <w:r>
        <w:rPr>
          <w:color w:val="6B7280"/>
          <w:sz w:val="20"/>
          <w:szCs w:val="20"/>
        </w:rPr>
        <w:t xml:space="preserve">   Weeks 7–16</w:t>
      </w:r>
    </w:p>
    <w:p w14:paraId="13A157A5" w14:textId="77777777" w:rsidR="008C0651" w:rsidRDefault="004F1041">
      <w:pPr>
        <w:spacing w:after="200"/>
      </w:pPr>
      <w:r>
        <w:rPr>
          <w:i/>
          <w:iCs/>
          <w:color w:val="6B7280"/>
          <w:sz w:val="18"/>
          <w:szCs w:val="18"/>
        </w:rPr>
        <w:t>The longest and most intensive phase. All four teams execute at full capacity simultaneously. The oracle automation layer connects to BOUND's RWA pricing and haircut assignment logic. The frontend wires up wallet flows, BLD swap UX, and the issuer onboarding wizard. DevOps hardens the security baseline. Weekly cross-team syncs keep integration points aligned.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C0651" w14:paraId="7D54DC37" w14:textId="77777777">
        <w:trPr>
          <w:tblHeader/>
        </w:trPr>
        <w:tc>
          <w:tcPr>
            <w:tcW w:w="220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2FAC11C9" w14:textId="77777777" w:rsidR="008C0651" w:rsidRDefault="004F1041">
            <w:r>
              <w:rPr>
                <w:b/>
                <w:bCs/>
                <w:color w:val="FFFFFF"/>
                <w:sz w:val="18"/>
                <w:szCs w:val="18"/>
              </w:rPr>
              <w:t>Layer</w:t>
            </w:r>
          </w:p>
        </w:tc>
        <w:tc>
          <w:tcPr>
            <w:tcW w:w="716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77331260" w14:textId="77777777" w:rsidR="008C0651" w:rsidRDefault="004F1041">
            <w:r>
              <w:rPr>
                <w:b/>
                <w:bCs/>
                <w:color w:val="FFFFFF"/>
                <w:sz w:val="18"/>
                <w:szCs w:val="18"/>
              </w:rPr>
              <w:t>Focus Area</w:t>
            </w:r>
          </w:p>
        </w:tc>
      </w:tr>
      <w:tr w:rsidR="008C0651" w14:paraId="7006B305" w14:textId="77777777">
        <w:tc>
          <w:tcPr>
            <w:tcW w:w="22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vAlign w:val="center"/>
          </w:tcPr>
          <w:p w14:paraId="3B912730" w14:textId="77777777" w:rsidR="008C0651" w:rsidRDefault="004F1041">
            <w:r>
              <w:rPr>
                <w:b/>
                <w:bCs/>
                <w:color w:val="5B21B6"/>
                <w:sz w:val="17"/>
                <w:szCs w:val="17"/>
              </w:rPr>
              <w:t>Smart Contract Development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A9923FE" w14:textId="77777777" w:rsidR="008C0651" w:rsidRDefault="004F1041">
            <w:r>
              <w:rPr>
                <w:sz w:val="17"/>
                <w:szCs w:val="17"/>
              </w:rPr>
              <w:t>Oracle Integration, Issuer Flows &amp; Full Test Coverage</w:t>
            </w:r>
          </w:p>
        </w:tc>
      </w:tr>
      <w:tr w:rsidR="008C0651" w14:paraId="6F55C97F" w14:textId="77777777">
        <w:tc>
          <w:tcPr>
            <w:tcW w:w="2200" w:type="dxa"/>
            <w:tcBorders>
              <w:top w:val="single" w:sz="1" w:space="0" w:color="CCCCCC"/>
              <w:left w:val="single" w:sz="1" w:space="0" w:color="CCCCCC"/>
              <w:bottom w:val="single" w:sz="1" w:space="0" w:color="CCCCCC"/>
              <w:right w:val="single" w:sz="1" w:space="0" w:color="CCCCCC"/>
            </w:tcBorders>
            <w:shd w:val="clear" w:color="auto" w:fill="E0F2FE"/>
            <w:tcMar>
              <w:top w:w="90" w:type="dxa"/>
              <w:left w:w="140" w:type="dxa"/>
              <w:bottom w:w="90" w:type="dxa"/>
              <w:right w:w="140" w:type="dxa"/>
            </w:tcMar>
            <w:vAlign w:val="center"/>
          </w:tcPr>
          <w:p w14:paraId="4C0EA84C" w14:textId="77777777" w:rsidR="008C0651" w:rsidRDefault="004F1041">
            <w:r>
              <w:rPr>
                <w:b/>
                <w:bCs/>
                <w:color w:val="0E7490"/>
                <w:sz w:val="17"/>
                <w:szCs w:val="17"/>
              </w:rPr>
              <w:t>Backend &amp; Oracle Automation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5B5196" w14:textId="77777777" w:rsidR="008C0651" w:rsidRDefault="004F1041">
            <w:r>
              <w:rPr>
                <w:sz w:val="17"/>
                <w:szCs w:val="17"/>
              </w:rPr>
              <w:t>Oracle Automation Engine &amp; BOUND Data API</w:t>
            </w:r>
          </w:p>
        </w:tc>
      </w:tr>
      <w:tr w:rsidR="008C0651" w14:paraId="3E74703C" w14:textId="77777777">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90" w:type="dxa"/>
              <w:left w:w="140" w:type="dxa"/>
              <w:bottom w:w="90" w:type="dxa"/>
              <w:right w:w="140" w:type="dxa"/>
            </w:tcMar>
            <w:vAlign w:val="center"/>
          </w:tcPr>
          <w:p w14:paraId="491FFD74" w14:textId="77777777" w:rsidR="008C0651" w:rsidRDefault="004F1041">
            <w:r>
              <w:rPr>
                <w:b/>
                <w:bCs/>
                <w:color w:val="065F46"/>
                <w:sz w:val="17"/>
                <w:szCs w:val="17"/>
              </w:rPr>
              <w:t>Frontend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B4B2FC4" w14:textId="77777777" w:rsidR="008C0651" w:rsidRDefault="004F1041">
            <w:r>
              <w:rPr>
                <w:sz w:val="17"/>
                <w:szCs w:val="17"/>
              </w:rPr>
              <w:t>BLD Swap UX, Issuer Onboarding &amp; Full Data Layer</w:t>
            </w:r>
          </w:p>
        </w:tc>
      </w:tr>
      <w:tr w:rsidR="008C0651" w14:paraId="307475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40" w:type="dxa"/>
              <w:bottom w:w="90" w:type="dxa"/>
              <w:right w:w="140" w:type="dxa"/>
            </w:tcMar>
            <w:vAlign w:val="center"/>
          </w:tcPr>
          <w:p w14:paraId="1402755B" w14:textId="77777777" w:rsidR="008C0651" w:rsidRDefault="004F1041">
            <w:r>
              <w:rPr>
                <w:b/>
                <w:bCs/>
                <w:color w:val="991B1B"/>
                <w:sz w:val="17"/>
                <w:szCs w:val="17"/>
              </w:rPr>
              <w:t>DevOps &amp; 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D5CE971" w14:textId="77777777" w:rsidR="008C0651" w:rsidRDefault="004F1041">
            <w:r>
              <w:rPr>
                <w:sz w:val="17"/>
                <w:szCs w:val="17"/>
              </w:rPr>
              <w:t>Security Baseline, Observability &amp; Protocol Hardening</w:t>
            </w:r>
          </w:p>
        </w:tc>
      </w:tr>
    </w:tbl>
    <w:p w14:paraId="7ECDC84E" w14:textId="77777777" w:rsidR="008C0651" w:rsidRDefault="008C0651">
      <w:pPr>
        <w:spacing w:after="200"/>
      </w:pPr>
    </w:p>
    <w:p w14:paraId="378A59BD" w14:textId="77777777" w:rsidR="008C0651" w:rsidRDefault="004F1041">
      <w:pPr>
        <w:pStyle w:val="Heading3"/>
        <w:spacing w:before="220"/>
      </w:pPr>
      <w:r>
        <w:rPr>
          <w:color w:val="5B21B6"/>
        </w:rPr>
        <w:t>Smart Contract Development  —  Oracle Integration, Issuer Flows &amp; Full Test Coverage</w:t>
      </w:r>
    </w:p>
    <w:p w14:paraId="51A175CF" w14:textId="77777777" w:rsidR="008C0651" w:rsidRDefault="004F1041">
      <w:pPr>
        <w:pStyle w:val="ListParagraph"/>
        <w:numPr>
          <w:ilvl w:val="0"/>
          <w:numId w:val="2"/>
        </w:numPr>
        <w:spacing w:before="30" w:after="30"/>
      </w:pPr>
      <w:r>
        <w:rPr>
          <w:sz w:val="19"/>
          <w:szCs w:val="19"/>
        </w:rPr>
        <w:t>Oracle interface contracts: NAV/price feed hooks per RWA, data-freshness guards, stale-price circuit breakers</w:t>
      </w:r>
    </w:p>
    <w:p w14:paraId="3A317159" w14:textId="77777777" w:rsidR="008C0651" w:rsidRDefault="004F1041">
      <w:pPr>
        <w:pStyle w:val="ListParagraph"/>
        <w:numPr>
          <w:ilvl w:val="0"/>
          <w:numId w:val="2"/>
        </w:numPr>
        <w:spacing w:before="30" w:after="30"/>
      </w:pPr>
      <w:r>
        <w:rPr>
          <w:sz w:val="19"/>
          <w:szCs w:val="19"/>
        </w:rPr>
        <w:t>Haircut assignment contract: dynamic haircut computation from oracle data, issuer-specific risk parameters</w:t>
      </w:r>
    </w:p>
    <w:p w14:paraId="15D6336F" w14:textId="77777777" w:rsidR="008C0651" w:rsidRDefault="004F1041">
      <w:pPr>
        <w:pStyle w:val="ListParagraph"/>
        <w:numPr>
          <w:ilvl w:val="0"/>
          <w:numId w:val="2"/>
        </w:numPr>
        <w:spacing w:before="30" w:after="30"/>
      </w:pPr>
      <w:r>
        <w:rPr>
          <w:sz w:val="19"/>
          <w:szCs w:val="19"/>
        </w:rPr>
        <w:t>Automation trigger interfaces: Chainlink Automation / custom keeper ABI for background settlement processing</w:t>
      </w:r>
    </w:p>
    <w:p w14:paraId="557FE378" w14:textId="77777777" w:rsidR="008C0651" w:rsidRDefault="004F1041">
      <w:pPr>
        <w:pStyle w:val="ListParagraph"/>
        <w:numPr>
          <w:ilvl w:val="0"/>
          <w:numId w:val="2"/>
        </w:numPr>
        <w:spacing w:before="30" w:after="30"/>
      </w:pPr>
      <w:r>
        <w:rPr>
          <w:sz w:val="19"/>
          <w:szCs w:val="19"/>
        </w:rPr>
        <w:t>Issuer onboarding contracts: eligibility checks, vetting-fee collection, market-enabling fee logic</w:t>
      </w:r>
    </w:p>
    <w:p w14:paraId="26464AA3" w14:textId="77777777" w:rsidR="008C0651" w:rsidRDefault="004F1041">
      <w:pPr>
        <w:pStyle w:val="ListParagraph"/>
        <w:numPr>
          <w:ilvl w:val="0"/>
          <w:numId w:val="2"/>
        </w:numPr>
        <w:spacing w:before="30" w:after="30"/>
      </w:pPr>
      <w:r>
        <w:rPr>
          <w:sz w:val="19"/>
          <w:szCs w:val="19"/>
        </w:rPr>
        <w:t>Ongoing obligations enforcement: reporting deadline tracking, suspension trigger on missed obligations</w:t>
      </w:r>
    </w:p>
    <w:p w14:paraId="71AA1319" w14:textId="77777777" w:rsidR="008C0651" w:rsidRDefault="004F1041">
      <w:pPr>
        <w:pStyle w:val="ListParagraph"/>
        <w:numPr>
          <w:ilvl w:val="0"/>
          <w:numId w:val="2"/>
        </w:numPr>
        <w:spacing w:before="30" w:after="30"/>
      </w:pPr>
      <w:r>
        <w:rPr>
          <w:sz w:val="19"/>
          <w:szCs w:val="19"/>
        </w:rPr>
        <w:t>Strategy execution: asset manager callable vaults, rebalance logic, yield routing to reserves</w:t>
      </w:r>
    </w:p>
    <w:p w14:paraId="24AB95A7" w14:textId="77777777" w:rsidR="008C0651" w:rsidRDefault="004F1041">
      <w:pPr>
        <w:pStyle w:val="ListParagraph"/>
        <w:numPr>
          <w:ilvl w:val="0"/>
          <w:numId w:val="2"/>
        </w:numPr>
        <w:spacing w:before="30" w:after="30"/>
      </w:pPr>
      <w:r>
        <w:rPr>
          <w:sz w:val="19"/>
          <w:szCs w:val="19"/>
        </w:rPr>
        <w:t>Integration tests: oracle manipulation, keeper failure modes, flash-loan vectors, gas profiling</w:t>
      </w:r>
    </w:p>
    <w:p w14:paraId="6598ECFA" w14:textId="77777777" w:rsidR="008C0651" w:rsidRDefault="004F1041">
      <w:pPr>
        <w:pStyle w:val="ListParagraph"/>
        <w:numPr>
          <w:ilvl w:val="0"/>
          <w:numId w:val="2"/>
        </w:numPr>
        <w:spacing w:before="30" w:after="30"/>
      </w:pPr>
      <w:r>
        <w:rPr>
          <w:sz w:val="19"/>
          <w:szCs w:val="19"/>
        </w:rPr>
        <w:t>Full scenario test suite: bank-run simulation, haircut drift, governance attacks, MICA compliance edge cases</w:t>
      </w:r>
    </w:p>
    <w:p w14:paraId="36C80D56" w14:textId="77777777" w:rsidR="008C0651" w:rsidRDefault="004F1041">
      <w:pPr>
        <w:pStyle w:val="ListParagraph"/>
        <w:numPr>
          <w:ilvl w:val="0"/>
          <w:numId w:val="2"/>
        </w:numPr>
        <w:spacing w:before="30" w:after="30"/>
      </w:pPr>
      <w:r>
        <w:rPr>
          <w:sz w:val="19"/>
          <w:szCs w:val="19"/>
        </w:rPr>
        <w:t>Static analysis: Slither, Aderyn, Mythril passes — all high/critical findings resolved</w:t>
      </w:r>
    </w:p>
    <w:p w14:paraId="33B45FE7" w14:textId="77777777" w:rsidR="008C0651" w:rsidRDefault="004F1041">
      <w:pPr>
        <w:pStyle w:val="ListParagraph"/>
        <w:numPr>
          <w:ilvl w:val="0"/>
          <w:numId w:val="2"/>
        </w:numPr>
        <w:spacing w:before="30" w:after="30"/>
      </w:pPr>
      <w:r>
        <w:rPr>
          <w:sz w:val="19"/>
          <w:szCs w:val="19"/>
        </w:rPr>
        <w:t>NatSpec documentation complete; architecture diagrams and threat model drafted</w:t>
      </w:r>
    </w:p>
    <w:p w14:paraId="29CFFB95" w14:textId="77777777" w:rsidR="008C0651" w:rsidRDefault="008C0651">
      <w:pPr>
        <w:spacing w:after="80"/>
      </w:pPr>
    </w:p>
    <w:p w14:paraId="2AF354BA" w14:textId="77777777" w:rsidR="008C0651" w:rsidRDefault="004F1041">
      <w:pPr>
        <w:pStyle w:val="Heading3"/>
        <w:spacing w:before="220"/>
      </w:pPr>
      <w:r>
        <w:t>Backend &amp; Oracle Automation  —  Oracle Automation Engine &amp; BOUND Data API</w:t>
      </w:r>
    </w:p>
    <w:p w14:paraId="540635FE" w14:textId="77777777" w:rsidR="008C0651" w:rsidRDefault="004F1041">
      <w:pPr>
        <w:pStyle w:val="ListParagraph"/>
        <w:numPr>
          <w:ilvl w:val="0"/>
          <w:numId w:val="2"/>
        </w:numPr>
        <w:spacing w:before="30" w:after="30"/>
      </w:pPr>
      <w:r>
        <w:rPr>
          <w:sz w:val="19"/>
          <w:szCs w:val="19"/>
        </w:rPr>
        <w:t>Keeper/Oracle service: monitors RWA NAV feeds, triggers haircut recalculation and settlement autonomously</w:t>
      </w:r>
    </w:p>
    <w:p w14:paraId="0D5223A0" w14:textId="77777777" w:rsidR="008C0651" w:rsidRDefault="004F1041">
      <w:pPr>
        <w:pStyle w:val="ListParagraph"/>
        <w:numPr>
          <w:ilvl w:val="0"/>
          <w:numId w:val="2"/>
        </w:numPr>
        <w:spacing w:before="30" w:after="30"/>
      </w:pPr>
      <w:r>
        <w:rPr>
          <w:sz w:val="19"/>
          <w:szCs w:val="19"/>
        </w:rPr>
        <w:t>Background settlement processor: queues and executes underlying RWA redemptions as they clear</w:t>
      </w:r>
    </w:p>
    <w:p w14:paraId="232D5624" w14:textId="77777777" w:rsidR="008C0651" w:rsidRDefault="004F1041">
      <w:pPr>
        <w:pStyle w:val="ListParagraph"/>
        <w:numPr>
          <w:ilvl w:val="0"/>
          <w:numId w:val="2"/>
        </w:numPr>
        <w:spacing w:before="30" w:after="30"/>
      </w:pPr>
      <w:r>
        <w:rPr>
          <w:sz w:val="19"/>
          <w:szCs w:val="19"/>
        </w:rPr>
        <w:t>Issuer obligation tracker: monitors reporting deadlines, flags missed obligations, triggers suspension workflow</w:t>
      </w:r>
    </w:p>
    <w:p w14:paraId="1D4E7294" w14:textId="77777777" w:rsidR="008C0651" w:rsidRDefault="004F1041">
      <w:pPr>
        <w:pStyle w:val="ListParagraph"/>
        <w:numPr>
          <w:ilvl w:val="0"/>
          <w:numId w:val="2"/>
        </w:numPr>
        <w:spacing w:before="30" w:after="30"/>
      </w:pPr>
      <w:r>
        <w:rPr>
          <w:sz w:val="19"/>
          <w:szCs w:val="19"/>
        </w:rPr>
        <w:t>Asset manager automation: scheduled rebalances, reserve threshold alerts, auto-compound routines</w:t>
      </w:r>
    </w:p>
    <w:p w14:paraId="658E66E3" w14:textId="77777777" w:rsidR="008C0651" w:rsidRDefault="004F1041">
      <w:pPr>
        <w:pStyle w:val="ListParagraph"/>
        <w:numPr>
          <w:ilvl w:val="0"/>
          <w:numId w:val="2"/>
        </w:numPr>
        <w:spacing w:before="30" w:after="30"/>
      </w:pPr>
      <w:r>
        <w:rPr>
          <w:sz w:val="19"/>
          <w:szCs w:val="19"/>
        </w:rPr>
        <w:t>Redundancy &amp; failover: multi-RPC failover, dead-letter queues, PagerDuty/OpsGenie alerting</w:t>
      </w:r>
    </w:p>
    <w:p w14:paraId="230E0B7A" w14:textId="77777777" w:rsidR="008C0651" w:rsidRDefault="004F1041">
      <w:pPr>
        <w:pStyle w:val="ListParagraph"/>
        <w:numPr>
          <w:ilvl w:val="0"/>
          <w:numId w:val="2"/>
        </w:numPr>
        <w:spacing w:before="30" w:after="30"/>
      </w:pPr>
      <w:r>
        <w:rPr>
          <w:sz w:val="19"/>
          <w:szCs w:val="19"/>
        </w:rPr>
        <w:lastRenderedPageBreak/>
        <w:t>Signed transaction pipeline: HSM or KMS-backed hot wallet, nonce manager, gas oracle</w:t>
      </w:r>
    </w:p>
    <w:p w14:paraId="6CDB0835" w14:textId="77777777" w:rsidR="008C0651" w:rsidRDefault="004F1041">
      <w:pPr>
        <w:pStyle w:val="ListParagraph"/>
        <w:numPr>
          <w:ilvl w:val="0"/>
          <w:numId w:val="2"/>
        </w:numPr>
        <w:spacing w:before="30" w:after="30"/>
      </w:pPr>
      <w:r>
        <w:rPr>
          <w:sz w:val="19"/>
          <w:szCs w:val="19"/>
        </w:rPr>
        <w:t>REST API: authenticated endpoints for issuer ops, market CRUD, NAV submission, health checks</w:t>
      </w:r>
    </w:p>
    <w:p w14:paraId="29D6BEA2" w14:textId="77777777" w:rsidR="008C0651" w:rsidRDefault="004F1041">
      <w:pPr>
        <w:pStyle w:val="ListParagraph"/>
        <w:numPr>
          <w:ilvl w:val="0"/>
          <w:numId w:val="2"/>
        </w:numPr>
        <w:spacing w:before="30" w:after="30"/>
      </w:pPr>
      <w:r>
        <w:rPr>
          <w:sz w:val="19"/>
          <w:szCs w:val="19"/>
        </w:rPr>
        <w:t>GraphQL API: BLD market depth, RWA registry listings, historical yields, governance data, issuer status</w:t>
      </w:r>
    </w:p>
    <w:p w14:paraId="2E5C1D8D" w14:textId="77777777" w:rsidR="008C0651" w:rsidRDefault="004F1041">
      <w:pPr>
        <w:pStyle w:val="ListParagraph"/>
        <w:numPr>
          <w:ilvl w:val="0"/>
          <w:numId w:val="2"/>
        </w:numPr>
        <w:spacing w:before="30" w:after="30"/>
      </w:pPr>
      <w:r>
        <w:rPr>
          <w:sz w:val="19"/>
          <w:szCs w:val="19"/>
        </w:rPr>
        <w:t>Subgraph (The Graph): all BOUND protocol events indexed for on-chain transparency</w:t>
      </w:r>
    </w:p>
    <w:p w14:paraId="1EE675C1" w14:textId="77777777" w:rsidR="008C0651" w:rsidRDefault="004F1041">
      <w:pPr>
        <w:pStyle w:val="ListParagraph"/>
        <w:numPr>
          <w:ilvl w:val="0"/>
          <w:numId w:val="2"/>
        </w:numPr>
        <w:spacing w:before="30" w:after="30"/>
      </w:pPr>
      <w:r>
        <w:rPr>
          <w:sz w:val="19"/>
          <w:szCs w:val="19"/>
        </w:rPr>
        <w:t>Rate limiting, API key management, CORS policy, OpenAPI + GraphQL Playground docs</w:t>
      </w:r>
    </w:p>
    <w:p w14:paraId="0A402430" w14:textId="77777777" w:rsidR="008C0651" w:rsidRDefault="004F1041">
      <w:pPr>
        <w:pStyle w:val="ListParagraph"/>
        <w:numPr>
          <w:ilvl w:val="0"/>
          <w:numId w:val="2"/>
        </w:numPr>
        <w:spacing w:before="30" w:after="30"/>
      </w:pPr>
      <w:r>
        <w:rPr>
          <w:sz w:val="19"/>
          <w:szCs w:val="19"/>
        </w:rPr>
        <w:t>Caching layer: Redis for hot BLD price/market paths; CDN for static analytics snapshots</w:t>
      </w:r>
    </w:p>
    <w:p w14:paraId="59B90C52" w14:textId="77777777" w:rsidR="008C0651" w:rsidRDefault="008C0651">
      <w:pPr>
        <w:spacing w:after="80"/>
      </w:pPr>
    </w:p>
    <w:p w14:paraId="2B1A7930" w14:textId="77777777" w:rsidR="008C0651" w:rsidRDefault="004F1041">
      <w:pPr>
        <w:pStyle w:val="Heading3"/>
        <w:spacing w:before="220"/>
      </w:pPr>
      <w:r>
        <w:rPr>
          <w:color w:val="065F46"/>
        </w:rPr>
        <w:t>Frontend  —  BLD Swap UX, Issuer Onboarding &amp; Full Data Layer</w:t>
      </w:r>
    </w:p>
    <w:p w14:paraId="31A7E049" w14:textId="77777777" w:rsidR="008C0651" w:rsidRDefault="004F1041">
      <w:pPr>
        <w:pStyle w:val="ListParagraph"/>
        <w:numPr>
          <w:ilvl w:val="0"/>
          <w:numId w:val="2"/>
        </w:numPr>
        <w:spacing w:before="30" w:after="30"/>
      </w:pPr>
      <w:r>
        <w:rPr>
          <w:sz w:val="19"/>
          <w:szCs w:val="19"/>
        </w:rPr>
        <w:t>Wallet connect flows: multi-chain support, session management, transaction UX</w:t>
      </w:r>
    </w:p>
    <w:p w14:paraId="10540CB1" w14:textId="77777777" w:rsidR="008C0651" w:rsidRDefault="004F1041">
      <w:pPr>
        <w:pStyle w:val="ListParagraph"/>
        <w:numPr>
          <w:ilvl w:val="0"/>
          <w:numId w:val="2"/>
        </w:numPr>
        <w:spacing w:before="30" w:after="30"/>
      </w:pPr>
      <w:r>
        <w:rPr>
          <w:sz w:val="19"/>
          <w:szCs w:val="19"/>
        </w:rPr>
        <w:t>BLD instant exit swap interface: RWA selection, haircut preview, swap confirmation, settlement status tracker</w:t>
      </w:r>
    </w:p>
    <w:p w14:paraId="03779050" w14:textId="77777777" w:rsidR="008C0651" w:rsidRDefault="004F1041">
      <w:pPr>
        <w:pStyle w:val="ListParagraph"/>
        <w:numPr>
          <w:ilvl w:val="0"/>
          <w:numId w:val="2"/>
        </w:numPr>
        <w:spacing w:before="30" w:after="30"/>
      </w:pPr>
      <w:r>
        <w:rPr>
          <w:sz w:val="19"/>
          <w:szCs w:val="19"/>
        </w:rPr>
        <w:t>BLD/USDC swap integration: Uniswap deep-link and on-protocol swap routing</w:t>
      </w:r>
    </w:p>
    <w:p w14:paraId="1CE7EE68" w14:textId="77777777" w:rsidR="008C0651" w:rsidRDefault="004F1041">
      <w:pPr>
        <w:pStyle w:val="ListParagraph"/>
        <w:numPr>
          <w:ilvl w:val="0"/>
          <w:numId w:val="2"/>
        </w:numPr>
        <w:spacing w:before="30" w:after="30"/>
      </w:pPr>
      <w:r>
        <w:rPr>
          <w:sz w:val="19"/>
          <w:szCs w:val="19"/>
        </w:rPr>
        <w:t>Issuer onboarding wizard: eligibility self-check, entity/asset documentation upload, fee payment flow</w:t>
      </w:r>
    </w:p>
    <w:p w14:paraId="08B1DF1B" w14:textId="77777777" w:rsidR="008C0651" w:rsidRDefault="004F1041">
      <w:pPr>
        <w:pStyle w:val="ListParagraph"/>
        <w:numPr>
          <w:ilvl w:val="0"/>
          <w:numId w:val="2"/>
        </w:numPr>
        <w:spacing w:before="30" w:after="30"/>
      </w:pPr>
      <w:r>
        <w:rPr>
          <w:sz w:val="19"/>
          <w:szCs w:val="19"/>
        </w:rPr>
        <w:t>Issuer dashboard: NAV submission portal, obligation calendar, market status, quarterly audit tracker</w:t>
      </w:r>
    </w:p>
    <w:p w14:paraId="2AC8C1B0" w14:textId="77777777" w:rsidR="008C0651" w:rsidRDefault="004F1041">
      <w:pPr>
        <w:pStyle w:val="ListParagraph"/>
        <w:numPr>
          <w:ilvl w:val="0"/>
          <w:numId w:val="2"/>
        </w:numPr>
        <w:spacing w:before="30" w:after="30"/>
      </w:pPr>
      <w:r>
        <w:rPr>
          <w:sz w:val="19"/>
          <w:szCs w:val="19"/>
        </w:rPr>
        <w:t>Asset manager portfolio view: positions, live BLD market depth, background settlement queue status</w:t>
      </w:r>
    </w:p>
    <w:p w14:paraId="72BB3D39" w14:textId="77777777" w:rsidR="008C0651" w:rsidRDefault="004F1041">
      <w:pPr>
        <w:pStyle w:val="ListParagraph"/>
        <w:numPr>
          <w:ilvl w:val="0"/>
          <w:numId w:val="2"/>
        </w:numPr>
        <w:spacing w:before="30" w:after="30"/>
      </w:pPr>
      <w:r>
        <w:rPr>
          <w:sz w:val="19"/>
          <w:szCs w:val="19"/>
        </w:rPr>
        <w:t>REST API integration: issuer management and market ops</w:t>
      </w:r>
    </w:p>
    <w:p w14:paraId="1428AE11" w14:textId="77777777" w:rsidR="008C0651" w:rsidRDefault="004F1041">
      <w:pPr>
        <w:pStyle w:val="ListParagraph"/>
        <w:numPr>
          <w:ilvl w:val="0"/>
          <w:numId w:val="2"/>
        </w:numPr>
        <w:spacing w:before="30" w:after="30"/>
      </w:pPr>
      <w:r>
        <w:rPr>
          <w:sz w:val="19"/>
          <w:szCs w:val="19"/>
        </w:rPr>
        <w:t>GraphQL integration: live BLD market data, RWA registry, governance proposals</w:t>
      </w:r>
    </w:p>
    <w:p w14:paraId="77AA8D7A" w14:textId="77777777" w:rsidR="008C0651" w:rsidRDefault="004F1041">
      <w:pPr>
        <w:pStyle w:val="ListParagraph"/>
        <w:numPr>
          <w:ilvl w:val="0"/>
          <w:numId w:val="2"/>
        </w:numPr>
        <w:spacing w:before="30" w:after="30"/>
      </w:pPr>
      <w:r>
        <w:rPr>
          <w:sz w:val="19"/>
          <w:szCs w:val="19"/>
        </w:rPr>
        <w:t>SEO execution: SSR for all key pages, XML sitemap, Core Web Vitals target &gt;= 90</w:t>
      </w:r>
    </w:p>
    <w:p w14:paraId="65027036" w14:textId="77777777" w:rsidR="008C0651" w:rsidRDefault="004F1041">
      <w:pPr>
        <w:pStyle w:val="ListParagraph"/>
        <w:numPr>
          <w:ilvl w:val="0"/>
          <w:numId w:val="2"/>
        </w:numPr>
        <w:spacing w:before="30" w:after="30"/>
      </w:pPr>
      <w:r>
        <w:rPr>
          <w:sz w:val="19"/>
          <w:szCs w:val="19"/>
        </w:rPr>
        <w:t>Responsive design: mobile-first, progressive enhancement across all breakpoints</w:t>
      </w:r>
    </w:p>
    <w:p w14:paraId="2997C13A" w14:textId="77777777" w:rsidR="008C0651" w:rsidRDefault="008C0651">
      <w:pPr>
        <w:spacing w:after="80"/>
      </w:pPr>
    </w:p>
    <w:p w14:paraId="3DDCA058" w14:textId="77777777" w:rsidR="008C0651" w:rsidRDefault="004F1041">
      <w:pPr>
        <w:pStyle w:val="Heading3"/>
        <w:spacing w:before="220"/>
      </w:pPr>
      <w:r>
        <w:rPr>
          <w:color w:val="991B1B"/>
        </w:rPr>
        <w:t>DevOps &amp; Security  —  Security Baseline, Observability &amp; Protocol Hardening</w:t>
      </w:r>
    </w:p>
    <w:p w14:paraId="54001461" w14:textId="77777777" w:rsidR="008C0651" w:rsidRDefault="004F1041">
      <w:pPr>
        <w:pStyle w:val="ListParagraph"/>
        <w:numPr>
          <w:ilvl w:val="0"/>
          <w:numId w:val="2"/>
        </w:numPr>
        <w:spacing w:before="30" w:after="30"/>
      </w:pPr>
      <w:r>
        <w:rPr>
          <w:sz w:val="19"/>
          <w:szCs w:val="19"/>
        </w:rPr>
        <w:t>Network segmentation: private VPC, WAF rules, DDoS protection (Cloudflare or AWS Shield Advanced)</w:t>
      </w:r>
    </w:p>
    <w:p w14:paraId="221AA0DC" w14:textId="77777777" w:rsidR="008C0651" w:rsidRDefault="004F1041">
      <w:pPr>
        <w:pStyle w:val="ListParagraph"/>
        <w:numPr>
          <w:ilvl w:val="0"/>
          <w:numId w:val="2"/>
        </w:numPr>
        <w:spacing w:before="30" w:after="30"/>
      </w:pPr>
      <w:r>
        <w:rPr>
          <w:sz w:val="19"/>
          <w:szCs w:val="19"/>
        </w:rPr>
        <w:t>SAST/DAST: automated scans on every build pipeline run; Snyk dependency vulnerability scanning</w:t>
      </w:r>
    </w:p>
    <w:p w14:paraId="7299E6AB" w14:textId="77777777" w:rsidR="008C0651" w:rsidRDefault="004F1041">
      <w:pPr>
        <w:pStyle w:val="ListParagraph"/>
        <w:numPr>
          <w:ilvl w:val="0"/>
          <w:numId w:val="2"/>
        </w:numPr>
        <w:spacing w:before="30" w:after="30"/>
      </w:pPr>
      <w:r>
        <w:rPr>
          <w:sz w:val="19"/>
          <w:szCs w:val="19"/>
        </w:rPr>
        <w:t>Oracle/keeper node hardening: host-based IDS, anomaly alerting, automatic isolation on breach detection</w:t>
      </w:r>
    </w:p>
    <w:p w14:paraId="15332AA8" w14:textId="77777777" w:rsidR="008C0651" w:rsidRDefault="004F1041">
      <w:pPr>
        <w:pStyle w:val="ListParagraph"/>
        <w:numPr>
          <w:ilvl w:val="0"/>
          <w:numId w:val="2"/>
        </w:numPr>
        <w:spacing w:before="30" w:after="30"/>
      </w:pPr>
      <w:r>
        <w:rPr>
          <w:sz w:val="19"/>
          <w:szCs w:val="19"/>
        </w:rPr>
        <w:t>Hot wallet security: HSM-backed signing, spend limits, multi-party approval for large transactions</w:t>
      </w:r>
    </w:p>
    <w:p w14:paraId="66F81E4F" w14:textId="77777777" w:rsidR="008C0651" w:rsidRDefault="004F1041">
      <w:pPr>
        <w:pStyle w:val="ListParagraph"/>
        <w:numPr>
          <w:ilvl w:val="0"/>
          <w:numId w:val="2"/>
        </w:numPr>
        <w:spacing w:before="30" w:after="30"/>
      </w:pPr>
      <w:r>
        <w:rPr>
          <w:sz w:val="19"/>
          <w:szCs w:val="19"/>
        </w:rPr>
        <w:t>Backup policy: encrypted daily snapshots, cross-region replication, monthly restore tests</w:t>
      </w:r>
    </w:p>
    <w:p w14:paraId="57AFAE24" w14:textId="77777777" w:rsidR="008C0651" w:rsidRDefault="004F1041">
      <w:pPr>
        <w:pStyle w:val="ListParagraph"/>
        <w:numPr>
          <w:ilvl w:val="0"/>
          <w:numId w:val="2"/>
        </w:numPr>
        <w:spacing w:before="30" w:after="30"/>
      </w:pPr>
      <w:r>
        <w:rPr>
          <w:sz w:val="19"/>
          <w:szCs w:val="19"/>
        </w:rPr>
        <w:t>Centralised logging: ELK stack or Datadog; structured logs from all services</w:t>
      </w:r>
    </w:p>
    <w:p w14:paraId="09B87512" w14:textId="77777777" w:rsidR="008C0651" w:rsidRDefault="004F1041">
      <w:pPr>
        <w:pStyle w:val="ListParagraph"/>
        <w:numPr>
          <w:ilvl w:val="0"/>
          <w:numId w:val="2"/>
        </w:numPr>
        <w:spacing w:before="30" w:after="30"/>
      </w:pPr>
      <w:r>
        <w:rPr>
          <w:sz w:val="19"/>
          <w:szCs w:val="19"/>
        </w:rPr>
        <w:t>Distributed tracing: OpenTelemetry across backend, oracle, and keeper services</w:t>
      </w:r>
    </w:p>
    <w:p w14:paraId="046FECCA" w14:textId="77777777" w:rsidR="008C0651" w:rsidRDefault="004F1041">
      <w:pPr>
        <w:pStyle w:val="ListParagraph"/>
        <w:numPr>
          <w:ilvl w:val="0"/>
          <w:numId w:val="2"/>
        </w:numPr>
        <w:spacing w:before="30" w:after="30"/>
      </w:pPr>
      <w:r>
        <w:rPr>
          <w:sz w:val="19"/>
          <w:szCs w:val="19"/>
        </w:rPr>
        <w:t>Incident response playbook: severity tiers, escalation paths, BLD depeg runbook, post-mortem template</w:t>
      </w:r>
    </w:p>
    <w:p w14:paraId="54DBAC2A" w14:textId="77777777" w:rsidR="008C0651" w:rsidRDefault="004F1041">
      <w:pPr>
        <w:pStyle w:val="ListParagraph"/>
        <w:numPr>
          <w:ilvl w:val="0"/>
          <w:numId w:val="2"/>
        </w:numPr>
        <w:spacing w:before="30" w:after="30"/>
      </w:pPr>
      <w:r>
        <w:rPr>
          <w:sz w:val="19"/>
          <w:szCs w:val="19"/>
        </w:rPr>
        <w:t>Penetration test: external red-team engagement on all public-facing BOUND surfaces</w:t>
      </w:r>
    </w:p>
    <w:p w14:paraId="0A68BC99" w14:textId="77777777" w:rsidR="008C0651" w:rsidRDefault="008C0651">
      <w:pPr>
        <w:spacing w:after="80"/>
      </w:pPr>
    </w:p>
    <w:p w14:paraId="6F17FE4A" w14:textId="77777777" w:rsidR="008C0651" w:rsidRDefault="008C0651">
      <w:pPr>
        <w:spacing w:after="120"/>
      </w:pPr>
    </w:p>
    <w:p w14:paraId="06834C61" w14:textId="77777777" w:rsidR="008C0651" w:rsidRDefault="004F1041">
      <w:pPr>
        <w:pStyle w:val="Heading2"/>
        <w:spacing w:before="400" w:after="80"/>
      </w:pPr>
      <w:r>
        <w:t>Phase 3: Audit, Hardening &amp; Mainnet Launch</w:t>
      </w:r>
      <w:r>
        <w:rPr>
          <w:color w:val="6B7280"/>
          <w:sz w:val="20"/>
          <w:szCs w:val="20"/>
        </w:rPr>
        <w:t xml:space="preserve">   Weeks 17–25</w:t>
      </w:r>
    </w:p>
    <w:p w14:paraId="7615E380" w14:textId="77777777" w:rsidR="008C0651" w:rsidRDefault="004F1041">
      <w:pPr>
        <w:spacing w:after="200"/>
      </w:pPr>
      <w:r>
        <w:rPr>
          <w:i/>
          <w:iCs/>
          <w:color w:val="6B7280"/>
          <w:sz w:val="18"/>
          <w:szCs w:val="18"/>
        </w:rPr>
        <w:t>No new features. This phase is entirely about correctness, security, and production readiness. BOUND's core contracts go through external audit and public competition. Backend and DevOps reach SLA targets. Frontend passes full QA and accessibility. Mainnet deployment occurs only after audit sign-off — issuers can go live on BLD markets from that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C0651" w14:paraId="43B14C1D" w14:textId="77777777">
        <w:trPr>
          <w:tblHeader/>
        </w:trPr>
        <w:tc>
          <w:tcPr>
            <w:tcW w:w="220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40C5A388" w14:textId="77777777" w:rsidR="008C0651" w:rsidRDefault="004F1041">
            <w:r>
              <w:rPr>
                <w:b/>
                <w:bCs/>
                <w:color w:val="FFFFFF"/>
                <w:sz w:val="18"/>
                <w:szCs w:val="18"/>
              </w:rPr>
              <w:t>Layer</w:t>
            </w:r>
          </w:p>
        </w:tc>
        <w:tc>
          <w:tcPr>
            <w:tcW w:w="716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791F5FF6" w14:textId="77777777" w:rsidR="008C0651" w:rsidRDefault="004F1041">
            <w:r>
              <w:rPr>
                <w:b/>
                <w:bCs/>
                <w:color w:val="FFFFFF"/>
                <w:sz w:val="18"/>
                <w:szCs w:val="18"/>
              </w:rPr>
              <w:t>Focus Area</w:t>
            </w:r>
          </w:p>
        </w:tc>
      </w:tr>
      <w:tr w:rsidR="008C0651" w14:paraId="04977AE2" w14:textId="77777777">
        <w:tc>
          <w:tcPr>
            <w:tcW w:w="22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vAlign w:val="center"/>
          </w:tcPr>
          <w:p w14:paraId="03C1D62C" w14:textId="77777777" w:rsidR="008C0651" w:rsidRDefault="004F1041">
            <w:r>
              <w:rPr>
                <w:b/>
                <w:bCs/>
                <w:color w:val="5B21B6"/>
                <w:sz w:val="17"/>
                <w:szCs w:val="17"/>
              </w:rPr>
              <w:t>Smart Contract Development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41FD19" w14:textId="77777777" w:rsidR="008C0651" w:rsidRDefault="004F1041">
            <w:r>
              <w:rPr>
                <w:sz w:val="17"/>
                <w:szCs w:val="17"/>
              </w:rPr>
              <w:t>Formal Verification, External Audit &amp; Mainnet Deploy</w:t>
            </w:r>
          </w:p>
        </w:tc>
      </w:tr>
      <w:tr w:rsidR="008C0651" w14:paraId="3A21B226" w14:textId="77777777">
        <w:tc>
          <w:tcPr>
            <w:tcW w:w="2200" w:type="dxa"/>
            <w:tcBorders>
              <w:top w:val="single" w:sz="1" w:space="0" w:color="CCCCCC"/>
              <w:left w:val="single" w:sz="1" w:space="0" w:color="CCCCCC"/>
              <w:bottom w:val="single" w:sz="1" w:space="0" w:color="CCCCCC"/>
              <w:right w:val="single" w:sz="1" w:space="0" w:color="CCCCCC"/>
            </w:tcBorders>
            <w:shd w:val="clear" w:color="auto" w:fill="E0F2FE"/>
            <w:tcMar>
              <w:top w:w="90" w:type="dxa"/>
              <w:left w:w="140" w:type="dxa"/>
              <w:bottom w:w="90" w:type="dxa"/>
              <w:right w:w="140" w:type="dxa"/>
            </w:tcMar>
            <w:vAlign w:val="center"/>
          </w:tcPr>
          <w:p w14:paraId="4251D890" w14:textId="77777777" w:rsidR="008C0651" w:rsidRDefault="004F1041">
            <w:r>
              <w:rPr>
                <w:b/>
                <w:bCs/>
                <w:color w:val="0E7490"/>
                <w:sz w:val="17"/>
                <w:szCs w:val="17"/>
              </w:rPr>
              <w:lastRenderedPageBreak/>
              <w:t>Backend &amp; Oracle Automation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8EDE972" w14:textId="77777777" w:rsidR="008C0651" w:rsidRDefault="004F1041">
            <w:r>
              <w:rPr>
                <w:sz w:val="17"/>
                <w:szCs w:val="17"/>
              </w:rPr>
              <w:t>Load Testing, SLA Hardening &amp; DR Drills</w:t>
            </w:r>
          </w:p>
        </w:tc>
      </w:tr>
      <w:tr w:rsidR="008C0651" w14:paraId="162BE9C7" w14:textId="77777777">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90" w:type="dxa"/>
              <w:left w:w="140" w:type="dxa"/>
              <w:bottom w:w="90" w:type="dxa"/>
              <w:right w:w="140" w:type="dxa"/>
            </w:tcMar>
            <w:vAlign w:val="center"/>
          </w:tcPr>
          <w:p w14:paraId="39BC3FAF" w14:textId="77777777" w:rsidR="008C0651" w:rsidRDefault="004F1041">
            <w:r>
              <w:rPr>
                <w:b/>
                <w:bCs/>
                <w:color w:val="065F46"/>
                <w:sz w:val="17"/>
                <w:szCs w:val="17"/>
              </w:rPr>
              <w:t>Frontend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5E3FB4A" w14:textId="77777777" w:rsidR="008C0651" w:rsidRDefault="004F1041">
            <w:r>
              <w:rPr>
                <w:sz w:val="17"/>
                <w:szCs w:val="17"/>
              </w:rPr>
              <w:t>QA, Accessibility Audit &amp; Launch</w:t>
            </w:r>
          </w:p>
        </w:tc>
      </w:tr>
      <w:tr w:rsidR="008C0651" w14:paraId="48ABD0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40" w:type="dxa"/>
              <w:bottom w:w="90" w:type="dxa"/>
              <w:right w:w="140" w:type="dxa"/>
            </w:tcMar>
            <w:vAlign w:val="center"/>
          </w:tcPr>
          <w:p w14:paraId="2DB42AFF" w14:textId="77777777" w:rsidR="008C0651" w:rsidRDefault="004F1041">
            <w:r>
              <w:rPr>
                <w:b/>
                <w:bCs/>
                <w:color w:val="991B1B"/>
                <w:sz w:val="17"/>
                <w:szCs w:val="17"/>
              </w:rPr>
              <w:t>DevOps &amp; 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3E238D9" w14:textId="77777777" w:rsidR="008C0651" w:rsidRDefault="004F1041">
            <w:r>
              <w:rPr>
                <w:sz w:val="17"/>
                <w:szCs w:val="17"/>
              </w:rPr>
              <w:t>Production Readiness &amp; Mainnet Infrastructure</w:t>
            </w:r>
          </w:p>
        </w:tc>
      </w:tr>
    </w:tbl>
    <w:p w14:paraId="025FEA0F" w14:textId="77777777" w:rsidR="008C0651" w:rsidRDefault="008C0651">
      <w:pPr>
        <w:spacing w:after="200"/>
      </w:pPr>
    </w:p>
    <w:p w14:paraId="34A302A3" w14:textId="77777777" w:rsidR="008C0651" w:rsidRDefault="004F1041">
      <w:pPr>
        <w:pStyle w:val="Heading3"/>
        <w:spacing w:before="220"/>
      </w:pPr>
      <w:r>
        <w:rPr>
          <w:color w:val="5B21B6"/>
        </w:rPr>
        <w:t>Smart Contract Development  —  Formal Verification, External Audit &amp; Mainnet Deploy</w:t>
      </w:r>
    </w:p>
    <w:p w14:paraId="6CA9021A" w14:textId="77777777" w:rsidR="008C0651" w:rsidRDefault="004F1041">
      <w:pPr>
        <w:pStyle w:val="ListParagraph"/>
        <w:numPr>
          <w:ilvl w:val="0"/>
          <w:numId w:val="2"/>
        </w:numPr>
        <w:spacing w:before="30" w:after="30"/>
      </w:pPr>
      <w:r>
        <w:rPr>
          <w:sz w:val="19"/>
          <w:szCs w:val="19"/>
        </w:rPr>
        <w:t>Formal invariant checks on BLD peg accounting and reserve solvency logic (Certora Prover or Halmos)</w:t>
      </w:r>
    </w:p>
    <w:p w14:paraId="2AC29CF4" w14:textId="77777777" w:rsidR="008C0651" w:rsidRDefault="004F1041">
      <w:pPr>
        <w:pStyle w:val="ListParagraph"/>
        <w:numPr>
          <w:ilvl w:val="0"/>
          <w:numId w:val="2"/>
        </w:numPr>
        <w:spacing w:before="30" w:after="30"/>
      </w:pPr>
      <w:r>
        <w:rPr>
          <w:sz w:val="19"/>
          <w:szCs w:val="19"/>
        </w:rPr>
        <w:t>First-party audit: top-tier firm (Trail of Bits / Certora / OpenZeppelin) — full scope across all BOUND contracts</w:t>
      </w:r>
    </w:p>
    <w:p w14:paraId="070BF9B6" w14:textId="77777777" w:rsidR="008C0651" w:rsidRDefault="004F1041">
      <w:pPr>
        <w:pStyle w:val="ListParagraph"/>
        <w:numPr>
          <w:ilvl w:val="0"/>
          <w:numId w:val="2"/>
        </w:numPr>
        <w:spacing w:before="30" w:after="30"/>
      </w:pPr>
      <w:r>
        <w:rPr>
          <w:sz w:val="19"/>
          <w:szCs w:val="19"/>
        </w:rPr>
        <w:t>Remediation sprint: all findings triaged, fixed, and re-tested before competition round</w:t>
      </w:r>
    </w:p>
    <w:p w14:paraId="71777004" w14:textId="77777777" w:rsidR="008C0651" w:rsidRDefault="004F1041">
      <w:pPr>
        <w:pStyle w:val="ListParagraph"/>
        <w:numPr>
          <w:ilvl w:val="0"/>
          <w:numId w:val="2"/>
        </w:numPr>
        <w:spacing w:before="30" w:after="30"/>
      </w:pPr>
      <w:r>
        <w:rPr>
          <w:sz w:val="19"/>
          <w:szCs w:val="19"/>
        </w:rPr>
        <w:t>Public competition: Code4rena or Sherlock — broad researcher coverage on BLD mechanics and RWA registry</w:t>
      </w:r>
    </w:p>
    <w:p w14:paraId="0E112C70" w14:textId="77777777" w:rsidR="008C0651" w:rsidRDefault="004F1041">
      <w:pPr>
        <w:pStyle w:val="ListParagraph"/>
        <w:numPr>
          <w:ilvl w:val="0"/>
          <w:numId w:val="2"/>
        </w:numPr>
        <w:spacing w:before="30" w:after="30"/>
      </w:pPr>
      <w:r>
        <w:rPr>
          <w:sz w:val="19"/>
          <w:szCs w:val="19"/>
        </w:rPr>
        <w:t>Second remediation: competition findings fixed; targeted re-audit of affected modules completed</w:t>
      </w:r>
    </w:p>
    <w:p w14:paraId="43E27637" w14:textId="77777777" w:rsidR="008C0651" w:rsidRDefault="004F1041">
      <w:pPr>
        <w:pStyle w:val="ListParagraph"/>
        <w:numPr>
          <w:ilvl w:val="0"/>
          <w:numId w:val="2"/>
        </w:numPr>
        <w:spacing w:before="30" w:after="30"/>
      </w:pPr>
      <w:r>
        <w:rPr>
          <w:sz w:val="19"/>
          <w:szCs w:val="19"/>
        </w:rPr>
        <w:t>Final audit sign-off obtained; mainnet deployed from audited commit hash</w:t>
      </w:r>
    </w:p>
    <w:p w14:paraId="61DDF84A" w14:textId="77777777" w:rsidR="008C0651" w:rsidRDefault="004F1041">
      <w:pPr>
        <w:pStyle w:val="ListParagraph"/>
        <w:numPr>
          <w:ilvl w:val="0"/>
          <w:numId w:val="2"/>
        </w:numPr>
        <w:spacing w:before="30" w:after="30"/>
      </w:pPr>
      <w:r>
        <w:rPr>
          <w:sz w:val="19"/>
          <w:szCs w:val="19"/>
        </w:rPr>
        <w:t>Post-launch: Immunefi bug bounty live; any contract-modifying finding triggers immediate re-audit</w:t>
      </w:r>
    </w:p>
    <w:p w14:paraId="1B8B26B2" w14:textId="77777777" w:rsidR="008C0651" w:rsidRDefault="008C0651">
      <w:pPr>
        <w:spacing w:after="80"/>
      </w:pPr>
    </w:p>
    <w:p w14:paraId="44583F26" w14:textId="77777777" w:rsidR="008C0651" w:rsidRDefault="004F1041">
      <w:pPr>
        <w:pStyle w:val="Heading3"/>
        <w:spacing w:before="220"/>
      </w:pPr>
      <w:r>
        <w:t>Backend &amp; Oracle Automation  —  Load Testing, SLA Hardening &amp; DR Drills</w:t>
      </w:r>
    </w:p>
    <w:p w14:paraId="087B6F66" w14:textId="77777777" w:rsidR="008C0651" w:rsidRDefault="004F1041">
      <w:pPr>
        <w:pStyle w:val="ListParagraph"/>
        <w:numPr>
          <w:ilvl w:val="0"/>
          <w:numId w:val="2"/>
        </w:numPr>
        <w:spacing w:before="30" w:after="30"/>
      </w:pPr>
      <w:r>
        <w:rPr>
          <w:sz w:val="19"/>
          <w:szCs w:val="19"/>
        </w:rPr>
        <w:t>Load tests: 10x projected peak swap volume; all bottlenecks identified and resolved</w:t>
      </w:r>
    </w:p>
    <w:p w14:paraId="026D4053" w14:textId="77777777" w:rsidR="008C0651" w:rsidRDefault="004F1041">
      <w:pPr>
        <w:pStyle w:val="ListParagraph"/>
        <w:numPr>
          <w:ilvl w:val="0"/>
          <w:numId w:val="2"/>
        </w:numPr>
        <w:spacing w:before="30" w:after="30"/>
      </w:pPr>
      <w:r>
        <w:rPr>
          <w:sz w:val="19"/>
          <w:szCs w:val="19"/>
        </w:rPr>
        <w:t>Disaster recovery drill: RPC outage, DB failover, oracle downtime — all BOUND-critical recovery paths validated</w:t>
      </w:r>
    </w:p>
    <w:p w14:paraId="34496055" w14:textId="77777777" w:rsidR="008C0651" w:rsidRDefault="004F1041">
      <w:pPr>
        <w:pStyle w:val="ListParagraph"/>
        <w:numPr>
          <w:ilvl w:val="0"/>
          <w:numId w:val="2"/>
        </w:numPr>
        <w:spacing w:before="30" w:after="30"/>
      </w:pPr>
      <w:r>
        <w:rPr>
          <w:sz w:val="19"/>
          <w:szCs w:val="19"/>
        </w:rPr>
        <w:t>Monitoring dashboards live: Grafana + Prometheus for BLD reserve health, swap latency, keeper uptime</w:t>
      </w:r>
    </w:p>
    <w:p w14:paraId="7E016ED9" w14:textId="77777777" w:rsidR="008C0651" w:rsidRDefault="004F1041">
      <w:pPr>
        <w:pStyle w:val="ListParagraph"/>
        <w:numPr>
          <w:ilvl w:val="0"/>
          <w:numId w:val="2"/>
        </w:numPr>
        <w:spacing w:before="30" w:after="30"/>
      </w:pPr>
      <w:r>
        <w:rPr>
          <w:sz w:val="19"/>
          <w:szCs w:val="19"/>
        </w:rPr>
        <w:t>On-call runbooks for oracle failure, BLD depeg alert, issuer suspension workflow</w:t>
      </w:r>
    </w:p>
    <w:p w14:paraId="1806871A" w14:textId="77777777" w:rsidR="008C0651" w:rsidRDefault="004F1041">
      <w:pPr>
        <w:pStyle w:val="ListParagraph"/>
        <w:numPr>
          <w:ilvl w:val="0"/>
          <w:numId w:val="2"/>
        </w:numPr>
        <w:spacing w:before="30" w:after="30"/>
      </w:pPr>
      <w:r>
        <w:rPr>
          <w:sz w:val="19"/>
          <w:szCs w:val="19"/>
        </w:rPr>
        <w:t>API documentation published: Swagger UI and GraphQL Playground accessible to RWA issuer partners</w:t>
      </w:r>
    </w:p>
    <w:p w14:paraId="4D79A51F" w14:textId="77777777" w:rsidR="008C0651" w:rsidRDefault="008C0651">
      <w:pPr>
        <w:spacing w:after="80"/>
      </w:pPr>
    </w:p>
    <w:p w14:paraId="4EC06456" w14:textId="77777777" w:rsidR="008C0651" w:rsidRDefault="004F1041">
      <w:pPr>
        <w:pStyle w:val="Heading3"/>
        <w:spacing w:before="220"/>
      </w:pPr>
      <w:r>
        <w:rPr>
          <w:color w:val="065F46"/>
        </w:rPr>
        <w:t>Frontend  —  QA, Accessibility Audit &amp; Launch</w:t>
      </w:r>
    </w:p>
    <w:p w14:paraId="45D61B6C" w14:textId="77777777" w:rsidR="008C0651" w:rsidRDefault="004F1041">
      <w:pPr>
        <w:pStyle w:val="ListParagraph"/>
        <w:numPr>
          <w:ilvl w:val="0"/>
          <w:numId w:val="2"/>
        </w:numPr>
        <w:spacing w:before="30" w:after="30"/>
      </w:pPr>
      <w:r>
        <w:rPr>
          <w:sz w:val="19"/>
          <w:szCs w:val="19"/>
        </w:rPr>
        <w:t>End-to-end tests: Playwright suite covering BLD swap, issuer onboarding, governance, and dashboard flows</w:t>
      </w:r>
    </w:p>
    <w:p w14:paraId="41E6D274" w14:textId="77777777" w:rsidR="008C0651" w:rsidRDefault="004F1041">
      <w:pPr>
        <w:pStyle w:val="ListParagraph"/>
        <w:numPr>
          <w:ilvl w:val="0"/>
          <w:numId w:val="2"/>
        </w:numPr>
        <w:spacing w:before="30" w:after="30"/>
      </w:pPr>
      <w:r>
        <w:rPr>
          <w:sz w:val="19"/>
          <w:szCs w:val="19"/>
        </w:rPr>
        <w:t>Accessibility audit: screen reader testing, keyboard navigation, colour contrast validation</w:t>
      </w:r>
    </w:p>
    <w:p w14:paraId="4F248C46" w14:textId="77777777" w:rsidR="008C0651" w:rsidRDefault="004F1041">
      <w:pPr>
        <w:pStyle w:val="ListParagraph"/>
        <w:numPr>
          <w:ilvl w:val="0"/>
          <w:numId w:val="2"/>
        </w:numPr>
        <w:spacing w:before="30" w:after="30"/>
      </w:pPr>
      <w:r>
        <w:rPr>
          <w:sz w:val="19"/>
          <w:szCs w:val="19"/>
        </w:rPr>
        <w:t>Performance audit: Lighthouse &gt;= 90 across all core metrics on all key pages</w:t>
      </w:r>
    </w:p>
    <w:p w14:paraId="482634FE" w14:textId="77777777" w:rsidR="008C0651" w:rsidRDefault="004F1041">
      <w:pPr>
        <w:pStyle w:val="ListParagraph"/>
        <w:numPr>
          <w:ilvl w:val="0"/>
          <w:numId w:val="2"/>
        </w:numPr>
        <w:spacing w:before="30" w:after="30"/>
      </w:pPr>
      <w:r>
        <w:rPr>
          <w:sz w:val="19"/>
          <w:szCs w:val="19"/>
        </w:rPr>
        <w:t>Analytics integration: on-chain swap events + off-chain funnel tracking (issuer conversion, swap volume)</w:t>
      </w:r>
    </w:p>
    <w:p w14:paraId="7CCBCCC3" w14:textId="77777777" w:rsidR="008C0651" w:rsidRDefault="004F1041">
      <w:pPr>
        <w:pStyle w:val="ListParagraph"/>
        <w:numPr>
          <w:ilvl w:val="0"/>
          <w:numId w:val="2"/>
        </w:numPr>
        <w:spacing w:before="30" w:after="30"/>
      </w:pPr>
      <w:r>
        <w:rPr>
          <w:sz w:val="19"/>
          <w:szCs w:val="19"/>
        </w:rPr>
        <w:t>Final UAT with issuer and asset manager personas; all blocking issues resolved before launch</w:t>
      </w:r>
    </w:p>
    <w:p w14:paraId="317B4289" w14:textId="77777777" w:rsidR="008C0651" w:rsidRDefault="008C0651">
      <w:pPr>
        <w:spacing w:after="80"/>
      </w:pPr>
    </w:p>
    <w:p w14:paraId="60B4589C" w14:textId="77777777" w:rsidR="008C0651" w:rsidRDefault="004F1041">
      <w:pPr>
        <w:pStyle w:val="Heading3"/>
        <w:spacing w:before="220"/>
      </w:pPr>
      <w:r>
        <w:rPr>
          <w:color w:val="991B1B"/>
        </w:rPr>
        <w:t>DevOps &amp; Security  —  Production Readiness &amp; Mainnet Infrastructure</w:t>
      </w:r>
    </w:p>
    <w:p w14:paraId="01B84685" w14:textId="77777777" w:rsidR="008C0651" w:rsidRDefault="004F1041">
      <w:pPr>
        <w:pStyle w:val="ListParagraph"/>
        <w:numPr>
          <w:ilvl w:val="0"/>
          <w:numId w:val="2"/>
        </w:numPr>
        <w:spacing w:before="30" w:after="30"/>
      </w:pPr>
      <w:r>
        <w:rPr>
          <w:sz w:val="19"/>
          <w:szCs w:val="19"/>
        </w:rPr>
        <w:t>Blue-green deployment pipeline: zero-downtime contract upgrades and backend releases validated</w:t>
      </w:r>
    </w:p>
    <w:p w14:paraId="15761ABC" w14:textId="77777777" w:rsidR="008C0651" w:rsidRDefault="004F1041">
      <w:pPr>
        <w:pStyle w:val="ListParagraph"/>
        <w:numPr>
          <w:ilvl w:val="0"/>
          <w:numId w:val="2"/>
        </w:numPr>
        <w:spacing w:before="30" w:after="30"/>
      </w:pPr>
      <w:r>
        <w:rPr>
          <w:sz w:val="19"/>
          <w:szCs w:val="19"/>
        </w:rPr>
        <w:t>SOC 2 readiness review: access controls, audit logging, and change management controls assessed</w:t>
      </w:r>
    </w:p>
    <w:p w14:paraId="6EEC5D89" w14:textId="77777777" w:rsidR="008C0651" w:rsidRDefault="004F1041">
      <w:pPr>
        <w:pStyle w:val="ListParagraph"/>
        <w:numPr>
          <w:ilvl w:val="0"/>
          <w:numId w:val="2"/>
        </w:numPr>
        <w:spacing w:before="30" w:after="30"/>
      </w:pPr>
      <w:r>
        <w:rPr>
          <w:sz w:val="19"/>
          <w:szCs w:val="19"/>
        </w:rPr>
        <w:t>Mainnet deployment checklist: key rotation, multi-sig ownership transfer, all monitoring and alerts live</w:t>
      </w:r>
    </w:p>
    <w:p w14:paraId="7CCD4D4C" w14:textId="77777777" w:rsidR="008C0651" w:rsidRDefault="004F1041">
      <w:pPr>
        <w:pStyle w:val="ListParagraph"/>
        <w:numPr>
          <w:ilvl w:val="0"/>
          <w:numId w:val="2"/>
        </w:numPr>
        <w:spacing w:before="30" w:after="30"/>
      </w:pPr>
      <w:r>
        <w:rPr>
          <w:sz w:val="19"/>
          <w:szCs w:val="19"/>
        </w:rPr>
        <w:t>MICA Title II compliance infrastructure: reporting pipelines and data retention policies active</w:t>
      </w:r>
    </w:p>
    <w:p w14:paraId="6B1B589D" w14:textId="77777777" w:rsidR="008C0651" w:rsidRDefault="004F1041">
      <w:pPr>
        <w:pStyle w:val="ListParagraph"/>
        <w:numPr>
          <w:ilvl w:val="0"/>
          <w:numId w:val="2"/>
        </w:numPr>
        <w:spacing w:before="30" w:after="30"/>
      </w:pPr>
      <w:r>
        <w:rPr>
          <w:sz w:val="19"/>
          <w:szCs w:val="19"/>
        </w:rPr>
        <w:t>Ongoing post-launch: monthly dependency updates, quarterly pen tests, live Immunefi bug bounty</w:t>
      </w:r>
    </w:p>
    <w:p w14:paraId="1323708E" w14:textId="77777777" w:rsidR="008C0651" w:rsidRDefault="008C0651">
      <w:pPr>
        <w:spacing w:after="80"/>
      </w:pPr>
    </w:p>
    <w:p w14:paraId="43404A12" w14:textId="1A813A5D" w:rsidR="008C0651" w:rsidRDefault="008C0651"/>
    <w:p w14:paraId="146661F1" w14:textId="77777777" w:rsidR="008C0651" w:rsidRDefault="004F1041">
      <w:pPr>
        <w:pStyle w:val="Heading1"/>
        <w:pBdr>
          <w:bottom w:val="single" w:sz="8" w:space="4" w:color="8B5CF6"/>
        </w:pBdr>
      </w:pPr>
      <w:r>
        <w:rPr>
          <w:sz w:val="28"/>
          <w:szCs w:val="28"/>
        </w:rPr>
        <w:lastRenderedPageBreak/>
        <w:t>Audit &amp; Security Strategy</w:t>
      </w:r>
    </w:p>
    <w:p w14:paraId="36C82661" w14:textId="77777777" w:rsidR="008C0651" w:rsidRDefault="004F1041">
      <w:pPr>
        <w:spacing w:after="200"/>
      </w:pPr>
      <w:r>
        <w:rPr>
          <w:sz w:val="19"/>
          <w:szCs w:val="19"/>
        </w:rPr>
        <w:t>BOUND's contracts handle institutional capital with a programmatic peg mechanism. The audit strategy is non-negotiable and structured in two rounds. Any shortcut here increases existential protocol risk.</w:t>
      </w:r>
    </w:p>
    <w:p w14:paraId="37752A2F" w14:textId="77777777" w:rsidR="008C0651" w:rsidRDefault="004F1041">
      <w:pPr>
        <w:spacing w:before="240" w:after="80"/>
      </w:pPr>
      <w:r>
        <w:rPr>
          <w:b/>
          <w:bCs/>
          <w:color w:val="8B5CF6"/>
          <w:sz w:val="21"/>
          <w:szCs w:val="21"/>
        </w:rPr>
        <w:t xml:space="preserve">Round 1: </w:t>
      </w:r>
      <w:r>
        <w:rPr>
          <w:b/>
          <w:bCs/>
          <w:color w:val="1E1B4B"/>
          <w:sz w:val="21"/>
          <w:szCs w:val="21"/>
        </w:rPr>
        <w:t>First-Party Audit — Weeks 17–20</w:t>
      </w:r>
    </w:p>
    <w:p w14:paraId="24E029D6" w14:textId="77777777" w:rsidR="008C0651" w:rsidRDefault="004F1041">
      <w:pPr>
        <w:spacing w:after="120"/>
      </w:pPr>
      <w:r>
        <w:rPr>
          <w:sz w:val="19"/>
          <w:szCs w:val="19"/>
        </w:rPr>
        <w:t>Engage a top-tier firm (Trail of Bits, Certora, or OpenZeppelin) for full-scope review of BLD token, liquidity pool, RWA registry, oracle interfaces, and governance contracts. Remediation sprint runs concurrent with Week 20 — all findings triaged, fixed, and re-tested.</w:t>
      </w:r>
    </w:p>
    <w:p w14:paraId="46B1CBA3" w14:textId="77777777" w:rsidR="008C0651" w:rsidRDefault="004F1041">
      <w:pPr>
        <w:spacing w:before="240" w:after="80"/>
      </w:pPr>
      <w:r>
        <w:rPr>
          <w:b/>
          <w:bCs/>
          <w:color w:val="8B5CF6"/>
          <w:sz w:val="21"/>
          <w:szCs w:val="21"/>
        </w:rPr>
        <w:t xml:space="preserve">Round 2: </w:t>
      </w:r>
      <w:r>
        <w:rPr>
          <w:b/>
          <w:bCs/>
          <w:color w:val="1E1B4B"/>
          <w:sz w:val="21"/>
          <w:szCs w:val="21"/>
        </w:rPr>
        <w:t>Public Competition — Weeks 21–23</w:t>
      </w:r>
    </w:p>
    <w:p w14:paraId="2DDDFE56" w14:textId="77777777" w:rsidR="008C0651" w:rsidRDefault="004F1041">
      <w:pPr>
        <w:spacing w:after="120"/>
      </w:pPr>
      <w:r>
        <w:rPr>
          <w:sz w:val="19"/>
          <w:szCs w:val="19"/>
        </w:rPr>
        <w:t>Code4rena or Sherlock competition. Broad researcher coverage on BLD peg mechanics, haircut logic, and oracle manipulation vectors. All valid findings trigger a targeted re-audit of affected modules before mainnet deployment.</w:t>
      </w:r>
    </w:p>
    <w:p w14:paraId="38730614" w14:textId="77777777" w:rsidR="008C0651" w:rsidRDefault="004F1041">
      <w:pPr>
        <w:spacing w:before="240" w:after="80"/>
      </w:pPr>
      <w:r>
        <w:rPr>
          <w:b/>
          <w:bCs/>
          <w:color w:val="8B5CF6"/>
          <w:sz w:val="21"/>
          <w:szCs w:val="21"/>
        </w:rPr>
        <w:t xml:space="preserve">Ongoing: </w:t>
      </w:r>
      <w:r>
        <w:rPr>
          <w:b/>
          <w:bCs/>
          <w:color w:val="1E1B4B"/>
          <w:sz w:val="21"/>
          <w:szCs w:val="21"/>
        </w:rPr>
        <w:t>Immunefi Bug Bounty — Post-Launch</w:t>
      </w:r>
    </w:p>
    <w:p w14:paraId="2FBD0921" w14:textId="77777777" w:rsidR="008C0651" w:rsidRDefault="004F1041">
      <w:pPr>
        <w:spacing w:after="120"/>
      </w:pPr>
      <w:r>
        <w:rPr>
          <w:sz w:val="19"/>
          <w:szCs w:val="19"/>
        </w:rPr>
        <w:t>Live bug bounty with tiered payouts scaled to finding severity. Any post-launch finding that requires a contract modification triggers an immediate re-audit of the affected module before the fix goes to mainnet. No exceptions.</w:t>
      </w:r>
    </w:p>
    <w:p w14:paraId="021404FE" w14:textId="77777777" w:rsidR="008C0651" w:rsidRDefault="004F1041">
      <w:pPr>
        <w:pStyle w:val="Heading1"/>
        <w:pBdr>
          <w:bottom w:val="single" w:sz="8" w:space="4" w:color="8B5CF6"/>
        </w:pBdr>
      </w:pPr>
      <w:r>
        <w:rPr>
          <w:sz w:val="28"/>
          <w:szCs w:val="28"/>
        </w:rPr>
        <w:t>Schedule Risk &amp; Compression Notes</w:t>
      </w:r>
    </w:p>
    <w:p w14:paraId="55103B1F" w14:textId="77777777" w:rsidR="008C0651" w:rsidRDefault="004F1041">
      <w:pPr>
        <w:spacing w:after="200"/>
      </w:pPr>
      <w:r>
        <w:rPr>
          <w:sz w:val="19"/>
          <w:szCs w:val="19"/>
        </w:rPr>
        <w:t>The following conditions must hold to achieve 18 weeks. If any are not met, add the indicated buffer to the overall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651" w14:paraId="3628E3C6" w14:textId="77777777">
        <w:trPr>
          <w:tblHeader/>
        </w:trPr>
        <w:tc>
          <w:tcPr>
            <w:tcW w:w="468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6AB8EC9A" w14:textId="77777777" w:rsidR="008C0651" w:rsidRDefault="004F1041">
            <w:r>
              <w:rPr>
                <w:b/>
                <w:bCs/>
                <w:color w:val="FFFFFF"/>
                <w:sz w:val="18"/>
                <w:szCs w:val="18"/>
              </w:rPr>
              <w:t>Condition</w:t>
            </w:r>
          </w:p>
        </w:tc>
        <w:tc>
          <w:tcPr>
            <w:tcW w:w="468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5359C6B5" w14:textId="77777777" w:rsidR="008C0651" w:rsidRDefault="004F1041">
            <w:r>
              <w:rPr>
                <w:b/>
                <w:bCs/>
                <w:color w:val="FFFFFF"/>
                <w:sz w:val="18"/>
                <w:szCs w:val="18"/>
              </w:rPr>
              <w:t>If Not Met</w:t>
            </w:r>
          </w:p>
        </w:tc>
      </w:tr>
      <w:tr w:rsidR="008C0651" w14:paraId="33FC873B" w14:textId="77777777">
        <w:tc>
          <w:tcPr>
            <w:tcW w:w="468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59B6EA7C" w14:textId="77777777" w:rsidR="008C0651" w:rsidRDefault="004F1041">
            <w:r>
              <w:rPr>
                <w:sz w:val="17"/>
                <w:szCs w:val="17"/>
              </w:rPr>
              <w:t>Full dedicated teams from Week 1</w:t>
            </w:r>
          </w:p>
        </w:tc>
        <w:tc>
          <w:tcPr>
            <w:tcW w:w="4680" w:type="dxa"/>
            <w:tcBorders>
              <w:top w:val="single" w:sz="1" w:space="0" w:color="CCCCCC"/>
              <w:left w:val="single" w:sz="1" w:space="0" w:color="CCCCCC"/>
              <w:bottom w:val="single" w:sz="1" w:space="0" w:color="CCCCCC"/>
              <w:right w:val="single" w:sz="1" w:space="0" w:color="CCCCCC"/>
            </w:tcBorders>
            <w:shd w:val="clear" w:color="auto" w:fill="FFF7ED"/>
            <w:tcMar>
              <w:top w:w="90" w:type="dxa"/>
              <w:left w:w="140" w:type="dxa"/>
              <w:bottom w:w="90" w:type="dxa"/>
              <w:right w:w="140" w:type="dxa"/>
            </w:tcMar>
          </w:tcPr>
          <w:p w14:paraId="594E82CB" w14:textId="77777777" w:rsidR="008C0651" w:rsidRDefault="004F1041">
            <w:r>
              <w:rPr>
                <w:color w:val="92400E"/>
                <w:sz w:val="17"/>
                <w:szCs w:val="17"/>
              </w:rPr>
              <w:t>Ramp-up delays add 2–4 weeks to Phase 1</w:t>
            </w:r>
          </w:p>
        </w:tc>
      </w:tr>
      <w:tr w:rsidR="008C0651" w14:paraId="1ED2DE4A" w14:textId="77777777">
        <w:tc>
          <w:tcPr>
            <w:tcW w:w="468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79DCA1F8" w14:textId="77777777" w:rsidR="008C0651" w:rsidRDefault="004F1041">
            <w:r>
              <w:rPr>
                <w:sz w:val="17"/>
                <w:szCs w:val="17"/>
              </w:rPr>
              <w:t>Audit firm booked before Phase 2 ends</w:t>
            </w:r>
          </w:p>
        </w:tc>
        <w:tc>
          <w:tcPr>
            <w:tcW w:w="4680" w:type="dxa"/>
            <w:tcBorders>
              <w:top w:val="single" w:sz="1" w:space="0" w:color="CCCCCC"/>
              <w:left w:val="single" w:sz="1" w:space="0" w:color="CCCCCC"/>
              <w:bottom w:val="single" w:sz="1" w:space="0" w:color="CCCCCC"/>
              <w:right w:val="single" w:sz="1" w:space="0" w:color="CCCCCC"/>
            </w:tcBorders>
            <w:shd w:val="clear" w:color="auto" w:fill="FFF7ED"/>
            <w:tcMar>
              <w:top w:w="90" w:type="dxa"/>
              <w:left w:w="140" w:type="dxa"/>
              <w:bottom w:w="90" w:type="dxa"/>
              <w:right w:w="140" w:type="dxa"/>
            </w:tcMar>
          </w:tcPr>
          <w:p w14:paraId="203EA87F" w14:textId="77777777" w:rsidR="008C0651" w:rsidRDefault="004F1041">
            <w:r>
              <w:rPr>
                <w:color w:val="92400E"/>
                <w:sz w:val="17"/>
                <w:szCs w:val="17"/>
              </w:rPr>
              <w:t>Firm availability alone can add 2–6 weeks of idle time</w:t>
            </w:r>
          </w:p>
        </w:tc>
      </w:tr>
      <w:tr w:rsidR="008C0651" w14:paraId="45A43DDA" w14:textId="77777777">
        <w:tc>
          <w:tcPr>
            <w:tcW w:w="468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1AA681AB" w14:textId="77777777" w:rsidR="008C0651" w:rsidRDefault="004F1041">
            <w:r>
              <w:rPr>
                <w:sz w:val="17"/>
                <w:szCs w:val="17"/>
              </w:rPr>
              <w:t>BLD architecture finalised by Week 2</w:t>
            </w:r>
          </w:p>
        </w:tc>
        <w:tc>
          <w:tcPr>
            <w:tcW w:w="4680" w:type="dxa"/>
            <w:tcBorders>
              <w:top w:val="single" w:sz="1" w:space="0" w:color="CCCCCC"/>
              <w:left w:val="single" w:sz="1" w:space="0" w:color="CCCCCC"/>
              <w:bottom w:val="single" w:sz="1" w:space="0" w:color="CCCCCC"/>
              <w:right w:val="single" w:sz="1" w:space="0" w:color="CCCCCC"/>
            </w:tcBorders>
            <w:shd w:val="clear" w:color="auto" w:fill="FFF7ED"/>
            <w:tcMar>
              <w:top w:w="90" w:type="dxa"/>
              <w:left w:w="140" w:type="dxa"/>
              <w:bottom w:w="90" w:type="dxa"/>
              <w:right w:w="140" w:type="dxa"/>
            </w:tcMar>
          </w:tcPr>
          <w:p w14:paraId="00C94D39" w14:textId="77777777" w:rsidR="008C0651" w:rsidRDefault="004F1041">
            <w:r>
              <w:rPr>
                <w:color w:val="92400E"/>
                <w:sz w:val="17"/>
                <w:szCs w:val="17"/>
              </w:rPr>
              <w:t>A late architecture change resets Phase 2 scope for all layers</w:t>
            </w:r>
          </w:p>
        </w:tc>
      </w:tr>
      <w:tr w:rsidR="008C0651" w14:paraId="547BB5C7" w14:textId="77777777">
        <w:tc>
          <w:tcPr>
            <w:tcW w:w="468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48E5AC3D" w14:textId="77777777" w:rsidR="008C0651" w:rsidRDefault="004F1041">
            <w:r>
              <w:rPr>
                <w:sz w:val="17"/>
                <w:szCs w:val="17"/>
              </w:rPr>
              <w:t>Oracle/contract integration aligned by Week 8</w:t>
            </w:r>
          </w:p>
        </w:tc>
        <w:tc>
          <w:tcPr>
            <w:tcW w:w="4680" w:type="dxa"/>
            <w:tcBorders>
              <w:top w:val="single" w:sz="1" w:space="0" w:color="CCCCCC"/>
              <w:left w:val="single" w:sz="1" w:space="0" w:color="CCCCCC"/>
              <w:bottom w:val="single" w:sz="1" w:space="0" w:color="CCCCCC"/>
              <w:right w:val="single" w:sz="1" w:space="0" w:color="CCCCCC"/>
            </w:tcBorders>
            <w:shd w:val="clear" w:color="auto" w:fill="FFF7ED"/>
            <w:tcMar>
              <w:top w:w="90" w:type="dxa"/>
              <w:left w:w="140" w:type="dxa"/>
              <w:bottom w:w="90" w:type="dxa"/>
              <w:right w:w="140" w:type="dxa"/>
            </w:tcMar>
          </w:tcPr>
          <w:p w14:paraId="2E0D6F83" w14:textId="77777777" w:rsidR="008C0651" w:rsidRDefault="004F1041">
            <w:r>
              <w:rPr>
                <w:color w:val="92400E"/>
                <w:sz w:val="17"/>
                <w:szCs w:val="17"/>
              </w:rPr>
              <w:t>Misalignment between backend and contracts is the most common slip point</w:t>
            </w:r>
          </w:p>
        </w:tc>
      </w:tr>
      <w:tr w:rsidR="008C0651" w14:paraId="4575210A" w14:textId="77777777">
        <w:tc>
          <w:tcPr>
            <w:tcW w:w="468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28F96E2F" w14:textId="77777777" w:rsidR="008C0651" w:rsidRDefault="004F1041">
            <w:r>
              <w:rPr>
                <w:sz w:val="17"/>
                <w:szCs w:val="17"/>
              </w:rPr>
              <w:t>Single audit remediation round sufficient</w:t>
            </w:r>
          </w:p>
        </w:tc>
        <w:tc>
          <w:tcPr>
            <w:tcW w:w="4680" w:type="dxa"/>
            <w:tcBorders>
              <w:top w:val="single" w:sz="1" w:space="0" w:color="CCCCCC"/>
              <w:left w:val="single" w:sz="1" w:space="0" w:color="CCCCCC"/>
              <w:bottom w:val="single" w:sz="1" w:space="0" w:color="CCCCCC"/>
              <w:right w:val="single" w:sz="1" w:space="0" w:color="CCCCCC"/>
            </w:tcBorders>
            <w:shd w:val="clear" w:color="auto" w:fill="FFF7ED"/>
            <w:tcMar>
              <w:top w:w="90" w:type="dxa"/>
              <w:left w:w="140" w:type="dxa"/>
              <w:bottom w:w="90" w:type="dxa"/>
              <w:right w:w="140" w:type="dxa"/>
            </w:tcMar>
          </w:tcPr>
          <w:p w14:paraId="0404C138" w14:textId="77777777" w:rsidR="008C0651" w:rsidRDefault="004F1041">
            <w:r>
              <w:rPr>
                <w:color w:val="92400E"/>
                <w:sz w:val="17"/>
                <w:szCs w:val="17"/>
              </w:rPr>
              <w:t>A severe finding requiring re-architecture adds 3–6 weeks</w:t>
            </w:r>
          </w:p>
        </w:tc>
      </w:tr>
      <w:tr w:rsidR="008C0651" w14:paraId="3D1E9E2C" w14:textId="77777777">
        <w:tc>
          <w:tcPr>
            <w:tcW w:w="468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14:paraId="3981501B" w14:textId="77777777" w:rsidR="008C0651" w:rsidRDefault="004F1041">
            <w:r>
              <w:rPr>
                <w:sz w:val="17"/>
                <w:szCs w:val="17"/>
              </w:rPr>
              <w:t>No material MICA compliance pivot</w:t>
            </w:r>
          </w:p>
        </w:tc>
        <w:tc>
          <w:tcPr>
            <w:tcW w:w="4680" w:type="dxa"/>
            <w:tcBorders>
              <w:top w:val="single" w:sz="1" w:space="0" w:color="CCCCCC"/>
              <w:left w:val="single" w:sz="1" w:space="0" w:color="CCCCCC"/>
              <w:bottom w:val="single" w:sz="1" w:space="0" w:color="CCCCCC"/>
              <w:right w:val="single" w:sz="1" w:space="0" w:color="CCCCCC"/>
            </w:tcBorders>
            <w:shd w:val="clear" w:color="auto" w:fill="FFF7ED"/>
            <w:tcMar>
              <w:top w:w="90" w:type="dxa"/>
              <w:left w:w="140" w:type="dxa"/>
              <w:bottom w:w="90" w:type="dxa"/>
              <w:right w:w="140" w:type="dxa"/>
            </w:tcMar>
          </w:tcPr>
          <w:p w14:paraId="30EADC9F" w14:textId="77777777" w:rsidR="008C0651" w:rsidRDefault="004F1041">
            <w:r>
              <w:rPr>
                <w:color w:val="92400E"/>
                <w:sz w:val="17"/>
                <w:szCs w:val="17"/>
              </w:rPr>
              <w:t>Regulatory reclassification mid-build would require contract and backend rework</w:t>
            </w:r>
          </w:p>
        </w:tc>
      </w:tr>
    </w:tbl>
    <w:p w14:paraId="5990F1B5" w14:textId="77777777" w:rsidR="008C0651" w:rsidRDefault="008C0651">
      <w:pPr>
        <w:spacing w:after="480"/>
      </w:pPr>
    </w:p>
    <w:p w14:paraId="2895815A" w14:textId="77777777" w:rsidR="008C0651" w:rsidRDefault="004F1041">
      <w:pPr>
        <w:spacing w:before="480"/>
        <w:jc w:val="center"/>
      </w:pPr>
      <w:r>
        <w:rPr>
          <w:i/>
          <w:iCs/>
          <w:color w:val="6B7280"/>
          <w:sz w:val="18"/>
          <w:szCs w:val="18"/>
        </w:rPr>
        <w:t>© BOUND Protocol — Institutional Liquidity Infrastructure</w:t>
      </w:r>
    </w:p>
    <w:sectPr w:rsidR="008C065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1FFCD" w14:textId="77777777" w:rsidR="004F1041" w:rsidRDefault="004F1041">
      <w:r>
        <w:separator/>
      </w:r>
    </w:p>
  </w:endnote>
  <w:endnote w:type="continuationSeparator" w:id="0">
    <w:p w14:paraId="1679776D" w14:textId="77777777" w:rsidR="004F1041" w:rsidRDefault="004F1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BBD00" w14:textId="63AA9658" w:rsidR="008C0651" w:rsidRDefault="004F1041">
    <w:pPr>
      <w:pBdr>
        <w:top w:val="single" w:sz="4" w:space="4" w:color="8B5CF6"/>
      </w:pBdr>
      <w:jc w:val="center"/>
    </w:pPr>
    <w:r>
      <w:rPr>
        <w:color w:val="6B7280"/>
        <w:sz w:val="16"/>
        <w:szCs w:val="16"/>
      </w:rPr>
      <w:t xml:space="preserve">© BOUND Protocol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A0590F">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A0590F">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F7D2A" w14:textId="77777777" w:rsidR="004F1041" w:rsidRDefault="004F1041">
      <w:r>
        <w:separator/>
      </w:r>
    </w:p>
  </w:footnote>
  <w:footnote w:type="continuationSeparator" w:id="0">
    <w:p w14:paraId="0DD25771" w14:textId="77777777" w:rsidR="004F1041" w:rsidRDefault="004F1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963B2" w14:textId="072A14CE" w:rsidR="008C0651" w:rsidRDefault="004F1041">
    <w:pPr>
      <w:pBdr>
        <w:bottom w:val="single" w:sz="4" w:space="4" w:color="8B5CF6"/>
      </w:pBdr>
      <w:jc w:val="right"/>
    </w:pPr>
    <w:r>
      <w:rPr>
        <w:color w:val="6B7280"/>
        <w:sz w:val="16"/>
        <w:szCs w:val="16"/>
      </w:rPr>
      <w:t xml:space="preserve">BOUND Protocol·  Engineering Technical Roadmap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C93114"/>
    <w:multiLevelType w:val="hybridMultilevel"/>
    <w:tmpl w:val="13D2CE66"/>
    <w:lvl w:ilvl="0" w:tplc="B82E5658">
      <w:start w:val="1"/>
      <w:numFmt w:val="bullet"/>
      <w:lvlText w:val="●"/>
      <w:lvlJc w:val="left"/>
      <w:pPr>
        <w:ind w:left="720" w:hanging="360"/>
      </w:pPr>
    </w:lvl>
    <w:lvl w:ilvl="1" w:tplc="CB0E4BFC">
      <w:start w:val="1"/>
      <w:numFmt w:val="bullet"/>
      <w:lvlText w:val="○"/>
      <w:lvlJc w:val="left"/>
      <w:pPr>
        <w:ind w:left="1440" w:hanging="360"/>
      </w:pPr>
    </w:lvl>
    <w:lvl w:ilvl="2" w:tplc="55E00EB0">
      <w:start w:val="1"/>
      <w:numFmt w:val="bullet"/>
      <w:lvlText w:val="■"/>
      <w:lvlJc w:val="left"/>
      <w:pPr>
        <w:ind w:left="2160" w:hanging="360"/>
      </w:pPr>
    </w:lvl>
    <w:lvl w:ilvl="3" w:tplc="F7FC2478">
      <w:start w:val="1"/>
      <w:numFmt w:val="bullet"/>
      <w:lvlText w:val="●"/>
      <w:lvlJc w:val="left"/>
      <w:pPr>
        <w:ind w:left="2880" w:hanging="360"/>
      </w:pPr>
    </w:lvl>
    <w:lvl w:ilvl="4" w:tplc="97ECC2A2">
      <w:start w:val="1"/>
      <w:numFmt w:val="bullet"/>
      <w:lvlText w:val="○"/>
      <w:lvlJc w:val="left"/>
      <w:pPr>
        <w:ind w:left="3600" w:hanging="360"/>
      </w:pPr>
    </w:lvl>
    <w:lvl w:ilvl="5" w:tplc="73C4C808">
      <w:start w:val="1"/>
      <w:numFmt w:val="bullet"/>
      <w:lvlText w:val="■"/>
      <w:lvlJc w:val="left"/>
      <w:pPr>
        <w:ind w:left="4320" w:hanging="360"/>
      </w:pPr>
    </w:lvl>
    <w:lvl w:ilvl="6" w:tplc="7F58C316">
      <w:start w:val="1"/>
      <w:numFmt w:val="bullet"/>
      <w:lvlText w:val="●"/>
      <w:lvlJc w:val="left"/>
      <w:pPr>
        <w:ind w:left="5040" w:hanging="360"/>
      </w:pPr>
    </w:lvl>
    <w:lvl w:ilvl="7" w:tplc="D1FA2244">
      <w:start w:val="1"/>
      <w:numFmt w:val="bullet"/>
      <w:lvlText w:val="●"/>
      <w:lvlJc w:val="left"/>
      <w:pPr>
        <w:ind w:left="5760" w:hanging="360"/>
      </w:pPr>
    </w:lvl>
    <w:lvl w:ilvl="8" w:tplc="E4DEC9F8">
      <w:start w:val="1"/>
      <w:numFmt w:val="bullet"/>
      <w:lvlText w:val="●"/>
      <w:lvlJc w:val="left"/>
      <w:pPr>
        <w:ind w:left="6480" w:hanging="360"/>
      </w:pPr>
    </w:lvl>
  </w:abstractNum>
  <w:abstractNum w:abstractNumId="1" w15:restartNumberingAfterBreak="0">
    <w:nsid w:val="71C13A7A"/>
    <w:multiLevelType w:val="hybridMultilevel"/>
    <w:tmpl w:val="10DC167C"/>
    <w:lvl w:ilvl="0" w:tplc="109A4368">
      <w:start w:val="1"/>
      <w:numFmt w:val="bullet"/>
      <w:lvlText w:val="•"/>
      <w:lvlJc w:val="left"/>
      <w:pPr>
        <w:ind w:left="720" w:hanging="360"/>
      </w:pPr>
    </w:lvl>
    <w:lvl w:ilvl="1" w:tplc="47A61A4C">
      <w:numFmt w:val="decimal"/>
      <w:lvlText w:val=""/>
      <w:lvlJc w:val="left"/>
    </w:lvl>
    <w:lvl w:ilvl="2" w:tplc="22A8E54E">
      <w:numFmt w:val="decimal"/>
      <w:lvlText w:val=""/>
      <w:lvlJc w:val="left"/>
    </w:lvl>
    <w:lvl w:ilvl="3" w:tplc="9AAEABE4">
      <w:numFmt w:val="decimal"/>
      <w:lvlText w:val=""/>
      <w:lvlJc w:val="left"/>
    </w:lvl>
    <w:lvl w:ilvl="4" w:tplc="D32E4034">
      <w:numFmt w:val="decimal"/>
      <w:lvlText w:val=""/>
      <w:lvlJc w:val="left"/>
    </w:lvl>
    <w:lvl w:ilvl="5" w:tplc="75D00ABE">
      <w:numFmt w:val="decimal"/>
      <w:lvlText w:val=""/>
      <w:lvlJc w:val="left"/>
    </w:lvl>
    <w:lvl w:ilvl="6" w:tplc="5B3EDE94">
      <w:numFmt w:val="decimal"/>
      <w:lvlText w:val=""/>
      <w:lvlJc w:val="left"/>
    </w:lvl>
    <w:lvl w:ilvl="7" w:tplc="6D6C5B84">
      <w:numFmt w:val="decimal"/>
      <w:lvlText w:val=""/>
      <w:lvlJc w:val="left"/>
    </w:lvl>
    <w:lvl w:ilvl="8" w:tplc="35FA00C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651"/>
    <w:rsid w:val="004F1041"/>
    <w:rsid w:val="006236A0"/>
    <w:rsid w:val="008C0651"/>
    <w:rsid w:val="00A05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478"/>
  <w15:docId w15:val="{DEE3537A-7C7A-4F5E-B43B-823CF5C6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11827"/>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E1B4B"/>
      <w:sz w:val="32"/>
      <w:szCs w:val="32"/>
    </w:rPr>
  </w:style>
  <w:style w:type="paragraph" w:styleId="Heading2">
    <w:name w:val="heading 2"/>
    <w:uiPriority w:val="9"/>
    <w:unhideWhenUsed/>
    <w:qFormat/>
    <w:pPr>
      <w:spacing w:before="320" w:after="120"/>
      <w:outlineLvl w:val="1"/>
    </w:pPr>
    <w:rPr>
      <w:b/>
      <w:bCs/>
      <w:color w:val="5B21B6"/>
      <w:sz w:val="26"/>
      <w:szCs w:val="26"/>
    </w:rPr>
  </w:style>
  <w:style w:type="paragraph" w:styleId="Heading3">
    <w:name w:val="heading 3"/>
    <w:uiPriority w:val="9"/>
    <w:unhideWhenUsed/>
    <w:qFormat/>
    <w:pPr>
      <w:spacing w:before="200" w:after="80"/>
      <w:outlineLvl w:val="2"/>
    </w:pPr>
    <w:rPr>
      <w:b/>
      <w:bCs/>
      <w:color w:val="0E749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590F"/>
    <w:pPr>
      <w:tabs>
        <w:tab w:val="center" w:pos="4513"/>
        <w:tab w:val="right" w:pos="9026"/>
      </w:tabs>
    </w:pPr>
  </w:style>
  <w:style w:type="character" w:customStyle="1" w:styleId="HeaderChar">
    <w:name w:val="Header Char"/>
    <w:basedOn w:val="DefaultParagraphFont"/>
    <w:link w:val="Header"/>
    <w:uiPriority w:val="99"/>
    <w:rsid w:val="00A0590F"/>
  </w:style>
  <w:style w:type="paragraph" w:styleId="Footer">
    <w:name w:val="footer"/>
    <w:basedOn w:val="Normal"/>
    <w:link w:val="FooterChar"/>
    <w:uiPriority w:val="99"/>
    <w:unhideWhenUsed/>
    <w:rsid w:val="00A0590F"/>
    <w:pPr>
      <w:tabs>
        <w:tab w:val="center" w:pos="4513"/>
        <w:tab w:val="right" w:pos="9026"/>
      </w:tabs>
    </w:pPr>
  </w:style>
  <w:style w:type="character" w:customStyle="1" w:styleId="FooterChar">
    <w:name w:val="Footer Char"/>
    <w:basedOn w:val="DefaultParagraphFont"/>
    <w:link w:val="Footer"/>
    <w:uiPriority w:val="99"/>
    <w:rsid w:val="00A05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2600</Words>
  <Characters>14821</Characters>
  <Application>Microsoft Office Word</Application>
  <DocSecurity>0</DocSecurity>
  <Lines>123</Lines>
  <Paragraphs>34</Paragraphs>
  <ScaleCrop>false</ScaleCrop>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Oloma</cp:lastModifiedBy>
  <cp:revision>2</cp:revision>
  <dcterms:created xsi:type="dcterms:W3CDTF">2026-06-18T09:43:00Z</dcterms:created>
  <dcterms:modified xsi:type="dcterms:W3CDTF">2026-06-18T09:43:00Z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588e5344-11f7-42b4-8119-0f287478fc6a</vt:lpwstr>
  </property>
</Properties>
</file>