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A4205" w:rsidRDefault="000F7439" w:rsidP="000F7439">
      <w:pPr>
        <w:spacing w:after="40"/>
        <w:jc w:val="center"/>
      </w:pPr>
      <w:r>
        <w:rPr>
          <w:b/>
          <w:bCs/>
          <w:sz w:val="34"/>
          <w:szCs w:val="34"/>
        </w:rPr>
        <w:t>Track 1 — Vehicle Selection for Data Acquisition</w:t>
      </w:r>
    </w:p>
    <w:p w:rsidR="00CA4205" w:rsidRDefault="000F7439" w:rsidP="000F7439">
      <w:pPr>
        <w:spacing w:after="40"/>
        <w:jc w:val="center"/>
      </w:pPr>
      <w:r>
        <w:rPr>
          <w:color w:val="555555"/>
          <w:sz w:val="24"/>
          <w:szCs w:val="24"/>
        </w:rPr>
        <w:t>Which India-market cars to use for OBD-II data collection and validation</w:t>
      </w:r>
    </w:p>
    <w:p w:rsidR="00CA4205" w:rsidRDefault="000F7439" w:rsidP="000F7439">
      <w:pPr>
        <w:spacing w:after="40"/>
        <w:jc w:val="center"/>
      </w:pPr>
      <w:r>
        <w:rPr>
          <w:color w:val="555555"/>
        </w:rPr>
        <w:t>Ca</w:t>
      </w:r>
      <w:bookmarkStart w:id="0" w:name="_GoBack"/>
      <w:bookmarkEnd w:id="0"/>
      <w:r>
        <w:rPr>
          <w:color w:val="555555"/>
        </w:rPr>
        <w:t>r Automation IoT Internship</w:t>
      </w:r>
    </w:p>
    <w:p w:rsidR="00CA4205" w:rsidRDefault="00CA4205">
      <w:pPr>
        <w:pBdr>
          <w:bottom w:val="single" w:sz="6" w:space="0" w:color="BBBBBB"/>
        </w:pBdr>
        <w:spacing w:before="60" w:after="120"/>
      </w:pPr>
    </w:p>
    <w:p w:rsidR="00CA4205" w:rsidRDefault="000F7439">
      <w:pPr>
        <w:pStyle w:val="Heading1"/>
        <w:spacing w:before="280" w:after="140"/>
      </w:pPr>
      <w:r>
        <w:rPr>
          <w:b/>
          <w:bCs/>
          <w:color w:val="000000"/>
          <w:sz w:val="30"/>
          <w:szCs w:val="30"/>
        </w:rPr>
        <w:t xml:space="preserve">1. Purpose &amp; </w:t>
      </w:r>
      <w:proofErr w:type="gramStart"/>
      <w:r>
        <w:rPr>
          <w:b/>
          <w:bCs/>
          <w:color w:val="000000"/>
          <w:sz w:val="30"/>
          <w:szCs w:val="30"/>
        </w:rPr>
        <w:t>The</w:t>
      </w:r>
      <w:proofErr w:type="gramEnd"/>
      <w:r>
        <w:rPr>
          <w:b/>
          <w:bCs/>
          <w:color w:val="000000"/>
          <w:sz w:val="30"/>
          <w:szCs w:val="30"/>
        </w:rPr>
        <w:t xml:space="preserve"> Honest Starting Point</w:t>
      </w:r>
    </w:p>
    <w:p w:rsidR="00CA4205" w:rsidRDefault="000F7439">
      <w:pPr>
        <w:spacing w:after="120" w:line="276" w:lineRule="auto"/>
      </w:pPr>
      <w:r>
        <w:t>This document identifies which vehicles are suitable for our OBD-II data acquisition. It is a starting point for the bench test, not a final answer — because the single most important fact about vehicle OBD-II support is this:</w:t>
      </w:r>
    </w:p>
    <w:p w:rsidR="00CA4205" w:rsidRDefault="000F7439">
      <w:pPr>
        <w:pBdr>
          <w:left w:val="single" w:sz="18" w:space="0" w:color="888888"/>
        </w:pBdr>
        <w:spacing w:before="40" w:after="120"/>
        <w:ind w:left="200"/>
      </w:pPr>
      <w:r>
        <w:rPr>
          <w:i/>
          <w:iCs/>
        </w:rPr>
        <w:t xml:space="preserve">Real, per-model confirmation </w:t>
      </w:r>
      <w:r>
        <w:rPr>
          <w:i/>
          <w:iCs/>
        </w:rPr>
        <w:t>of which parameters a car returns does not exist in public sources. It can only be confirmed by plugging in and logging the actual responses. No online claim, datasheet, or AI answer counts as confirmation.</w:t>
      </w:r>
    </w:p>
    <w:p w:rsidR="00CA4205" w:rsidRDefault="000F7439">
      <w:pPr>
        <w:spacing w:before="40" w:after="120" w:line="276" w:lineRule="auto"/>
      </w:pPr>
      <w:r>
        <w:t>So this list ranks vehicles by how likely they ar</w:t>
      </w:r>
      <w:r>
        <w:t>e to work and how easy they are to borrow — and the chosen car is then confirmed by a bench scan.</w:t>
      </w:r>
    </w:p>
    <w:p w:rsidR="00CA4205" w:rsidRDefault="000F7439">
      <w:pPr>
        <w:pStyle w:val="Heading1"/>
        <w:spacing w:before="280" w:after="140"/>
      </w:pPr>
      <w:r>
        <w:rPr>
          <w:b/>
          <w:bCs/>
          <w:color w:val="000000"/>
          <w:sz w:val="30"/>
          <w:szCs w:val="30"/>
        </w:rPr>
        <w:t>2. The Key Point: Standard Data Works Almost Everywhere</w:t>
      </w:r>
    </w:p>
    <w:p w:rsidR="00CA4205" w:rsidRDefault="000F7439">
      <w:pPr>
        <w:spacing w:after="120" w:line="276" w:lineRule="auto"/>
      </w:pPr>
      <w:r>
        <w:t>For the standard parameters — RPM, speed, coolant, engine load, throttle, intake temperature, fuel lev</w:t>
      </w:r>
      <w:r>
        <w:t xml:space="preserve">el, and diagnostic trouble codes — almost any petrol car in India from 2010 onward works. These are mandated, </w:t>
      </w:r>
      <w:proofErr w:type="spellStart"/>
      <w:r>
        <w:t>standardised</w:t>
      </w:r>
      <w:proofErr w:type="spellEnd"/>
      <w:r>
        <w:t xml:space="preserve"> OBD-II parameters.</w:t>
      </w:r>
    </w:p>
    <w:p w:rsidR="00CA4205" w:rsidRDefault="000F7439">
      <w:pPr>
        <w:spacing w:after="80" w:line="276" w:lineRule="auto"/>
      </w:pPr>
      <w:r>
        <w:t>The differences between cars are only at the margins:</w:t>
      </w:r>
    </w:p>
    <w:p w:rsidR="00CA4205" w:rsidRDefault="000F7439">
      <w:pPr>
        <w:pStyle w:val="ListParagraph"/>
        <w:numPr>
          <w:ilvl w:val="0"/>
          <w:numId w:val="2"/>
        </w:numPr>
        <w:spacing w:after="80" w:line="276" w:lineRule="auto"/>
      </w:pPr>
      <w:r>
        <w:t>MAF (air-flow) — needed to calculate fuel mileage — is prese</w:t>
      </w:r>
      <w:r>
        <w:t xml:space="preserve">nt on most </w:t>
      </w:r>
      <w:proofErr w:type="spellStart"/>
      <w:r>
        <w:t>Maruti</w:t>
      </w:r>
      <w:proofErr w:type="spellEnd"/>
      <w:r>
        <w:t>/Hyundai engines but often absent on Toyota engines (which use a MAP sensor instead). This is the one field where car choice genuinely matters.</w:t>
      </w:r>
    </w:p>
    <w:p w:rsidR="00CA4205" w:rsidRDefault="000F7439">
      <w:pPr>
        <w:pStyle w:val="ListParagraph"/>
        <w:numPr>
          <w:ilvl w:val="0"/>
          <w:numId w:val="2"/>
        </w:numPr>
        <w:spacing w:after="80" w:line="276" w:lineRule="auto"/>
      </w:pPr>
      <w:r>
        <w:t>The manufacturer-specific fields (AC status, brake, clutch %) may be unavailable on any car — t</w:t>
      </w:r>
      <w:r>
        <w:t>hat is an OBD-standard limitation, not a car-selection problem. No car choice fixes it; only the bench scan tells us.</w:t>
      </w:r>
    </w:p>
    <w:p w:rsidR="00CA4205" w:rsidRDefault="000F7439">
      <w:pPr>
        <w:spacing w:after="120" w:line="276" w:lineRule="auto"/>
      </w:pPr>
      <w:r>
        <w:rPr>
          <w:b/>
          <w:bCs/>
        </w:rPr>
        <w:t xml:space="preserve">Therefore the deciding factor is availability. </w:t>
      </w:r>
      <w:r>
        <w:t>A car we can plug into ten times while debugging is worth far more than a “cleaner on paper</w:t>
      </w:r>
      <w:r>
        <w:t>” car we can borrow once. Pick whichever compliant car the team can most easily and repeatedly access.</w:t>
      </w:r>
    </w:p>
    <w:p w:rsidR="00CA4205" w:rsidRDefault="000F7439">
      <w:r>
        <w:br w:type="page"/>
      </w:r>
    </w:p>
    <w:p w:rsidR="00CA4205" w:rsidRDefault="000F7439">
      <w:pPr>
        <w:pStyle w:val="Heading1"/>
        <w:spacing w:before="280" w:after="140"/>
      </w:pPr>
      <w:r>
        <w:rPr>
          <w:b/>
          <w:bCs/>
          <w:color w:val="000000"/>
          <w:sz w:val="30"/>
          <w:szCs w:val="30"/>
        </w:rPr>
        <w:lastRenderedPageBreak/>
        <w:t>3. Tier 1 — Safest Picks (Recommended)</w:t>
      </w:r>
    </w:p>
    <w:p w:rsidR="00CA4205" w:rsidRDefault="000F7439">
      <w:pPr>
        <w:spacing w:after="120" w:line="276" w:lineRule="auto"/>
      </w:pPr>
      <w:r>
        <w:t>Standard parameters reliable, common in India, easy to borrow. Start 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4960"/>
      </w:tblGrid>
      <w:tr w:rsidR="00CA4205">
        <w:tblPrEx>
          <w:tblCellMar>
            <w:top w:w="0" w:type="dxa"/>
            <w:bottom w:w="0" w:type="dxa"/>
          </w:tblCellMar>
        </w:tblPrEx>
        <w:trPr>
          <w:tblHeader/>
        </w:trPr>
        <w:tc>
          <w:tcPr>
            <w:tcW w:w="2700" w:type="dxa"/>
            <w:shd w:val="clear" w:color="auto" w:fill="2E2E2E"/>
            <w:tcMar>
              <w:top w:w="60" w:type="dxa"/>
              <w:left w:w="80" w:type="dxa"/>
              <w:bottom w:w="60" w:type="dxa"/>
              <w:right w:w="80" w:type="dxa"/>
            </w:tcMar>
            <w:vAlign w:val="center"/>
          </w:tcPr>
          <w:p w:rsidR="00CA4205" w:rsidRDefault="000F7439">
            <w:r>
              <w:rPr>
                <w:b/>
                <w:bCs/>
                <w:color w:val="FFFFFF"/>
                <w:sz w:val="19"/>
                <w:szCs w:val="19"/>
              </w:rPr>
              <w:t>Vehicle</w:t>
            </w:r>
          </w:p>
        </w:tc>
        <w:tc>
          <w:tcPr>
            <w:tcW w:w="1700" w:type="dxa"/>
            <w:shd w:val="clear" w:color="auto" w:fill="2E2E2E"/>
            <w:tcMar>
              <w:top w:w="60" w:type="dxa"/>
              <w:left w:w="80" w:type="dxa"/>
              <w:bottom w:w="60" w:type="dxa"/>
              <w:right w:w="80" w:type="dxa"/>
            </w:tcMar>
            <w:vAlign w:val="center"/>
          </w:tcPr>
          <w:p w:rsidR="00CA4205" w:rsidRDefault="000F7439">
            <w:r>
              <w:rPr>
                <w:b/>
                <w:bCs/>
                <w:color w:val="FFFFFF"/>
                <w:sz w:val="19"/>
                <w:szCs w:val="19"/>
              </w:rPr>
              <w:t>Year / fuel</w:t>
            </w:r>
          </w:p>
        </w:tc>
        <w:tc>
          <w:tcPr>
            <w:tcW w:w="4960" w:type="dxa"/>
            <w:shd w:val="clear" w:color="auto" w:fill="2E2E2E"/>
            <w:tcMar>
              <w:top w:w="60" w:type="dxa"/>
              <w:left w:w="80" w:type="dxa"/>
              <w:bottom w:w="60" w:type="dxa"/>
              <w:right w:w="80" w:type="dxa"/>
            </w:tcMar>
            <w:vAlign w:val="center"/>
          </w:tcPr>
          <w:p w:rsidR="00CA4205" w:rsidRDefault="000F7439">
            <w:r>
              <w:rPr>
                <w:b/>
                <w:bCs/>
                <w:color w:val="FFFFFF"/>
                <w:sz w:val="19"/>
                <w:szCs w:val="19"/>
              </w:rPr>
              <w:t>Why it's a good pick</w:t>
            </w:r>
          </w:p>
        </w:tc>
      </w:tr>
      <w:tr w:rsidR="00CA4205">
        <w:tblPrEx>
          <w:tblCellMar>
            <w:top w:w="0" w:type="dxa"/>
            <w:bottom w:w="0" w:type="dxa"/>
          </w:tblCellMar>
        </w:tblPrEx>
        <w:tc>
          <w:tcPr>
            <w:tcW w:w="2700" w:type="dxa"/>
            <w:shd w:val="clear" w:color="auto" w:fill="E6F4EA"/>
            <w:tcMar>
              <w:top w:w="60" w:type="dxa"/>
              <w:left w:w="80" w:type="dxa"/>
              <w:bottom w:w="60" w:type="dxa"/>
              <w:right w:w="80" w:type="dxa"/>
            </w:tcMar>
            <w:vAlign w:val="center"/>
          </w:tcPr>
          <w:p w:rsidR="00CA4205" w:rsidRDefault="000F7439">
            <w:proofErr w:type="spellStart"/>
            <w:r>
              <w:rPr>
                <w:b/>
                <w:bCs/>
                <w:sz w:val="19"/>
                <w:szCs w:val="19"/>
              </w:rPr>
              <w:t>Maruti</w:t>
            </w:r>
            <w:proofErr w:type="spellEnd"/>
            <w:r>
              <w:rPr>
                <w:b/>
                <w:bCs/>
                <w:sz w:val="19"/>
                <w:szCs w:val="19"/>
              </w:rPr>
              <w:t xml:space="preserve"> Swift / </w:t>
            </w:r>
            <w:proofErr w:type="spellStart"/>
            <w:r>
              <w:rPr>
                <w:b/>
                <w:bCs/>
                <w:sz w:val="19"/>
                <w:szCs w:val="19"/>
              </w:rPr>
              <w:t>Dzire</w:t>
            </w:r>
            <w:proofErr w:type="spellEnd"/>
            <w:r>
              <w:rPr>
                <w:b/>
                <w:bCs/>
                <w:sz w:val="19"/>
                <w:szCs w:val="19"/>
              </w:rPr>
              <w:t xml:space="preserve"> / </w:t>
            </w:r>
            <w:proofErr w:type="spellStart"/>
            <w:r>
              <w:rPr>
                <w:b/>
                <w:bCs/>
                <w:sz w:val="19"/>
                <w:szCs w:val="19"/>
              </w:rPr>
              <w:t>Baleno</w:t>
            </w:r>
            <w:proofErr w:type="spellEnd"/>
            <w:r>
              <w:rPr>
                <w:b/>
                <w:bCs/>
                <w:sz w:val="19"/>
                <w:szCs w:val="19"/>
              </w:rPr>
              <w:t xml:space="preserve"> / </w:t>
            </w:r>
            <w:proofErr w:type="spellStart"/>
            <w:r>
              <w:rPr>
                <w:b/>
                <w:bCs/>
                <w:sz w:val="19"/>
                <w:szCs w:val="19"/>
              </w:rPr>
              <w:t>WagonR</w:t>
            </w:r>
            <w:proofErr w:type="spellEnd"/>
          </w:p>
        </w:tc>
        <w:tc>
          <w:tcPr>
            <w:tcW w:w="1700" w:type="dxa"/>
            <w:shd w:val="clear" w:color="auto" w:fill="E6F4EA"/>
            <w:tcMar>
              <w:top w:w="60" w:type="dxa"/>
              <w:left w:w="80" w:type="dxa"/>
              <w:bottom w:w="60" w:type="dxa"/>
              <w:right w:w="80" w:type="dxa"/>
            </w:tcMar>
            <w:vAlign w:val="center"/>
          </w:tcPr>
          <w:p w:rsidR="00CA4205" w:rsidRDefault="000F7439">
            <w:r>
              <w:rPr>
                <w:sz w:val="19"/>
                <w:szCs w:val="19"/>
              </w:rPr>
              <w:t>2018+ BS-VI petrol</w:t>
            </w:r>
          </w:p>
        </w:tc>
        <w:tc>
          <w:tcPr>
            <w:tcW w:w="4960" w:type="dxa"/>
            <w:shd w:val="clear" w:color="auto" w:fill="E6F4EA"/>
            <w:tcMar>
              <w:top w:w="60" w:type="dxa"/>
              <w:left w:w="80" w:type="dxa"/>
              <w:bottom w:w="60" w:type="dxa"/>
              <w:right w:w="80" w:type="dxa"/>
            </w:tcMar>
            <w:vAlign w:val="center"/>
          </w:tcPr>
          <w:p w:rsidR="00CA4205" w:rsidRDefault="000F7439">
            <w:r>
              <w:rPr>
                <w:sz w:val="19"/>
                <w:szCs w:val="19"/>
              </w:rPr>
              <w:t xml:space="preserve">Best overall pick. BS-VI </w:t>
            </w:r>
            <w:proofErr w:type="spellStart"/>
            <w:r>
              <w:rPr>
                <w:sz w:val="19"/>
                <w:szCs w:val="19"/>
              </w:rPr>
              <w:t>Marutis</w:t>
            </w:r>
            <w:proofErr w:type="spellEnd"/>
            <w:r>
              <w:rPr>
                <w:sz w:val="19"/>
                <w:szCs w:val="19"/>
              </w:rPr>
              <w:t xml:space="preserve"> are the generation explicitly regarded as standards-compliant CAN. Standard PIDs reliable, MAF generally present. Most borrowable car in India </w:t>
            </w:r>
            <w:r>
              <w:rPr>
                <w:sz w:val="19"/>
                <w:szCs w:val="19"/>
              </w:rPr>
              <w:t>— very likely someone on the team or in the office has one.</w:t>
            </w:r>
          </w:p>
        </w:tc>
      </w:tr>
      <w:tr w:rsidR="00CA4205">
        <w:tblPrEx>
          <w:tblCellMar>
            <w:top w:w="0" w:type="dxa"/>
            <w:bottom w:w="0" w:type="dxa"/>
          </w:tblCellMar>
        </w:tblPrEx>
        <w:tc>
          <w:tcPr>
            <w:tcW w:w="2700" w:type="dxa"/>
            <w:shd w:val="clear" w:color="auto" w:fill="F2F2F2"/>
            <w:tcMar>
              <w:top w:w="60" w:type="dxa"/>
              <w:left w:w="80" w:type="dxa"/>
              <w:bottom w:w="60" w:type="dxa"/>
              <w:right w:w="80" w:type="dxa"/>
            </w:tcMar>
            <w:vAlign w:val="center"/>
          </w:tcPr>
          <w:p w:rsidR="00CA4205" w:rsidRDefault="000F7439">
            <w:r>
              <w:rPr>
                <w:b/>
                <w:bCs/>
                <w:sz w:val="19"/>
                <w:szCs w:val="19"/>
              </w:rPr>
              <w:t>Hyundai i20 / Verna</w:t>
            </w:r>
          </w:p>
        </w:tc>
        <w:tc>
          <w:tcPr>
            <w:tcW w:w="1700" w:type="dxa"/>
            <w:shd w:val="clear" w:color="auto" w:fill="F2F2F2"/>
            <w:tcMar>
              <w:top w:w="60" w:type="dxa"/>
              <w:left w:w="80" w:type="dxa"/>
              <w:bottom w:w="60" w:type="dxa"/>
              <w:right w:w="80" w:type="dxa"/>
            </w:tcMar>
            <w:vAlign w:val="center"/>
          </w:tcPr>
          <w:p w:rsidR="00CA4205" w:rsidRDefault="000F7439">
            <w:r>
              <w:rPr>
                <w:sz w:val="19"/>
                <w:szCs w:val="19"/>
              </w:rPr>
              <w:t>2015+ petrol</w:t>
            </w:r>
          </w:p>
        </w:tc>
        <w:tc>
          <w:tcPr>
            <w:tcW w:w="4960" w:type="dxa"/>
            <w:shd w:val="clear" w:color="auto" w:fill="F2F2F2"/>
            <w:tcMar>
              <w:top w:w="60" w:type="dxa"/>
              <w:left w:w="80" w:type="dxa"/>
              <w:bottom w:w="60" w:type="dxa"/>
              <w:right w:w="80" w:type="dxa"/>
            </w:tcMar>
            <w:vAlign w:val="center"/>
          </w:tcPr>
          <w:p w:rsidR="00CA4205" w:rsidRDefault="000F7439">
            <w:r>
              <w:rPr>
                <w:sz w:val="19"/>
                <w:szCs w:val="19"/>
              </w:rPr>
              <w:t>CAN-based, standard PIDs read well per owner reports, MAF generally present. Very common.</w:t>
            </w:r>
          </w:p>
        </w:tc>
      </w:tr>
      <w:tr w:rsidR="00CA4205">
        <w:tblPrEx>
          <w:tblCellMar>
            <w:top w:w="0" w:type="dxa"/>
            <w:bottom w:w="0" w:type="dxa"/>
          </w:tblCellMar>
        </w:tblPrEx>
        <w:tc>
          <w:tcPr>
            <w:tcW w:w="2700" w:type="dxa"/>
            <w:shd w:val="clear" w:color="auto" w:fill="FFFFFF"/>
            <w:tcMar>
              <w:top w:w="60" w:type="dxa"/>
              <w:left w:w="80" w:type="dxa"/>
              <w:bottom w:w="60" w:type="dxa"/>
              <w:right w:w="80" w:type="dxa"/>
            </w:tcMar>
            <w:vAlign w:val="center"/>
          </w:tcPr>
          <w:p w:rsidR="00CA4205" w:rsidRDefault="000F7439">
            <w:r>
              <w:rPr>
                <w:b/>
                <w:bCs/>
                <w:sz w:val="19"/>
                <w:szCs w:val="19"/>
              </w:rPr>
              <w:t xml:space="preserve">Hyundai </w:t>
            </w:r>
            <w:proofErr w:type="spellStart"/>
            <w:r>
              <w:rPr>
                <w:b/>
                <w:bCs/>
                <w:sz w:val="19"/>
                <w:szCs w:val="19"/>
              </w:rPr>
              <w:t>Creta</w:t>
            </w:r>
            <w:proofErr w:type="spellEnd"/>
            <w:r>
              <w:rPr>
                <w:b/>
                <w:bCs/>
                <w:sz w:val="19"/>
                <w:szCs w:val="19"/>
              </w:rPr>
              <w:t xml:space="preserve"> / Venue</w:t>
            </w:r>
          </w:p>
        </w:tc>
        <w:tc>
          <w:tcPr>
            <w:tcW w:w="1700" w:type="dxa"/>
            <w:shd w:val="clear" w:color="auto" w:fill="FFFFFF"/>
            <w:tcMar>
              <w:top w:w="60" w:type="dxa"/>
              <w:left w:w="80" w:type="dxa"/>
              <w:bottom w:w="60" w:type="dxa"/>
              <w:right w:w="80" w:type="dxa"/>
            </w:tcMar>
            <w:vAlign w:val="center"/>
          </w:tcPr>
          <w:p w:rsidR="00CA4205" w:rsidRDefault="000F7439">
            <w:r>
              <w:rPr>
                <w:sz w:val="19"/>
                <w:szCs w:val="19"/>
              </w:rPr>
              <w:t>2019+ BS-VI petrol</w:t>
            </w:r>
          </w:p>
        </w:tc>
        <w:tc>
          <w:tcPr>
            <w:tcW w:w="4960" w:type="dxa"/>
            <w:shd w:val="clear" w:color="auto" w:fill="FFFFFF"/>
            <w:tcMar>
              <w:top w:w="60" w:type="dxa"/>
              <w:left w:w="80" w:type="dxa"/>
              <w:bottom w:w="60" w:type="dxa"/>
              <w:right w:w="80" w:type="dxa"/>
            </w:tcMar>
            <w:vAlign w:val="center"/>
          </w:tcPr>
          <w:p w:rsidR="00CA4205" w:rsidRDefault="000F7439">
            <w:r>
              <w:rPr>
                <w:sz w:val="19"/>
                <w:szCs w:val="19"/>
              </w:rPr>
              <w:t>Modern Hyundai/Kia CAN platform, strong standard compliance expected, extremely common SUV — high availability.</w:t>
            </w:r>
          </w:p>
        </w:tc>
      </w:tr>
      <w:tr w:rsidR="00CA4205">
        <w:tblPrEx>
          <w:tblCellMar>
            <w:top w:w="0" w:type="dxa"/>
            <w:bottom w:w="0" w:type="dxa"/>
          </w:tblCellMar>
        </w:tblPrEx>
        <w:tc>
          <w:tcPr>
            <w:tcW w:w="2700" w:type="dxa"/>
            <w:shd w:val="clear" w:color="auto" w:fill="F2F2F2"/>
            <w:tcMar>
              <w:top w:w="60" w:type="dxa"/>
              <w:left w:w="80" w:type="dxa"/>
              <w:bottom w:w="60" w:type="dxa"/>
              <w:right w:w="80" w:type="dxa"/>
            </w:tcMar>
            <w:vAlign w:val="center"/>
          </w:tcPr>
          <w:p w:rsidR="00CA4205" w:rsidRDefault="000F7439">
            <w:r>
              <w:rPr>
                <w:b/>
                <w:bCs/>
                <w:sz w:val="19"/>
                <w:szCs w:val="19"/>
              </w:rPr>
              <w:t xml:space="preserve">Tata </w:t>
            </w:r>
            <w:proofErr w:type="spellStart"/>
            <w:r>
              <w:rPr>
                <w:b/>
                <w:bCs/>
                <w:sz w:val="19"/>
                <w:szCs w:val="19"/>
              </w:rPr>
              <w:t>Nexon</w:t>
            </w:r>
            <w:proofErr w:type="spellEnd"/>
            <w:r>
              <w:rPr>
                <w:b/>
                <w:bCs/>
                <w:sz w:val="19"/>
                <w:szCs w:val="19"/>
              </w:rPr>
              <w:t xml:space="preserve"> / Tiago / </w:t>
            </w:r>
            <w:proofErr w:type="spellStart"/>
            <w:r>
              <w:rPr>
                <w:b/>
                <w:bCs/>
                <w:sz w:val="19"/>
                <w:szCs w:val="19"/>
              </w:rPr>
              <w:t>Altroz</w:t>
            </w:r>
            <w:proofErr w:type="spellEnd"/>
          </w:p>
        </w:tc>
        <w:tc>
          <w:tcPr>
            <w:tcW w:w="1700" w:type="dxa"/>
            <w:shd w:val="clear" w:color="auto" w:fill="F2F2F2"/>
            <w:tcMar>
              <w:top w:w="60" w:type="dxa"/>
              <w:left w:w="80" w:type="dxa"/>
              <w:bottom w:w="60" w:type="dxa"/>
              <w:right w:w="80" w:type="dxa"/>
            </w:tcMar>
            <w:vAlign w:val="center"/>
          </w:tcPr>
          <w:p w:rsidR="00CA4205" w:rsidRDefault="000F7439">
            <w:r>
              <w:rPr>
                <w:sz w:val="19"/>
                <w:szCs w:val="19"/>
              </w:rPr>
              <w:t>2020+ BS-VI petrol</w:t>
            </w:r>
          </w:p>
        </w:tc>
        <w:tc>
          <w:tcPr>
            <w:tcW w:w="4960" w:type="dxa"/>
            <w:shd w:val="clear" w:color="auto" w:fill="F2F2F2"/>
            <w:tcMar>
              <w:top w:w="60" w:type="dxa"/>
              <w:left w:w="80" w:type="dxa"/>
              <w:bottom w:w="60" w:type="dxa"/>
              <w:right w:w="80" w:type="dxa"/>
            </w:tcMar>
            <w:vAlign w:val="center"/>
          </w:tcPr>
          <w:p w:rsidR="00CA4205" w:rsidRDefault="000F7439">
            <w:r>
              <w:rPr>
                <w:sz w:val="19"/>
                <w:szCs w:val="19"/>
              </w:rPr>
              <w:t>Petrol variants use the Bosch ME17.9 ECU, standard-tool-friendly. Buy/borrow the PETROL variant — diesel uses a newer ECU (CAN-FD) needing a fancier scanner.</w:t>
            </w:r>
          </w:p>
        </w:tc>
      </w:tr>
      <w:tr w:rsidR="00CA4205">
        <w:tblPrEx>
          <w:tblCellMar>
            <w:top w:w="0" w:type="dxa"/>
            <w:bottom w:w="0" w:type="dxa"/>
          </w:tblCellMar>
        </w:tblPrEx>
        <w:tc>
          <w:tcPr>
            <w:tcW w:w="2700" w:type="dxa"/>
            <w:shd w:val="clear" w:color="auto" w:fill="FFFFFF"/>
            <w:tcMar>
              <w:top w:w="60" w:type="dxa"/>
              <w:left w:w="80" w:type="dxa"/>
              <w:bottom w:w="60" w:type="dxa"/>
              <w:right w:w="80" w:type="dxa"/>
            </w:tcMar>
            <w:vAlign w:val="center"/>
          </w:tcPr>
          <w:p w:rsidR="00CA4205" w:rsidRDefault="000F7439">
            <w:r>
              <w:rPr>
                <w:b/>
                <w:bCs/>
                <w:sz w:val="19"/>
                <w:szCs w:val="19"/>
              </w:rPr>
              <w:t>Honda City / Amaze / Jazz</w:t>
            </w:r>
          </w:p>
        </w:tc>
        <w:tc>
          <w:tcPr>
            <w:tcW w:w="1700" w:type="dxa"/>
            <w:shd w:val="clear" w:color="auto" w:fill="FFFFFF"/>
            <w:tcMar>
              <w:top w:w="60" w:type="dxa"/>
              <w:left w:w="80" w:type="dxa"/>
              <w:bottom w:w="60" w:type="dxa"/>
              <w:right w:w="80" w:type="dxa"/>
            </w:tcMar>
            <w:vAlign w:val="center"/>
          </w:tcPr>
          <w:p w:rsidR="00CA4205" w:rsidRDefault="000F7439">
            <w:r>
              <w:rPr>
                <w:sz w:val="19"/>
                <w:szCs w:val="19"/>
              </w:rPr>
              <w:t>2014+ petrol</w:t>
            </w:r>
          </w:p>
        </w:tc>
        <w:tc>
          <w:tcPr>
            <w:tcW w:w="4960" w:type="dxa"/>
            <w:shd w:val="clear" w:color="auto" w:fill="FFFFFF"/>
            <w:tcMar>
              <w:top w:w="60" w:type="dxa"/>
              <w:left w:w="80" w:type="dxa"/>
              <w:bottom w:w="60" w:type="dxa"/>
              <w:right w:w="80" w:type="dxa"/>
            </w:tcMar>
            <w:vAlign w:val="center"/>
          </w:tcPr>
          <w:p w:rsidR="00CA4205" w:rsidRDefault="000F7439">
            <w:r>
              <w:rPr>
                <w:sz w:val="19"/>
                <w:szCs w:val="19"/>
              </w:rPr>
              <w:t>Standard PIDs work; Honda dealership access is common if verification is wanted. Some fuel-trim PIDs can be quirky, but the core set is fine.</w:t>
            </w:r>
          </w:p>
        </w:tc>
      </w:tr>
    </w:tbl>
    <w:p w:rsidR="00CA4205" w:rsidRDefault="000F7439">
      <w:pPr>
        <w:pStyle w:val="Heading1"/>
        <w:spacing w:before="280" w:after="140"/>
      </w:pPr>
      <w:r>
        <w:rPr>
          <w:b/>
          <w:bCs/>
          <w:color w:val="000000"/>
          <w:sz w:val="30"/>
          <w:szCs w:val="30"/>
        </w:rPr>
        <w:t>4. Tier 2 — Works, With Caveats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A4205">
        <w:tblPrEx>
          <w:tblCellMar>
            <w:top w:w="0" w:type="dxa"/>
            <w:bottom w:w="0" w:type="dxa"/>
          </w:tblCellMar>
        </w:tblPrEx>
        <w:trPr>
          <w:tblHeader/>
        </w:trPr>
        <w:tc>
          <w:tcPr>
            <w:tcW w:w="3200" w:type="dxa"/>
            <w:shd w:val="clear" w:color="auto" w:fill="2E2E2E"/>
            <w:tcMar>
              <w:top w:w="60" w:type="dxa"/>
              <w:left w:w="80" w:type="dxa"/>
              <w:bottom w:w="60" w:type="dxa"/>
              <w:right w:w="80" w:type="dxa"/>
            </w:tcMar>
            <w:vAlign w:val="center"/>
          </w:tcPr>
          <w:p w:rsidR="00CA4205" w:rsidRDefault="000F7439">
            <w:r>
              <w:rPr>
                <w:b/>
                <w:bCs/>
                <w:color w:val="FFFFFF"/>
                <w:sz w:val="19"/>
                <w:szCs w:val="19"/>
              </w:rPr>
              <w:t>Vehicle</w:t>
            </w:r>
          </w:p>
        </w:tc>
        <w:tc>
          <w:tcPr>
            <w:tcW w:w="6160" w:type="dxa"/>
            <w:shd w:val="clear" w:color="auto" w:fill="2E2E2E"/>
            <w:tcMar>
              <w:top w:w="60" w:type="dxa"/>
              <w:left w:w="80" w:type="dxa"/>
              <w:bottom w:w="60" w:type="dxa"/>
              <w:right w:w="80" w:type="dxa"/>
            </w:tcMar>
            <w:vAlign w:val="center"/>
          </w:tcPr>
          <w:p w:rsidR="00CA4205" w:rsidRDefault="000F7439">
            <w:r>
              <w:rPr>
                <w:b/>
                <w:bCs/>
                <w:color w:val="FFFFFF"/>
                <w:sz w:val="19"/>
                <w:szCs w:val="19"/>
              </w:rPr>
              <w:t>Caveat</w:t>
            </w:r>
          </w:p>
        </w:tc>
      </w:tr>
      <w:tr w:rsidR="00CA4205">
        <w:tblPrEx>
          <w:tblCellMar>
            <w:top w:w="0" w:type="dxa"/>
            <w:bottom w:w="0" w:type="dxa"/>
          </w:tblCellMar>
        </w:tblPrEx>
        <w:tc>
          <w:tcPr>
            <w:tcW w:w="3200" w:type="dxa"/>
            <w:shd w:val="clear" w:color="auto" w:fill="FFFFFF"/>
            <w:tcMar>
              <w:top w:w="60" w:type="dxa"/>
              <w:left w:w="80" w:type="dxa"/>
              <w:bottom w:w="60" w:type="dxa"/>
              <w:right w:w="80" w:type="dxa"/>
            </w:tcMar>
            <w:vAlign w:val="center"/>
          </w:tcPr>
          <w:p w:rsidR="00CA4205" w:rsidRDefault="000F7439">
            <w:r>
              <w:rPr>
                <w:b/>
                <w:bCs/>
                <w:sz w:val="19"/>
                <w:szCs w:val="19"/>
              </w:rPr>
              <w:t xml:space="preserve">Toyota </w:t>
            </w:r>
            <w:proofErr w:type="spellStart"/>
            <w:r>
              <w:rPr>
                <w:b/>
                <w:bCs/>
                <w:sz w:val="19"/>
                <w:szCs w:val="19"/>
              </w:rPr>
              <w:t>Innova</w:t>
            </w:r>
            <w:proofErr w:type="spellEnd"/>
            <w:r>
              <w:rPr>
                <w:b/>
                <w:bCs/>
                <w:sz w:val="19"/>
                <w:szCs w:val="19"/>
              </w:rPr>
              <w:t xml:space="preserve"> </w:t>
            </w:r>
            <w:proofErr w:type="spellStart"/>
            <w:r>
              <w:rPr>
                <w:b/>
                <w:bCs/>
                <w:sz w:val="19"/>
                <w:szCs w:val="19"/>
              </w:rPr>
              <w:t>Crysta</w:t>
            </w:r>
            <w:proofErr w:type="spellEnd"/>
            <w:r>
              <w:rPr>
                <w:b/>
                <w:bCs/>
                <w:sz w:val="19"/>
                <w:szCs w:val="19"/>
              </w:rPr>
              <w:t xml:space="preserve"> / </w:t>
            </w:r>
            <w:proofErr w:type="spellStart"/>
            <w:r>
              <w:rPr>
                <w:b/>
                <w:bCs/>
                <w:sz w:val="19"/>
                <w:szCs w:val="19"/>
              </w:rPr>
              <w:t>Glanza</w:t>
            </w:r>
            <w:proofErr w:type="spellEnd"/>
            <w:r>
              <w:rPr>
                <w:b/>
                <w:bCs/>
                <w:sz w:val="19"/>
                <w:szCs w:val="19"/>
              </w:rPr>
              <w:t xml:space="preserve"> / </w:t>
            </w:r>
            <w:proofErr w:type="spellStart"/>
            <w:r>
              <w:rPr>
                <w:b/>
                <w:bCs/>
                <w:sz w:val="19"/>
                <w:szCs w:val="19"/>
              </w:rPr>
              <w:t>Etios</w:t>
            </w:r>
            <w:proofErr w:type="spellEnd"/>
          </w:p>
        </w:tc>
        <w:tc>
          <w:tcPr>
            <w:tcW w:w="6160" w:type="dxa"/>
            <w:shd w:val="clear" w:color="auto" w:fill="FFFFFF"/>
            <w:tcMar>
              <w:top w:w="60" w:type="dxa"/>
              <w:left w:w="80" w:type="dxa"/>
              <w:bottom w:w="60" w:type="dxa"/>
              <w:right w:w="80" w:type="dxa"/>
            </w:tcMar>
            <w:vAlign w:val="center"/>
          </w:tcPr>
          <w:p w:rsidR="00CA4205" w:rsidRDefault="000F7439">
            <w:r>
              <w:rPr>
                <w:sz w:val="19"/>
                <w:szCs w:val="19"/>
              </w:rPr>
              <w:t>Standard PIDs (RPM, speed, coolant) fine, but Toyota engines often OMIT MAF (0x10), using a MAP sensor instead — so fuel-mileage (which needs MAF) may not compute. Everything else works.</w:t>
            </w:r>
          </w:p>
        </w:tc>
      </w:tr>
      <w:tr w:rsidR="00CA4205">
        <w:tblPrEx>
          <w:tblCellMar>
            <w:top w:w="0" w:type="dxa"/>
            <w:bottom w:w="0" w:type="dxa"/>
          </w:tblCellMar>
        </w:tblPrEx>
        <w:tc>
          <w:tcPr>
            <w:tcW w:w="3200" w:type="dxa"/>
            <w:shd w:val="clear" w:color="auto" w:fill="FFF3CD"/>
            <w:tcMar>
              <w:top w:w="60" w:type="dxa"/>
              <w:left w:w="80" w:type="dxa"/>
              <w:bottom w:w="60" w:type="dxa"/>
              <w:right w:w="80" w:type="dxa"/>
            </w:tcMar>
            <w:vAlign w:val="center"/>
          </w:tcPr>
          <w:p w:rsidR="00CA4205" w:rsidRDefault="000F7439">
            <w:r>
              <w:rPr>
                <w:b/>
                <w:bCs/>
                <w:sz w:val="19"/>
                <w:szCs w:val="19"/>
              </w:rPr>
              <w:t xml:space="preserve">Older </w:t>
            </w:r>
            <w:proofErr w:type="spellStart"/>
            <w:r>
              <w:rPr>
                <w:b/>
                <w:bCs/>
                <w:sz w:val="19"/>
                <w:szCs w:val="19"/>
              </w:rPr>
              <w:t>Maruti</w:t>
            </w:r>
            <w:proofErr w:type="spellEnd"/>
            <w:r>
              <w:rPr>
                <w:b/>
                <w:bCs/>
                <w:sz w:val="19"/>
                <w:szCs w:val="19"/>
              </w:rPr>
              <w:t xml:space="preserve"> (Swift/</w:t>
            </w:r>
            <w:proofErr w:type="spellStart"/>
            <w:r>
              <w:rPr>
                <w:b/>
                <w:bCs/>
                <w:sz w:val="19"/>
                <w:szCs w:val="19"/>
              </w:rPr>
              <w:t>Celerio</w:t>
            </w:r>
            <w:proofErr w:type="spellEnd"/>
            <w:r>
              <w:rPr>
                <w:b/>
                <w:bCs/>
                <w:sz w:val="19"/>
                <w:szCs w:val="19"/>
              </w:rPr>
              <w:t xml:space="preserve"> 2015–2017 pre-facelift)</w:t>
            </w:r>
          </w:p>
        </w:tc>
        <w:tc>
          <w:tcPr>
            <w:tcW w:w="6160" w:type="dxa"/>
            <w:shd w:val="clear" w:color="auto" w:fill="FFF3CD"/>
            <w:tcMar>
              <w:top w:w="60" w:type="dxa"/>
              <w:left w:w="80" w:type="dxa"/>
              <w:bottom w:w="60" w:type="dxa"/>
              <w:right w:w="80" w:type="dxa"/>
            </w:tcMar>
            <w:vAlign w:val="center"/>
          </w:tcPr>
          <w:p w:rsidR="00CA4205" w:rsidRDefault="000F7439">
            <w:r>
              <w:rPr>
                <w:sz w:val="19"/>
                <w:szCs w:val="19"/>
              </w:rPr>
              <w:t xml:space="preserve">Some early units respond “service not supported”, or use a </w:t>
            </w:r>
            <w:proofErr w:type="spellStart"/>
            <w:r>
              <w:rPr>
                <w:sz w:val="19"/>
                <w:szCs w:val="19"/>
              </w:rPr>
              <w:t>non-CAN</w:t>
            </w:r>
            <w:proofErr w:type="spellEnd"/>
            <w:r>
              <w:rPr>
                <w:sz w:val="19"/>
                <w:szCs w:val="19"/>
              </w:rPr>
              <w:t xml:space="preserve"> native protocol (ISO 9141 K-line) under the hood. Riskier — post-2018 </w:t>
            </w:r>
            <w:proofErr w:type="spellStart"/>
            <w:r>
              <w:rPr>
                <w:sz w:val="19"/>
                <w:szCs w:val="19"/>
              </w:rPr>
              <w:t>Maruti</w:t>
            </w:r>
            <w:proofErr w:type="spellEnd"/>
            <w:r>
              <w:rPr>
                <w:sz w:val="19"/>
                <w:szCs w:val="19"/>
              </w:rPr>
              <w:t xml:space="preserve"> is the safer bet.</w:t>
            </w:r>
          </w:p>
        </w:tc>
      </w:tr>
      <w:tr w:rsidR="00CA4205">
        <w:tblPrEx>
          <w:tblCellMar>
            <w:top w:w="0" w:type="dxa"/>
            <w:bottom w:w="0" w:type="dxa"/>
          </w:tblCellMar>
        </w:tblPrEx>
        <w:tc>
          <w:tcPr>
            <w:tcW w:w="3200" w:type="dxa"/>
            <w:shd w:val="clear" w:color="auto" w:fill="FFFFFF"/>
            <w:tcMar>
              <w:top w:w="60" w:type="dxa"/>
              <w:left w:w="80" w:type="dxa"/>
              <w:bottom w:w="60" w:type="dxa"/>
              <w:right w:w="80" w:type="dxa"/>
            </w:tcMar>
            <w:vAlign w:val="center"/>
          </w:tcPr>
          <w:p w:rsidR="00CA4205" w:rsidRDefault="000F7439">
            <w:r>
              <w:rPr>
                <w:b/>
                <w:bCs/>
                <w:sz w:val="19"/>
                <w:szCs w:val="19"/>
              </w:rPr>
              <w:t>Mahindra XUV / Scorpio; older diesels</w:t>
            </w:r>
          </w:p>
        </w:tc>
        <w:tc>
          <w:tcPr>
            <w:tcW w:w="6160" w:type="dxa"/>
            <w:shd w:val="clear" w:color="auto" w:fill="FFFFFF"/>
            <w:tcMar>
              <w:top w:w="60" w:type="dxa"/>
              <w:left w:w="80" w:type="dxa"/>
              <w:bottom w:w="60" w:type="dxa"/>
              <w:right w:w="80" w:type="dxa"/>
            </w:tcMar>
            <w:vAlign w:val="center"/>
          </w:tcPr>
          <w:p w:rsidR="00CA4205" w:rsidRDefault="000F7439">
            <w:r>
              <w:rPr>
                <w:sz w:val="19"/>
                <w:szCs w:val="19"/>
              </w:rPr>
              <w:t>Standard emissions PIDs still read, but expect more man</w:t>
            </w:r>
            <w:r>
              <w:rPr>
                <w:sz w:val="19"/>
                <w:szCs w:val="19"/>
              </w:rPr>
              <w:t>ufacturer-specific fields to be null. Diesels can add quirks.</w:t>
            </w:r>
          </w:p>
        </w:tc>
      </w:tr>
    </w:tbl>
    <w:p w:rsidR="00CA4205" w:rsidRDefault="000F7439">
      <w:pPr>
        <w:pStyle w:val="Heading1"/>
        <w:spacing w:before="280" w:after="140"/>
      </w:pPr>
      <w:r>
        <w:rPr>
          <w:b/>
          <w:bCs/>
          <w:color w:val="000000"/>
          <w:sz w:val="30"/>
          <w:szCs w:val="30"/>
        </w:rPr>
        <w:t>5. Tier 3 — Avoid for the First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A4205">
        <w:tblPrEx>
          <w:tblCellMar>
            <w:top w:w="0" w:type="dxa"/>
            <w:bottom w:w="0" w:type="dxa"/>
          </w:tblCellMar>
        </w:tblPrEx>
        <w:trPr>
          <w:tblHeader/>
        </w:trPr>
        <w:tc>
          <w:tcPr>
            <w:tcW w:w="3200" w:type="dxa"/>
            <w:shd w:val="clear" w:color="auto" w:fill="2E2E2E"/>
            <w:tcMar>
              <w:top w:w="60" w:type="dxa"/>
              <w:left w:w="80" w:type="dxa"/>
              <w:bottom w:w="60" w:type="dxa"/>
              <w:right w:w="80" w:type="dxa"/>
            </w:tcMar>
            <w:vAlign w:val="center"/>
          </w:tcPr>
          <w:p w:rsidR="00CA4205" w:rsidRDefault="000F7439">
            <w:r>
              <w:rPr>
                <w:b/>
                <w:bCs/>
                <w:color w:val="FFFFFF"/>
                <w:sz w:val="19"/>
                <w:szCs w:val="19"/>
              </w:rPr>
              <w:t>Avoid</w:t>
            </w:r>
          </w:p>
        </w:tc>
        <w:tc>
          <w:tcPr>
            <w:tcW w:w="6160" w:type="dxa"/>
            <w:shd w:val="clear" w:color="auto" w:fill="2E2E2E"/>
            <w:tcMar>
              <w:top w:w="60" w:type="dxa"/>
              <w:left w:w="80" w:type="dxa"/>
              <w:bottom w:w="60" w:type="dxa"/>
              <w:right w:w="80" w:type="dxa"/>
            </w:tcMar>
            <w:vAlign w:val="center"/>
          </w:tcPr>
          <w:p w:rsidR="00CA4205" w:rsidRDefault="000F7439">
            <w:r>
              <w:rPr>
                <w:b/>
                <w:bCs/>
                <w:color w:val="FFFFFF"/>
                <w:sz w:val="19"/>
                <w:szCs w:val="19"/>
              </w:rPr>
              <w:t>Why</w:t>
            </w:r>
          </w:p>
        </w:tc>
      </w:tr>
      <w:tr w:rsidR="00CA4205">
        <w:tblPrEx>
          <w:tblCellMar>
            <w:top w:w="0" w:type="dxa"/>
            <w:bottom w:w="0" w:type="dxa"/>
          </w:tblCellMar>
        </w:tblPrEx>
        <w:tc>
          <w:tcPr>
            <w:tcW w:w="3200" w:type="dxa"/>
            <w:shd w:val="clear" w:color="auto" w:fill="FFFFFF"/>
            <w:tcMar>
              <w:top w:w="60" w:type="dxa"/>
              <w:left w:w="80" w:type="dxa"/>
              <w:bottom w:w="60" w:type="dxa"/>
              <w:right w:w="80" w:type="dxa"/>
            </w:tcMar>
            <w:vAlign w:val="center"/>
          </w:tcPr>
          <w:p w:rsidR="00CA4205" w:rsidRDefault="000F7439">
            <w:r>
              <w:rPr>
                <w:b/>
                <w:bCs/>
                <w:sz w:val="19"/>
                <w:szCs w:val="19"/>
              </w:rPr>
              <w:t>Pre-2010 cars</w:t>
            </w:r>
          </w:p>
        </w:tc>
        <w:tc>
          <w:tcPr>
            <w:tcW w:w="6160" w:type="dxa"/>
            <w:shd w:val="clear" w:color="auto" w:fill="FFFFFF"/>
            <w:tcMar>
              <w:top w:w="60" w:type="dxa"/>
              <w:left w:w="80" w:type="dxa"/>
              <w:bottom w:w="60" w:type="dxa"/>
              <w:right w:w="80" w:type="dxa"/>
            </w:tcMar>
            <w:vAlign w:val="center"/>
          </w:tcPr>
          <w:p w:rsidR="00CA4205" w:rsidRDefault="000F7439">
            <w:r>
              <w:rPr>
                <w:sz w:val="19"/>
                <w:szCs w:val="19"/>
              </w:rPr>
              <w:t>May predate the OBD-II CAN mandate in India; some use older/non-standard protocols a generic reader cannot decode cleanly.</w:t>
            </w:r>
          </w:p>
        </w:tc>
      </w:tr>
      <w:tr w:rsidR="00CA4205">
        <w:tblPrEx>
          <w:tblCellMar>
            <w:top w:w="0" w:type="dxa"/>
            <w:bottom w:w="0" w:type="dxa"/>
          </w:tblCellMar>
        </w:tblPrEx>
        <w:tc>
          <w:tcPr>
            <w:tcW w:w="3200" w:type="dxa"/>
            <w:shd w:val="clear" w:color="auto" w:fill="FBE9E7"/>
            <w:tcMar>
              <w:top w:w="60" w:type="dxa"/>
              <w:left w:w="80" w:type="dxa"/>
              <w:bottom w:w="60" w:type="dxa"/>
              <w:right w:w="80" w:type="dxa"/>
            </w:tcMar>
            <w:vAlign w:val="center"/>
          </w:tcPr>
          <w:p w:rsidR="00CA4205" w:rsidRDefault="000F7439">
            <w:r>
              <w:rPr>
                <w:b/>
                <w:bCs/>
                <w:sz w:val="19"/>
                <w:szCs w:val="19"/>
              </w:rPr>
              <w:t>CAN-FD diesels (some 2021+ Tata / newer premium)</w:t>
            </w:r>
          </w:p>
        </w:tc>
        <w:tc>
          <w:tcPr>
            <w:tcW w:w="6160" w:type="dxa"/>
            <w:shd w:val="clear" w:color="auto" w:fill="FBE9E7"/>
            <w:tcMar>
              <w:top w:w="60" w:type="dxa"/>
              <w:left w:w="80" w:type="dxa"/>
              <w:bottom w:w="60" w:type="dxa"/>
              <w:right w:w="80" w:type="dxa"/>
            </w:tcMar>
            <w:vAlign w:val="center"/>
          </w:tcPr>
          <w:p w:rsidR="00CA4205" w:rsidRDefault="000F7439">
            <w:r>
              <w:rPr>
                <w:sz w:val="19"/>
                <w:szCs w:val="19"/>
              </w:rPr>
              <w:t>Need a CAN-FD-capable adapter, not a basic ELM327.</w:t>
            </w:r>
          </w:p>
        </w:tc>
      </w:tr>
      <w:tr w:rsidR="00CA4205">
        <w:tblPrEx>
          <w:tblCellMar>
            <w:top w:w="0" w:type="dxa"/>
            <w:bottom w:w="0" w:type="dxa"/>
          </w:tblCellMar>
        </w:tblPrEx>
        <w:tc>
          <w:tcPr>
            <w:tcW w:w="3200" w:type="dxa"/>
            <w:shd w:val="clear" w:color="auto" w:fill="FFFFFF"/>
            <w:tcMar>
              <w:top w:w="60" w:type="dxa"/>
              <w:left w:w="80" w:type="dxa"/>
              <w:bottom w:w="60" w:type="dxa"/>
              <w:right w:w="80" w:type="dxa"/>
            </w:tcMar>
            <w:vAlign w:val="center"/>
          </w:tcPr>
          <w:p w:rsidR="00CA4205" w:rsidRDefault="000F7439">
            <w:r>
              <w:rPr>
                <w:b/>
                <w:bCs/>
                <w:sz w:val="19"/>
                <w:szCs w:val="19"/>
              </w:rPr>
              <w:t>Very new premium / luxury / EV</w:t>
            </w:r>
          </w:p>
        </w:tc>
        <w:tc>
          <w:tcPr>
            <w:tcW w:w="6160" w:type="dxa"/>
            <w:shd w:val="clear" w:color="auto" w:fill="FFFFFF"/>
            <w:tcMar>
              <w:top w:w="60" w:type="dxa"/>
              <w:left w:w="80" w:type="dxa"/>
              <w:bottom w:w="60" w:type="dxa"/>
              <w:right w:w="80" w:type="dxa"/>
            </w:tcMar>
            <w:vAlign w:val="center"/>
          </w:tcPr>
          <w:p w:rsidR="00CA4205" w:rsidRDefault="000F7439">
            <w:r>
              <w:rPr>
                <w:sz w:val="19"/>
                <w:szCs w:val="19"/>
              </w:rPr>
              <w:t>Often gate the OBD port behind security and are less openly documented.</w:t>
            </w:r>
          </w:p>
        </w:tc>
      </w:tr>
    </w:tbl>
    <w:p w:rsidR="00CA4205" w:rsidRDefault="000F7439">
      <w:r>
        <w:br w:type="page"/>
      </w:r>
    </w:p>
    <w:p w:rsidR="00CA4205" w:rsidRDefault="000F7439">
      <w:pPr>
        <w:pStyle w:val="Heading1"/>
        <w:spacing w:before="280" w:after="140"/>
      </w:pPr>
      <w:r>
        <w:rPr>
          <w:b/>
          <w:bCs/>
          <w:color w:val="000000"/>
          <w:sz w:val="30"/>
          <w:szCs w:val="30"/>
        </w:rPr>
        <w:lastRenderedPageBreak/>
        <w:t>6. What Data to Expect From Any of These</w:t>
      </w:r>
    </w:p>
    <w:p w:rsidR="00CA4205" w:rsidRDefault="000F7439">
      <w:pPr>
        <w:spacing w:after="120" w:line="276" w:lineRule="auto"/>
      </w:pPr>
      <w:r>
        <w:t>Regardless of which Tier 1 car is chosen, the fields split like this: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100"/>
        <w:gridCol w:w="3660"/>
      </w:tblGrid>
      <w:tr w:rsidR="00CA4205">
        <w:tblPrEx>
          <w:tblCellMar>
            <w:top w:w="0" w:type="dxa"/>
            <w:bottom w:w="0" w:type="dxa"/>
          </w:tblCellMar>
        </w:tblPrEx>
        <w:trPr>
          <w:tblHeader/>
        </w:trPr>
        <w:tc>
          <w:tcPr>
            <w:tcW w:w="3600" w:type="dxa"/>
            <w:shd w:val="clear" w:color="auto" w:fill="2E2E2E"/>
            <w:tcMar>
              <w:top w:w="60" w:type="dxa"/>
              <w:left w:w="80" w:type="dxa"/>
              <w:bottom w:w="60" w:type="dxa"/>
              <w:right w:w="80" w:type="dxa"/>
            </w:tcMar>
            <w:vAlign w:val="center"/>
          </w:tcPr>
          <w:p w:rsidR="00CA4205" w:rsidRDefault="000F7439">
            <w:r>
              <w:rPr>
                <w:b/>
                <w:bCs/>
                <w:color w:val="FFFFFF"/>
                <w:sz w:val="19"/>
                <w:szCs w:val="19"/>
              </w:rPr>
              <w:t>Field(s)</w:t>
            </w:r>
          </w:p>
        </w:tc>
        <w:tc>
          <w:tcPr>
            <w:tcW w:w="2100" w:type="dxa"/>
            <w:shd w:val="clear" w:color="auto" w:fill="2E2E2E"/>
            <w:tcMar>
              <w:top w:w="60" w:type="dxa"/>
              <w:left w:w="80" w:type="dxa"/>
              <w:bottom w:w="60" w:type="dxa"/>
              <w:right w:w="80" w:type="dxa"/>
            </w:tcMar>
            <w:vAlign w:val="center"/>
          </w:tcPr>
          <w:p w:rsidR="00CA4205" w:rsidRDefault="000F7439">
            <w:r>
              <w:rPr>
                <w:b/>
                <w:bCs/>
                <w:color w:val="FFFFFF"/>
                <w:sz w:val="19"/>
                <w:szCs w:val="19"/>
              </w:rPr>
              <w:t>Expectation</w:t>
            </w:r>
          </w:p>
        </w:tc>
        <w:tc>
          <w:tcPr>
            <w:tcW w:w="3660" w:type="dxa"/>
            <w:shd w:val="clear" w:color="auto" w:fill="2E2E2E"/>
            <w:tcMar>
              <w:top w:w="60" w:type="dxa"/>
              <w:left w:w="80" w:type="dxa"/>
              <w:bottom w:w="60" w:type="dxa"/>
              <w:right w:w="80" w:type="dxa"/>
            </w:tcMar>
            <w:vAlign w:val="center"/>
          </w:tcPr>
          <w:p w:rsidR="00CA4205" w:rsidRDefault="000F7439">
            <w:r>
              <w:rPr>
                <w:b/>
                <w:bCs/>
                <w:color w:val="FFFFFF"/>
                <w:sz w:val="19"/>
                <w:szCs w:val="19"/>
              </w:rPr>
              <w:t>Note</w:t>
            </w:r>
          </w:p>
        </w:tc>
      </w:tr>
      <w:tr w:rsidR="00CA4205">
        <w:tblPrEx>
          <w:tblCellMar>
            <w:top w:w="0" w:type="dxa"/>
            <w:bottom w:w="0" w:type="dxa"/>
          </w:tblCellMar>
        </w:tblPrEx>
        <w:tc>
          <w:tcPr>
            <w:tcW w:w="3600" w:type="dxa"/>
            <w:shd w:val="clear" w:color="auto" w:fill="FFFFFF"/>
            <w:tcMar>
              <w:top w:w="60" w:type="dxa"/>
              <w:left w:w="80" w:type="dxa"/>
              <w:bottom w:w="60" w:type="dxa"/>
              <w:right w:w="80" w:type="dxa"/>
            </w:tcMar>
            <w:vAlign w:val="center"/>
          </w:tcPr>
          <w:p w:rsidR="00CA4205" w:rsidRDefault="000F7439">
            <w:r>
              <w:rPr>
                <w:sz w:val="19"/>
                <w:szCs w:val="19"/>
              </w:rPr>
              <w:t>RPM, speed, coolant, engine load, throttle, intake temp, fuel level, DTC count</w:t>
            </w:r>
          </w:p>
        </w:tc>
        <w:tc>
          <w:tcPr>
            <w:tcW w:w="2100" w:type="dxa"/>
            <w:shd w:val="clear" w:color="auto" w:fill="FFFFFF"/>
            <w:tcMar>
              <w:top w:w="60" w:type="dxa"/>
              <w:left w:w="80" w:type="dxa"/>
              <w:bottom w:w="60" w:type="dxa"/>
              <w:right w:w="80" w:type="dxa"/>
            </w:tcMar>
            <w:vAlign w:val="center"/>
          </w:tcPr>
          <w:p w:rsidR="00CA4205" w:rsidRDefault="000F7439">
            <w:r>
              <w:rPr>
                <w:b/>
                <w:bCs/>
                <w:sz w:val="19"/>
                <w:szCs w:val="19"/>
              </w:rPr>
              <w:t>Expected to work</w:t>
            </w:r>
          </w:p>
        </w:tc>
        <w:tc>
          <w:tcPr>
            <w:tcW w:w="3660" w:type="dxa"/>
            <w:shd w:val="clear" w:color="auto" w:fill="FFFFFF"/>
            <w:tcMar>
              <w:top w:w="60" w:type="dxa"/>
              <w:left w:w="80" w:type="dxa"/>
              <w:bottom w:w="60" w:type="dxa"/>
              <w:right w:w="80" w:type="dxa"/>
            </w:tcMar>
            <w:vAlign w:val="center"/>
          </w:tcPr>
          <w:p w:rsidR="00CA4205" w:rsidRDefault="000F7439">
            <w:r>
              <w:rPr>
                <w:sz w:val="19"/>
                <w:szCs w:val="19"/>
              </w:rPr>
              <w:t>Standard OBD-II parameters — reliable on any Tier 1 car.</w:t>
            </w:r>
          </w:p>
        </w:tc>
      </w:tr>
      <w:tr w:rsidR="00CA4205">
        <w:tblPrEx>
          <w:tblCellMar>
            <w:top w:w="0" w:type="dxa"/>
            <w:bottom w:w="0" w:type="dxa"/>
          </w:tblCellMar>
        </w:tblPrEx>
        <w:tc>
          <w:tcPr>
            <w:tcW w:w="3600" w:type="dxa"/>
            <w:shd w:val="clear" w:color="auto" w:fill="F2F2F2"/>
            <w:tcMar>
              <w:top w:w="60" w:type="dxa"/>
              <w:left w:w="80" w:type="dxa"/>
              <w:bottom w:w="60" w:type="dxa"/>
              <w:right w:w="80" w:type="dxa"/>
            </w:tcMar>
            <w:vAlign w:val="center"/>
          </w:tcPr>
          <w:p w:rsidR="00CA4205" w:rsidRDefault="000F7439">
            <w:r>
              <w:rPr>
                <w:sz w:val="19"/>
                <w:szCs w:val="19"/>
              </w:rPr>
              <w:t>MAF (air flow)</w:t>
            </w:r>
          </w:p>
        </w:tc>
        <w:tc>
          <w:tcPr>
            <w:tcW w:w="2100" w:type="dxa"/>
            <w:shd w:val="clear" w:color="auto" w:fill="F2F2F2"/>
            <w:tcMar>
              <w:top w:w="60" w:type="dxa"/>
              <w:left w:w="80" w:type="dxa"/>
              <w:bottom w:w="60" w:type="dxa"/>
              <w:right w:w="80" w:type="dxa"/>
            </w:tcMar>
            <w:vAlign w:val="center"/>
          </w:tcPr>
          <w:p w:rsidR="00CA4205" w:rsidRDefault="000F7439">
            <w:r>
              <w:rPr>
                <w:b/>
                <w:bCs/>
                <w:sz w:val="19"/>
                <w:szCs w:val="19"/>
              </w:rPr>
              <w:t>Car-dependent</w:t>
            </w:r>
          </w:p>
        </w:tc>
        <w:tc>
          <w:tcPr>
            <w:tcW w:w="3660" w:type="dxa"/>
            <w:shd w:val="clear" w:color="auto" w:fill="F2F2F2"/>
            <w:tcMar>
              <w:top w:w="60" w:type="dxa"/>
              <w:left w:w="80" w:type="dxa"/>
              <w:bottom w:w="60" w:type="dxa"/>
              <w:right w:w="80" w:type="dxa"/>
            </w:tcMar>
            <w:vAlign w:val="center"/>
          </w:tcPr>
          <w:p w:rsidR="00CA4205" w:rsidRDefault="000F7439">
            <w:r>
              <w:rPr>
                <w:sz w:val="19"/>
                <w:szCs w:val="19"/>
              </w:rPr>
              <w:t xml:space="preserve">Present on most </w:t>
            </w:r>
            <w:proofErr w:type="spellStart"/>
            <w:r>
              <w:rPr>
                <w:sz w:val="19"/>
                <w:szCs w:val="19"/>
              </w:rPr>
              <w:t>Maruti</w:t>
            </w:r>
            <w:proofErr w:type="spellEnd"/>
            <w:r>
              <w:rPr>
                <w:sz w:val="19"/>
                <w:szCs w:val="19"/>
              </w:rPr>
              <w:t>/Hyundai, often absent on Toyota. Fuel mileage depends on it.</w:t>
            </w:r>
          </w:p>
        </w:tc>
      </w:tr>
      <w:tr w:rsidR="00CA4205">
        <w:tblPrEx>
          <w:tblCellMar>
            <w:top w:w="0" w:type="dxa"/>
            <w:bottom w:w="0" w:type="dxa"/>
          </w:tblCellMar>
        </w:tblPrEx>
        <w:tc>
          <w:tcPr>
            <w:tcW w:w="3600" w:type="dxa"/>
            <w:shd w:val="clear" w:color="auto" w:fill="FFFFFF"/>
            <w:tcMar>
              <w:top w:w="60" w:type="dxa"/>
              <w:left w:w="80" w:type="dxa"/>
              <w:bottom w:w="60" w:type="dxa"/>
              <w:right w:w="80" w:type="dxa"/>
            </w:tcMar>
            <w:vAlign w:val="center"/>
          </w:tcPr>
          <w:p w:rsidR="00CA4205" w:rsidRDefault="000F7439">
            <w:r>
              <w:rPr>
                <w:sz w:val="19"/>
                <w:szCs w:val="19"/>
              </w:rPr>
              <w:t>AC status, brake, clutch %</w:t>
            </w:r>
          </w:p>
        </w:tc>
        <w:tc>
          <w:tcPr>
            <w:tcW w:w="2100" w:type="dxa"/>
            <w:shd w:val="clear" w:color="auto" w:fill="FFFFFF"/>
            <w:tcMar>
              <w:top w:w="60" w:type="dxa"/>
              <w:left w:w="80" w:type="dxa"/>
              <w:bottom w:w="60" w:type="dxa"/>
              <w:right w:w="80" w:type="dxa"/>
            </w:tcMar>
            <w:vAlign w:val="center"/>
          </w:tcPr>
          <w:p w:rsidR="00CA4205" w:rsidRDefault="000F7439">
            <w:r>
              <w:rPr>
                <w:b/>
                <w:bCs/>
                <w:sz w:val="19"/>
                <w:szCs w:val="19"/>
              </w:rPr>
              <w:t>Likely null</w:t>
            </w:r>
          </w:p>
        </w:tc>
        <w:tc>
          <w:tcPr>
            <w:tcW w:w="3660" w:type="dxa"/>
            <w:shd w:val="clear" w:color="auto" w:fill="FFFFFF"/>
            <w:tcMar>
              <w:top w:w="60" w:type="dxa"/>
              <w:left w:w="80" w:type="dxa"/>
              <w:bottom w:w="60" w:type="dxa"/>
              <w:right w:w="80" w:type="dxa"/>
            </w:tcMar>
            <w:vAlign w:val="center"/>
          </w:tcPr>
          <w:p w:rsidR="00CA4205" w:rsidRDefault="000F7439">
            <w:r>
              <w:rPr>
                <w:sz w:val="19"/>
                <w:szCs w:val="19"/>
              </w:rPr>
              <w:t>Manufacturer-specific — may be unavailable on ANY car. Not fixable by car choice.</w:t>
            </w:r>
          </w:p>
        </w:tc>
      </w:tr>
      <w:tr w:rsidR="00CA4205">
        <w:tblPrEx>
          <w:tblCellMar>
            <w:top w:w="0" w:type="dxa"/>
            <w:bottom w:w="0" w:type="dxa"/>
          </w:tblCellMar>
        </w:tblPrEx>
        <w:tc>
          <w:tcPr>
            <w:tcW w:w="3600" w:type="dxa"/>
            <w:shd w:val="clear" w:color="auto" w:fill="F2F2F2"/>
            <w:tcMar>
              <w:top w:w="60" w:type="dxa"/>
              <w:left w:w="80" w:type="dxa"/>
              <w:bottom w:w="60" w:type="dxa"/>
              <w:right w:w="80" w:type="dxa"/>
            </w:tcMar>
            <w:vAlign w:val="center"/>
          </w:tcPr>
          <w:p w:rsidR="00CA4205" w:rsidRDefault="000F7439">
            <w:r>
              <w:rPr>
                <w:sz w:val="19"/>
                <w:szCs w:val="19"/>
              </w:rPr>
              <w:t>Gear, fuel mileage</w:t>
            </w:r>
          </w:p>
        </w:tc>
        <w:tc>
          <w:tcPr>
            <w:tcW w:w="2100" w:type="dxa"/>
            <w:shd w:val="clear" w:color="auto" w:fill="F2F2F2"/>
            <w:tcMar>
              <w:top w:w="60" w:type="dxa"/>
              <w:left w:w="80" w:type="dxa"/>
              <w:bottom w:w="60" w:type="dxa"/>
              <w:right w:w="80" w:type="dxa"/>
            </w:tcMar>
            <w:vAlign w:val="center"/>
          </w:tcPr>
          <w:p w:rsidR="00CA4205" w:rsidRDefault="000F7439">
            <w:r>
              <w:rPr>
                <w:b/>
                <w:bCs/>
                <w:sz w:val="19"/>
                <w:szCs w:val="19"/>
              </w:rPr>
              <w:t>Calculated</w:t>
            </w:r>
          </w:p>
        </w:tc>
        <w:tc>
          <w:tcPr>
            <w:tcW w:w="3660" w:type="dxa"/>
            <w:shd w:val="clear" w:color="auto" w:fill="F2F2F2"/>
            <w:tcMar>
              <w:top w:w="60" w:type="dxa"/>
              <w:left w:w="80" w:type="dxa"/>
              <w:bottom w:w="60" w:type="dxa"/>
              <w:right w:w="80" w:type="dxa"/>
            </w:tcMar>
            <w:vAlign w:val="center"/>
          </w:tcPr>
          <w:p w:rsidR="00CA4205" w:rsidRDefault="000F7439">
            <w:r>
              <w:rPr>
                <w:sz w:val="19"/>
                <w:szCs w:val="19"/>
              </w:rPr>
              <w:t>Derived in our own code from other values, not read from the car.</w:t>
            </w:r>
          </w:p>
        </w:tc>
      </w:tr>
    </w:tbl>
    <w:p w:rsidR="00CA4205" w:rsidRDefault="000F7439">
      <w:pPr>
        <w:pStyle w:val="Heading1"/>
        <w:spacing w:before="280" w:after="140"/>
      </w:pPr>
      <w:r>
        <w:rPr>
          <w:b/>
          <w:bCs/>
          <w:color w:val="000000"/>
          <w:sz w:val="30"/>
          <w:szCs w:val="30"/>
        </w:rPr>
        <w:t>7. Recommendation</w:t>
      </w:r>
    </w:p>
    <w:p w:rsidR="00CA4205" w:rsidRDefault="000F7439">
      <w:pPr>
        <w:spacing w:after="120" w:line="276" w:lineRule="auto"/>
      </w:pPr>
      <w:r>
        <w:rPr>
          <w:b/>
          <w:bCs/>
        </w:rPr>
        <w:t xml:space="preserve">Primary: </w:t>
      </w:r>
      <w:r>
        <w:t xml:space="preserve">a 2018+ BS-VI petrol </w:t>
      </w:r>
      <w:proofErr w:type="spellStart"/>
      <w:r>
        <w:t>Maruti</w:t>
      </w:r>
      <w:proofErr w:type="spellEnd"/>
      <w:r>
        <w:t xml:space="preserve"> (Swift / </w:t>
      </w:r>
      <w:proofErr w:type="spellStart"/>
      <w:r>
        <w:t>Dzire</w:t>
      </w:r>
      <w:proofErr w:type="spellEnd"/>
      <w:r>
        <w:t xml:space="preserve"> / </w:t>
      </w:r>
      <w:proofErr w:type="spellStart"/>
      <w:r>
        <w:t>Baleno</w:t>
      </w:r>
      <w:proofErr w:type="spellEnd"/>
      <w:r>
        <w:t xml:space="preserve"> / </w:t>
      </w:r>
      <w:proofErr w:type="spellStart"/>
      <w:r>
        <w:t>WagonR</w:t>
      </w:r>
      <w:proofErr w:type="spellEnd"/>
      <w:r>
        <w:t>) — the best combination of clean standard compliance and, crucially, real-world availability to borrow repeatedly.</w:t>
      </w:r>
    </w:p>
    <w:p w:rsidR="00CA4205" w:rsidRDefault="000F7439">
      <w:pPr>
        <w:spacing w:after="120" w:line="276" w:lineRule="auto"/>
      </w:pPr>
      <w:r>
        <w:rPr>
          <w:b/>
          <w:bCs/>
        </w:rPr>
        <w:t xml:space="preserve">Backup: </w:t>
      </w:r>
      <w:r>
        <w:t xml:space="preserve">a Hyundai i20 or </w:t>
      </w:r>
      <w:proofErr w:type="spellStart"/>
      <w:r>
        <w:t>Creta</w:t>
      </w:r>
      <w:proofErr w:type="spellEnd"/>
      <w:r>
        <w:t xml:space="preserve"> (2019+ petrol) — equally strong compliance, also </w:t>
      </w:r>
      <w:r>
        <w:t>very common.</w:t>
      </w:r>
    </w:p>
    <w:p w:rsidR="00CA4205" w:rsidRDefault="000F7439">
      <w:pPr>
        <w:spacing w:after="120" w:line="276" w:lineRule="auto"/>
      </w:pPr>
      <w:r>
        <w:rPr>
          <w:b/>
          <w:bCs/>
        </w:rPr>
        <w:t xml:space="preserve">Deciding rule: </w:t>
      </w:r>
      <w:r>
        <w:t>since standard data works on all Tier 1 cars, pick whichever one the team can physically access most easily and often. Availability beats paper-compliance.</w:t>
      </w:r>
    </w:p>
    <w:p w:rsidR="00CA4205" w:rsidRDefault="000F7439">
      <w:pPr>
        <w:pStyle w:val="Heading1"/>
        <w:spacing w:before="280" w:after="140"/>
      </w:pPr>
      <w:r>
        <w:rPr>
          <w:b/>
          <w:bCs/>
          <w:color w:val="000000"/>
          <w:sz w:val="30"/>
          <w:szCs w:val="30"/>
        </w:rPr>
        <w:t>8. Next Step — Confirm By Bench Scan</w:t>
      </w:r>
    </w:p>
    <w:p w:rsidR="00CA4205" w:rsidRDefault="000F7439">
      <w:pPr>
        <w:spacing w:after="120" w:line="276" w:lineRule="auto"/>
      </w:pPr>
      <w:r>
        <w:t>Once a car is available, confirm it</w:t>
      </w:r>
      <w:r>
        <w:t xml:space="preserve"> before committing:</w:t>
      </w:r>
    </w:p>
    <w:p w:rsidR="00CA4205" w:rsidRDefault="000F7439">
      <w:pPr>
        <w:pStyle w:val="ListParagraph"/>
        <w:numPr>
          <w:ilvl w:val="0"/>
          <w:numId w:val="2"/>
        </w:numPr>
        <w:spacing w:after="80" w:line="276" w:lineRule="auto"/>
      </w:pPr>
      <w:r>
        <w:t>Connect the ELM327 and run the supported-PID probe (0100) to list what the car exposes.</w:t>
      </w:r>
    </w:p>
    <w:p w:rsidR="00CA4205" w:rsidRDefault="000F7439">
      <w:pPr>
        <w:pStyle w:val="ListParagraph"/>
        <w:numPr>
          <w:ilvl w:val="0"/>
          <w:numId w:val="2"/>
        </w:numPr>
        <w:spacing w:after="80" w:line="276" w:lineRule="auto"/>
      </w:pPr>
      <w:r>
        <w:t>Request each target PID and log the actual response — a valid data response (good) or a “not supported” response.</w:t>
      </w:r>
    </w:p>
    <w:p w:rsidR="00CA4205" w:rsidRDefault="000F7439">
      <w:pPr>
        <w:pStyle w:val="ListParagraph"/>
        <w:numPr>
          <w:ilvl w:val="0"/>
          <w:numId w:val="2"/>
        </w:numPr>
        <w:spacing w:after="80" w:line="276" w:lineRule="auto"/>
      </w:pPr>
      <w:r>
        <w:t>Record, for that specific car, whi</w:t>
      </w:r>
      <w:r>
        <w:t>ch fields are confirmed and which are null.</w:t>
      </w:r>
    </w:p>
    <w:p w:rsidR="00CA4205" w:rsidRDefault="000F7439">
      <w:pPr>
        <w:pStyle w:val="ListParagraph"/>
        <w:numPr>
          <w:ilvl w:val="0"/>
          <w:numId w:val="2"/>
        </w:numPr>
        <w:spacing w:after="80" w:line="276" w:lineRule="auto"/>
      </w:pPr>
      <w:r>
        <w:t>That logged output — not any claim in this document — becomes the real compliance record for sign-off.</w:t>
      </w:r>
    </w:p>
    <w:sectPr w:rsidR="00CA4205">
      <w:pgSz w:w="11906" w:h="16838"/>
      <w:pgMar w:top="1000" w:right="1000" w:bottom="10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8245275"/>
    <w:multiLevelType w:val="hybridMultilevel"/>
    <w:tmpl w:val="53A2051A"/>
    <w:lvl w:ilvl="0" w:tplc="0924F0E2">
      <w:start w:val="1"/>
      <w:numFmt w:val="bullet"/>
      <w:lvlText w:val="•"/>
      <w:lvlJc w:val="left"/>
      <w:pPr>
        <w:ind w:left="460" w:hanging="260"/>
      </w:pPr>
    </w:lvl>
    <w:lvl w:ilvl="1" w:tplc="C8168E6C">
      <w:numFmt w:val="decimal"/>
      <w:lvlText w:val=""/>
      <w:lvlJc w:val="left"/>
    </w:lvl>
    <w:lvl w:ilvl="2" w:tplc="6C16FEE2">
      <w:numFmt w:val="decimal"/>
      <w:lvlText w:val=""/>
      <w:lvlJc w:val="left"/>
    </w:lvl>
    <w:lvl w:ilvl="3" w:tplc="B77A730C">
      <w:numFmt w:val="decimal"/>
      <w:lvlText w:val=""/>
      <w:lvlJc w:val="left"/>
    </w:lvl>
    <w:lvl w:ilvl="4" w:tplc="F7007AAC">
      <w:numFmt w:val="decimal"/>
      <w:lvlText w:val=""/>
      <w:lvlJc w:val="left"/>
    </w:lvl>
    <w:lvl w:ilvl="5" w:tplc="8D36F254">
      <w:numFmt w:val="decimal"/>
      <w:lvlText w:val=""/>
      <w:lvlJc w:val="left"/>
    </w:lvl>
    <w:lvl w:ilvl="6" w:tplc="1F3A65A2">
      <w:numFmt w:val="decimal"/>
      <w:lvlText w:val=""/>
      <w:lvlJc w:val="left"/>
    </w:lvl>
    <w:lvl w:ilvl="7" w:tplc="638436D8">
      <w:numFmt w:val="decimal"/>
      <w:lvlText w:val=""/>
      <w:lvlJc w:val="left"/>
    </w:lvl>
    <w:lvl w:ilvl="8" w:tplc="4C305E10">
      <w:numFmt w:val="decimal"/>
      <w:lvlText w:val=""/>
      <w:lvlJc w:val="left"/>
    </w:lvl>
  </w:abstractNum>
  <w:abstractNum w:abstractNumId="1" w15:restartNumberingAfterBreak="0">
    <w:nsid w:val="5C9F1246"/>
    <w:multiLevelType w:val="hybridMultilevel"/>
    <w:tmpl w:val="50F8A2EA"/>
    <w:lvl w:ilvl="0" w:tplc="80640394">
      <w:start w:val="1"/>
      <w:numFmt w:val="bullet"/>
      <w:lvlText w:val="●"/>
      <w:lvlJc w:val="left"/>
      <w:pPr>
        <w:ind w:left="720" w:hanging="360"/>
      </w:pPr>
    </w:lvl>
    <w:lvl w:ilvl="1" w:tplc="C1B4C7B0">
      <w:start w:val="1"/>
      <w:numFmt w:val="bullet"/>
      <w:lvlText w:val="○"/>
      <w:lvlJc w:val="left"/>
      <w:pPr>
        <w:ind w:left="1440" w:hanging="360"/>
      </w:pPr>
    </w:lvl>
    <w:lvl w:ilvl="2" w:tplc="49E89C08">
      <w:start w:val="1"/>
      <w:numFmt w:val="bullet"/>
      <w:lvlText w:val="■"/>
      <w:lvlJc w:val="left"/>
      <w:pPr>
        <w:ind w:left="2160" w:hanging="360"/>
      </w:pPr>
    </w:lvl>
    <w:lvl w:ilvl="3" w:tplc="82F45080">
      <w:start w:val="1"/>
      <w:numFmt w:val="bullet"/>
      <w:lvlText w:val="●"/>
      <w:lvlJc w:val="left"/>
      <w:pPr>
        <w:ind w:left="2880" w:hanging="360"/>
      </w:pPr>
    </w:lvl>
    <w:lvl w:ilvl="4" w:tplc="CBCA7AF2">
      <w:start w:val="1"/>
      <w:numFmt w:val="bullet"/>
      <w:lvlText w:val="○"/>
      <w:lvlJc w:val="left"/>
      <w:pPr>
        <w:ind w:left="3600" w:hanging="360"/>
      </w:pPr>
    </w:lvl>
    <w:lvl w:ilvl="5" w:tplc="1CF4045E">
      <w:start w:val="1"/>
      <w:numFmt w:val="bullet"/>
      <w:lvlText w:val="■"/>
      <w:lvlJc w:val="left"/>
      <w:pPr>
        <w:ind w:left="4320" w:hanging="360"/>
      </w:pPr>
    </w:lvl>
    <w:lvl w:ilvl="6" w:tplc="F27C02D0">
      <w:start w:val="1"/>
      <w:numFmt w:val="bullet"/>
      <w:lvlText w:val="●"/>
      <w:lvlJc w:val="left"/>
      <w:pPr>
        <w:ind w:left="5040" w:hanging="360"/>
      </w:pPr>
    </w:lvl>
    <w:lvl w:ilvl="7" w:tplc="2C3AFCF0">
      <w:start w:val="1"/>
      <w:numFmt w:val="bullet"/>
      <w:lvlText w:val="●"/>
      <w:lvlJc w:val="left"/>
      <w:pPr>
        <w:ind w:left="5760" w:hanging="360"/>
      </w:pPr>
    </w:lvl>
    <w:lvl w:ilvl="8" w:tplc="39A4BD0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4205"/>
    <w:rsid w:val="000F7439"/>
    <w:rsid w:val="00CA42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63944"/>
  <w15:docId w15:val="{50FA661D-41B7-4B84-B271-6304625F2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829</Words>
  <Characters>4726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Shahid Mihransha</cp:lastModifiedBy>
  <cp:revision>2</cp:revision>
  <dcterms:created xsi:type="dcterms:W3CDTF">2026-07-07T08:28:00Z</dcterms:created>
  <dcterms:modified xsi:type="dcterms:W3CDTF">2026-07-07T08:28:00Z</dcterms:modified>
</cp:coreProperties>
</file>