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报告覆盖度对比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 xml:space="preserve">AccountKit-QuickLogin   </w:t>
      </w:r>
      <w:bookmarkEnd w:id="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85"/>
        <w:gridCol w:w="2340"/>
        <w:gridCol w:w="2340"/>
        <w:gridCol w:w="2415"/>
      </w:tblGrid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核心要素</w:t>
            </w:r>
          </w:p>
        </w:tc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人工撰写版内容</w:t>
            </w:r>
          </w:p>
        </w:tc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大模型生成版内容</w:t>
            </w:r>
          </w:p>
        </w:tc>
        <w:tc>
          <w:tcPr>
            <w:tcW w:w="24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大模型分项覆盖率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权限类型</w:t>
            </w:r>
          </w:p>
        </w:tc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访问互联网权限，用于应用程序通过网络（Wi-Fi 或移动数据）发起连接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用于应用程序查询当前的网络连接类型（如 Wi-Fi、蜂窝网络、以太网）以及网络是否可用。</w:t>
            </w:r>
          </w:p>
        </w:tc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授予应用建立网络套接字（Socket）的权限，使其能够通过 Wi-Fi 或蜂窝数据通道与外部服务器进行数据收发。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允许应用读取当前网络环境的元数据，包括识别接入技术（Wi-Fi/Cellular/Ethernet）及检测网络连通性状态，以便优化数据传输策略。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4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100%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触发场景</w:t>
            </w:r>
          </w:p>
        </w:tc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单一场景：使用「设备硬件信息展示」功能时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场景：打开应用首页、进入个人信息页（查看脱敏手机号/退出登录）、点击隐私协议链接、按下返回键退出应用/页面、触发快速登录流程、加载用户协议与隐私政策网页、进入快速登录页面、点击返回按钮执行回退、检查默认数据网络状态、华为账号授权</w:t>
            </w:r>
          </w:p>
        </w:tc>
        <w:tc>
          <w:tcPr>
            <w:tcW w:w="24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100%（覆盖人工版场景核心，且拓展多类相关场景，无缺失）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数据类型</w:t>
            </w:r>
          </w:p>
        </w:tc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设备相关数据：设备市场名称、设备类型、操作系统版本、SDK API版本、设备运行时间、网络类型、IP地址、子网掩码、广播地址、屏幕分辨率、刷新率、传感器列表</w:t>
            </w:r>
          </w:p>
        </w:tc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维度数据：日志标签(logTag)、日志域ID(domainId)、组件生命周期状态、匿名化手机号、UnionID、OpenID、系统语言环境、网络连接状态、隐私协议文本内容、隐私协议URL参数、用户操作事件、应用终止错误码/错误消息、设备屏幕物理宽度、Web页面加载进度、页面栈大小</w:t>
            </w:r>
          </w:p>
        </w:tc>
        <w:tc>
          <w:tcPr>
            <w:tcW w:w="24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100%（覆盖人工版设备类数据核心，同时拓展日志、用户标识、操作数据等，无遗漏）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使用目的、方式、频率</w:t>
            </w:r>
          </w:p>
        </w:tc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目的：直观呈现设备运行状态、网络配置及硬件参数；方式：设备本地实时获取、本地处理和显示，不上传服务器、不共享/转让/披露给第三方；频率：使用该功能时实时处理</w:t>
            </w:r>
          </w:p>
        </w:tc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的：开发调试、运行状态监控、故障排查、用户身份快速验证与无感登录、响应式UI布局适配、多语言隐私协议展示、页面导航回退、网络状态检查；方式：本地收集、本地持久化存储、通过华为账号服务/系统接口获取，部分远程加载资源，不上传云端；频率：操作触发时（打开页面、点击按钮、加载页面、授权等）自动收集</w:t>
            </w:r>
          </w:p>
        </w:tc>
        <w:tc>
          <w:tcPr>
            <w:tcW w:w="24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100%（完整覆盖目的、方式、频率三大子项，且补充更细致的使用说明，无缺失）</w:t>
            </w:r>
          </w:p>
        </w:tc>
      </w:tr>
      <w:tr>
        <w:tc>
          <w:tcPr>
            <w:tcW w:w="586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大模型生成版整体覆盖率</w:t>
            </w:r>
          </w:p>
        </w:tc>
        <w:tc>
          <w:tcPr>
            <w:tcW w:w="234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34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4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100%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AdsKit</w:t>
      </w:r>
      <w:bookmarkEnd w:id="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65"/>
        <w:gridCol w:w="1860"/>
        <w:gridCol w:w="2490"/>
        <w:gridCol w:w="2865"/>
      </w:tblGrid>
      <w:tr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核心要素</w:t>
            </w: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人工撰写版内容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大模型生成版内容</w:t>
            </w:r>
          </w:p>
        </w:tc>
        <w:tc>
          <w:tcPr>
            <w:tcW w:w="28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大模型分项覆盖率</w:t>
            </w:r>
          </w:p>
        </w:tc>
      </w:tr>
      <w:tr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权限类型</w:t>
            </w: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广告追踪同意权限：用于获取OAID进行个性化广告追踪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用于监听系统收到的新短信事件和获取短信的发送者号码、接收时间以及短信正文内容。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广告追踪同意权限</w:t>
              <w:br/>
            </w:r>
            <w:r>
              <w:rPr>
                <w:rFonts w:eastAsia="等线" w:ascii="Arial" w:cs="Arial" w:hAnsi="Arial"/>
                <w:sz w:val="22"/>
              </w:rPr>
              <w:t>监听系统收到的新短信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8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100%</w:t>
            </w:r>
          </w:p>
        </w:tc>
      </w:tr>
      <w:tr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触发场景</w:t>
            </w: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首次打开应用首页、进入包含广告的页面（征求广告追踪同意）；</w:t>
              <w:br/>
            </w:r>
            <w:r>
              <w:rPr>
                <w:rFonts w:eastAsia="等线" w:ascii="Arial" w:cs="Arial" w:hAnsi="Arial"/>
                <w:sz w:val="22"/>
              </w:rPr>
              <w:t>2. 首次启动应用、进入首页（触发广告追踪权限请求）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页面加载初始化阶段（申请广告追踪授权）；</w:t>
              <w:br/>
            </w:r>
            <w:r>
              <w:rPr>
                <w:rFonts w:eastAsia="等线" w:ascii="Arial" w:cs="Arial" w:hAnsi="Arial"/>
                <w:sz w:val="22"/>
              </w:rPr>
              <w:t>2. 请求插屏视频广告、订阅通用事件</w:t>
            </w:r>
          </w:p>
        </w:tc>
        <w:tc>
          <w:tcPr>
            <w:tcW w:w="28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100%</w:t>
            </w:r>
          </w:p>
        </w:tc>
      </w:tr>
      <w:tr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数据类型</w:t>
            </w: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敏感个人信息：开放匿名设备标识符（OAID）；</w:t>
              <w:br/>
            </w:r>
            <w:r>
              <w:rPr>
                <w:rFonts w:eastAsia="等线" w:ascii="Arial" w:cs="Arial" w:hAnsi="Arial"/>
                <w:sz w:val="22"/>
              </w:rPr>
              <w:t xml:space="preserve">2. </w:t>
            </w:r>
            <w:r>
              <w:rPr>
                <w:rFonts w:eastAsia="等线" w:ascii="Arial" w:cs="Arial" w:hAnsi="Arial"/>
                <w:sz w:val="22"/>
                <w:shd w:fill="f76964"/>
              </w:rPr>
              <w:t>广告交互行为日志（点击、关闭、浏览时长等）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OAID（开放匿名设备标识符）、用户追踪同意状态；</w:t>
              <w:br/>
            </w:r>
            <w:r>
              <w:rPr>
                <w:rFonts w:eastAsia="等线" w:ascii="Arial" w:cs="Arial" w:hAnsi="Arial"/>
                <w:sz w:val="22"/>
              </w:rPr>
              <w:t>2. 错误代码、错误消息（与人工版核心数据无关）</w:t>
            </w:r>
          </w:p>
        </w:tc>
        <w:tc>
          <w:tcPr>
            <w:tcW w:w="28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50%（仅覆盖OAID及追踪同意状态，未覆盖广告交互行为日志，且错误相关数据无关，未完全覆盖）</w:t>
            </w:r>
          </w:p>
        </w:tc>
      </w:tr>
      <w:tr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使用目的、方式、频率</w:t>
            </w: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目的：展示个性化广告、衡量广告投放效果、优化广告策略；</w:t>
              <w:br/>
              <w:t>方式：获同意后通过广告SDK获取OAID，本地处理日志、加密传输OAID，部分脱敏统计结果上传；</w:t>
              <w:br/>
            </w:r>
            <w:r>
              <w:rPr>
                <w:rFonts w:eastAsia="等线" w:ascii="Arial" w:cs="Arial" w:hAnsi="Arial"/>
                <w:sz w:val="22"/>
              </w:rPr>
              <w:t>频率：首次打开首页广告页面、首次启动应用时触发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目的：展示个性化广告、诊断广告故障、获取用户授权；</w:t>
              <w:br/>
              <w:t>方式：从应用/系统收集数据、调用权限；</w:t>
              <w:br/>
            </w:r>
            <w:r>
              <w:rPr>
                <w:rFonts w:eastAsia="等线" w:ascii="Arial" w:cs="Arial" w:hAnsi="Arial"/>
                <w:sz w:val="22"/>
              </w:rPr>
              <w:t>频率：广告请求、页面初始化时触发</w:t>
            </w:r>
          </w:p>
        </w:tc>
        <w:tc>
          <w:tcPr>
            <w:tcW w:w="28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100%（覆盖目的、频率）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541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大模型生成版整体覆盖率</w:t>
            </w:r>
          </w:p>
        </w:tc>
        <w:tc>
          <w:tcPr>
            <w:tcW w:w="18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49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8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87.5%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codeLab_API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90"/>
        <w:gridCol w:w="1770"/>
        <w:gridCol w:w="1815"/>
        <w:gridCol w:w="3420"/>
      </w:tblGrid>
      <w:tr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核心要素</w:t>
            </w:r>
          </w:p>
        </w:tc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人工撰写版内容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大模型生成版内容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大模型分项覆盖率</w:t>
            </w:r>
          </w:p>
        </w:tc>
      </w:tr>
      <w:tr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权限类型</w:t>
            </w:r>
          </w:p>
        </w:tc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无明确系统权限声明（通过HarmonyOS系统原子服务接口获取信息，未明确权限名称）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识别到ohos.permission.ACCESS_BLUETOOTH、ohos.permission.GET_WIFI_INFO，但未定位到对应功能点，未生成具体权限声明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100%</w:t>
            </w:r>
          </w:p>
        </w:tc>
      </w:tr>
      <w:tr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触发场景</w:t>
            </w:r>
          </w:p>
        </w:tc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单一场景：在功能页面点击“查看设备品牌”“查看窗口信息”“查看系统设置”按钮时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单一场景：用户点击按钮触发系统信息获取操作，用于展示设备屏幕尺寸、品牌或方向等基础设置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100%（完整覆盖人工版“点击按钮获取设备相关信息并展示”的核心场景，无偏差）</w:t>
            </w:r>
          </w:p>
        </w:tc>
      </w:tr>
      <w:tr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数据类型</w:t>
            </w:r>
          </w:p>
        </w:tc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一般个人信息：设备品牌信息（如HUAWEI）、系统窗口配置信息（如窗口宽度）、设备方向设置（如横屏/竖屏）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设备相关信息：窗口宽度(windowWidth)、设备品牌(brand)、设备方向(deviceOrientation)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100%（完整覆盖人工版所有设备相关数据类型，与人工版核心数据完全匹配）</w:t>
            </w:r>
          </w:p>
        </w:tc>
      </w:tr>
      <w:tr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使用目的、方式、频率</w:t>
            </w:r>
          </w:p>
        </w:tc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目的：展示设备运行环境信息，帮助用户了解应用适配状态、进行故障排查，适配屏幕布局；</w:t>
              <w:br/>
            </w:r>
            <w:r>
              <w:rPr>
                <w:rFonts w:eastAsia="等线" w:ascii="Arial" w:cs="Arial" w:hAnsi="Arial"/>
                <w:sz w:val="22"/>
              </w:rPr>
              <w:t>方式：调用HarmonyOS原子服务接口本地获取，</w:t>
            </w:r>
            <w:r>
              <w:rPr>
                <w:rFonts w:eastAsia="等线" w:ascii="Arial" w:cs="Arial" w:hAnsi="Arial"/>
                <w:sz w:val="22"/>
                <w:shd w:fill="f76964"/>
              </w:rPr>
              <w:t>仅本地即时渲染展示，不存储、不上传、不共享；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sz w:val="22"/>
              </w:rPr>
              <w:t>频率：点击对应按钮时触发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目的：在应用界面动态展示当前设备的屏幕参数及硬件标识信息；</w:t>
              <w:br/>
              <w:t>方式：从设备系统服务收集相关信息；</w:t>
              <w:br/>
            </w:r>
            <w:r>
              <w:rPr>
                <w:rFonts w:eastAsia="等线" w:ascii="Arial" w:cs="Arial" w:hAnsi="Arial"/>
                <w:sz w:val="22"/>
              </w:rPr>
              <w:t>频率：点击按钮触发操作时收集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60%（覆盖目的、频率核心内容，未覆盖人工版“本地获取不存储、不上传、不共享”的数据处理方式及安全措施，未完全覆盖）</w:t>
            </w:r>
          </w:p>
        </w:tc>
      </w:tr>
      <w:tr>
        <w:tc>
          <w:tcPr>
            <w:tcW w:w="487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大模型生成版整体覆盖率</w:t>
            </w:r>
          </w:p>
        </w:tc>
        <w:tc>
          <w:tcPr>
            <w:tcW w:w="17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1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90%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Health_Service_Kit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55"/>
        <w:gridCol w:w="1845"/>
        <w:gridCol w:w="2265"/>
        <w:gridCol w:w="3015"/>
      </w:tblGrid>
      <w:tr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核心要素</w:t>
            </w:r>
          </w:p>
        </w:tc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人工撰写版内容</w:t>
            </w:r>
          </w:p>
        </w:tc>
        <w:tc>
          <w:tcPr>
            <w:tcW w:w="22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大模型生成版内容</w:t>
            </w:r>
          </w:p>
        </w:tc>
        <w:tc>
          <w:tcPr>
            <w:tcW w:w="30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大模型分项覆盖率</w:t>
            </w:r>
          </w:p>
        </w:tc>
      </w:tr>
      <w:tr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权限类型</w:t>
            </w:r>
          </w:p>
        </w:tc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健康数据访问权限</w:t>
            </w:r>
            <w:r>
              <w:rPr>
                <w:rFonts w:eastAsia="等线" w:ascii="Arial" w:cs="Arial" w:hAnsi="Arial"/>
                <w:sz w:val="22"/>
              </w:rPr>
              <w:t>：用于获取您的基础健康数据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设备唯一标识权限</w:t>
            </w:r>
            <w:r>
              <w:rPr>
                <w:rFonts w:eastAsia="等线" w:ascii="Arial" w:cs="Arial" w:hAnsi="Arial"/>
                <w:sz w:val="22"/>
              </w:rPr>
              <w:t>：用于获取设备唯一标识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健康 Kit 数据读取权限</w:t>
            </w:r>
            <w:r>
              <w:rPr>
                <w:rFonts w:eastAsia="等线" w:ascii="Arial" w:cs="Arial" w:hAnsi="Arial"/>
                <w:sz w:val="22"/>
              </w:rPr>
              <w:t>：用于从鸿蒙系统健康服务中读取您已授权的健康数据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健康 Kit 数据写入权限</w:t>
            </w:r>
            <w:r>
              <w:rPr>
                <w:rFonts w:eastAsia="等线" w:ascii="Arial" w:cs="Arial" w:hAnsi="Arial"/>
                <w:sz w:val="22"/>
              </w:rPr>
              <w:t>：用于将您在本应用中录入的健康数据同步至鸿蒙系统健康服务，方便您在系统健康中心统一查看</w:t>
            </w:r>
          </w:p>
        </w:tc>
        <w:tc>
          <w:tcPr>
            <w:tcW w:w="22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健康数据访问权限</w:t>
            </w:r>
            <w:r>
              <w:rPr>
                <w:rFonts w:eastAsia="等线" w:ascii="Arial" w:cs="Arial" w:hAnsi="Arial"/>
                <w:sz w:val="22"/>
              </w:rPr>
              <w:t>：用于获取您的各类基础健康相关信息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设备唯一标识权限</w:t>
            </w:r>
            <w:r>
              <w:rPr>
                <w:rFonts w:eastAsia="等线" w:ascii="Arial" w:cs="Arial" w:hAnsi="Arial"/>
                <w:sz w:val="22"/>
              </w:rPr>
              <w:t>：用于获取设备唯一识别标识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健康 Kit 数据读取权限</w:t>
            </w:r>
            <w:r>
              <w:rPr>
                <w:rFonts w:eastAsia="等线" w:ascii="Arial" w:cs="Arial" w:hAnsi="Arial"/>
                <w:sz w:val="22"/>
              </w:rPr>
              <w:t>：用于读取您已授权的鸿蒙系统健康服务数据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健康 Kit 数据写入权限</w:t>
            </w:r>
            <w:r>
              <w:rPr>
                <w:rFonts w:eastAsia="等线" w:ascii="Arial" w:cs="Arial" w:hAnsi="Arial"/>
                <w:sz w:val="22"/>
              </w:rPr>
              <w:t>：用于将应用内记录的健康数据同步至鸿蒙系统健康中心，便于统一管理与查看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0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100%（完整覆盖人工版核心的健康数据读写权限，且细化权限分类，无无关权限，完全覆盖）</w:t>
            </w:r>
          </w:p>
        </w:tc>
      </w:tr>
      <w:tr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触发场景</w:t>
            </w:r>
          </w:p>
        </w:tc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首次使用运动功能、点击“同意/授权”按钮（征求授权）；</w:t>
              <w:br/>
              <w:t>2. 进行运动训练、点击“保存数据”“查看历史记录”（收集数据）；</w:t>
              <w:br/>
            </w:r>
            <w:r>
              <w:rPr>
                <w:rFonts w:eastAsia="等线" w:ascii="Arial" w:cs="Arial" w:hAnsi="Arial"/>
                <w:sz w:val="22"/>
              </w:rPr>
              <w:t>3. 进入运动授权页面点击“同意/授权”（请求权限）</w:t>
            </w:r>
          </w:p>
        </w:tc>
        <w:tc>
          <w:tcPr>
            <w:tcW w:w="22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点击“申请授权”按钮（请求健康数据权限）；</w:t>
              <w:br/>
              <w:t>2. 点击“运动序列”“授权管理”按钮（页面跳转）；</w:t>
              <w:br/>
            </w:r>
            <w:r>
              <w:rPr>
                <w:rFonts w:eastAsia="等线" w:ascii="Arial" w:cs="Arial" w:hAnsi="Arial"/>
                <w:sz w:val="22"/>
              </w:rPr>
              <w:t>3. 点击“保存数据”“读取数据”按钮、应用初始化数据源（读写数据、设备标识关联）</w:t>
            </w:r>
          </w:p>
        </w:tc>
        <w:tc>
          <w:tcPr>
            <w:tcW w:w="30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100%（完整覆盖人工版授权、数据收集、权限请求核心场景，且细化操作场景，无偏差）</w:t>
            </w:r>
          </w:p>
        </w:tc>
      </w:tr>
      <w:tr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数据类型</w:t>
            </w:r>
          </w:p>
        </w:tc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敏感个人信息：</w:t>
            </w:r>
            <w:r>
              <w:rPr>
                <w:rFonts w:eastAsia="等线" w:ascii="Arial" w:cs="Arial" w:hAnsi="Arial"/>
                <w:sz w:val="22"/>
                <w:shd w:fill="f76964"/>
              </w:rPr>
              <w:t>心率数据</w:t>
            </w:r>
            <w:r>
              <w:rPr>
                <w:rFonts w:eastAsia="等线" w:ascii="Arial" w:cs="Arial" w:hAnsi="Arial"/>
                <w:sz w:val="22"/>
              </w:rPr>
              <w:t>、移动速度、运动距离,运动轨迹；</w:t>
              <w:br/>
            </w:r>
            <w:r>
              <w:rPr>
                <w:rFonts w:eastAsia="等线" w:ascii="Arial" w:cs="Arial" w:hAnsi="Arial"/>
                <w:sz w:val="22"/>
              </w:rPr>
              <w:t>2. 一般信息：设备唯一标识符（Device ID），设备MAC地址、序列号、软硬件版本；</w:t>
            </w:r>
          </w:p>
        </w:tc>
        <w:tc>
          <w:tcPr>
            <w:tcW w:w="22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运动相关数据：运动序列数据、时间戳、海拔高度、运动轨迹、运动摘要统计；</w:t>
              <w:br/>
              <w:t>2. 设备相关信息：设备唯一标识、设备MAC地址、序列号、软硬件版本；</w:t>
              <w:br/>
            </w:r>
            <w:r>
              <w:rPr>
                <w:rFonts w:eastAsia="等线" w:ascii="Arial" w:cs="Arial" w:hAnsi="Arial"/>
                <w:sz w:val="22"/>
              </w:rPr>
              <w:t>3. 其他：授权状态、错误代码与消息、数据源ID</w:t>
            </w:r>
          </w:p>
        </w:tc>
        <w:tc>
          <w:tcPr>
            <w:tcW w:w="30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80%（覆盖核心的设备唯一标识符及运动相关数据，未明确提及心率数据，其余数据均为场景延伸，核心未缺失）</w:t>
            </w:r>
          </w:p>
        </w:tc>
      </w:tr>
      <w:tr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使用目的、方式、频率</w:t>
            </w:r>
          </w:p>
        </w:tc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目的：提供运动记录、分析、历史查询及个性化健康建议，区分数据来源；</w:t>
              <w:br/>
            </w:r>
            <w:r>
              <w:rPr>
                <w:rFonts w:eastAsia="等线" w:ascii="Arial" w:cs="Arial" w:hAnsi="Arial"/>
                <w:sz w:val="22"/>
              </w:rPr>
              <w:t>方式：授权后调用华为Health Kit接口，</w:t>
            </w:r>
            <w:r>
              <w:rPr>
                <w:rFonts w:eastAsia="等线" w:ascii="Arial" w:cs="Arial" w:hAnsi="Arial"/>
                <w:sz w:val="22"/>
                <w:shd w:fill="f76964"/>
              </w:rPr>
              <w:t>数据加密存储在本地健康数据库，不上传、不共享；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sz w:val="22"/>
              </w:rPr>
              <w:t>频率：授权时、运动训练时、点击保存查看历史时触发</w:t>
            </w:r>
          </w:p>
        </w:tc>
        <w:tc>
          <w:tcPr>
            <w:tcW w:w="22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目的：获取健康数据权限、实现页面跳转、保存/读取运动数据、健康数据分析管理、确保数据归属；</w:t>
              <w:br/>
              <w:t>方式：从用户交互、系统健康服务收集，写入/读取系统健康数据库，关联设备数据源；</w:t>
              <w:br/>
            </w:r>
            <w:r>
              <w:rPr>
                <w:rFonts w:eastAsia="等线" w:ascii="Arial" w:cs="Arial" w:hAnsi="Arial"/>
                <w:sz w:val="22"/>
              </w:rPr>
              <w:t>频率：点击相关按钮、应用初始化数据源时触发</w:t>
            </w:r>
          </w:p>
        </w:tc>
        <w:tc>
          <w:tcPr>
            <w:tcW w:w="30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80%（覆盖目的、方式、频率核心内容，未明确提及“数据加密存储、不上传、不共享”的安全措施，未完全覆盖）</w:t>
            </w:r>
          </w:p>
        </w:tc>
      </w:tr>
      <w:tr>
        <w:tc>
          <w:tcPr>
            <w:tcW w:w="526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大模型生成版整体覆盖率</w:t>
            </w:r>
          </w:p>
        </w:tc>
        <w:tc>
          <w:tcPr>
            <w:tcW w:w="184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26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0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90%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Pedometer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85"/>
        <w:gridCol w:w="2100"/>
        <w:gridCol w:w="1860"/>
        <w:gridCol w:w="3135"/>
      </w:tblGrid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核心要素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人工撰写版内容</w:t>
            </w: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大模型生成版内容</w:t>
            </w: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大模型分项覆盖率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权限类型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计步核心权限</w:t>
            </w:r>
            <w:r>
              <w:rPr>
                <w:rFonts w:eastAsia="等线" w:ascii="Arial" w:cs="Arial" w:hAnsi="Arial"/>
                <w:sz w:val="22"/>
              </w:rPr>
              <w:t>：用于获取您的运动步数、活动状态等信息，为您提供准确的计步统计与运动数据记录；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定位权限</w:t>
            </w:r>
            <w:r>
              <w:rPr>
                <w:rFonts w:eastAsia="等线" w:ascii="Arial" w:cs="Arial" w:hAnsi="Arial"/>
                <w:sz w:val="22"/>
              </w:rPr>
              <w:t>：用于获取您的精准位置信息，支持运动轨迹记录、路线规划及位置相关服务；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加速度传感器权限</w:t>
            </w:r>
            <w:r>
              <w:rPr>
                <w:rFonts w:eastAsia="等线" w:ascii="Arial" w:cs="Arial" w:hAnsi="Arial"/>
                <w:sz w:val="22"/>
              </w:rPr>
              <w:t>：用于读取设备加速度传感器数据，辅助识别运动状态，提升计步与运动检测的准确性；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大致定位权限</w:t>
            </w:r>
            <w:r>
              <w:rPr>
                <w:rFonts w:eastAsia="等线" w:ascii="Arial" w:cs="Arial" w:hAnsi="Arial"/>
                <w:sz w:val="22"/>
              </w:rPr>
              <w:t>：用于获取您的粗略位置信息，在无需精准定位的场景下提供基础位置相关服务；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后台运行权限</w:t>
            </w:r>
            <w:r>
              <w:rPr>
                <w:rFonts w:eastAsia="等线" w:ascii="Arial" w:cs="Arial" w:hAnsi="Arial"/>
                <w:sz w:val="22"/>
              </w:rPr>
              <w:t>：用于保障应用在后台持续运行，确保运动记录、数据统计等功能不被系统中断；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后台定位权限</w:t>
            </w:r>
            <w:r>
              <w:rPr>
                <w:rFonts w:eastAsia="等线" w:ascii="Arial" w:cs="Arial" w:hAnsi="Arial"/>
                <w:sz w:val="22"/>
              </w:rPr>
              <w:t>：用于在应用处于后台时继续获取位置信息，以完整记录运动轨迹，本应用未实际使用该权限实现额外功能。</w:t>
            </w: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计步核心权限：用于采集您的行走步数与活动行为数据，实现运动步数统计与运动信息记录；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定位权限：用于获取您的精确位置，用于记录运动行走路线及相关位置服务；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加速度传感器权限：用于读取设备传感器数据，辅助判断运动状态，提高步数检测的精准度；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大致定位权限：用于获取模糊位置信息，满足无需精确定位的基础位置服务需求；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后台运行权限：用于让应用在后台正常运行，保证运动数据持续采集与统计不被中断；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后台定位权限：用于应用在后台时继续获取位置信息，保证运动轨迹完整记录，本应用未实际使用该权限。</w:t>
            </w: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100%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触发场景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进入应用首页（请求计步权限、后台计步）；</w:t>
              <w:br/>
              <w:t>2. 开启定位、点击“开始运动”（获取定位、解析地址）；</w:t>
              <w:br/>
            </w:r>
            <w:r>
              <w:rPr>
                <w:rFonts w:eastAsia="等线" w:ascii="Arial" w:cs="Arial" w:hAnsi="Arial"/>
                <w:sz w:val="22"/>
              </w:rPr>
              <w:t>3. 计步初始化、页面加载（请求计步/定位权限）</w:t>
            </w: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计步数据追踪、位置服务相关场景；</w:t>
              <w:br/>
              <w:t>2. 点击开始/停止按钮（控制计步、收集步数/位置）；</w:t>
              <w:br/>
            </w:r>
            <w:r>
              <w:rPr>
                <w:rFonts w:eastAsia="等线" w:ascii="Arial" w:cs="Arial" w:hAnsi="Arial"/>
                <w:sz w:val="22"/>
              </w:rPr>
              <w:t>3. 计步初始化、页面加载（请求计步/定位权限）</w:t>
            </w: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100%（覆盖计步、定位核心场景，未覆盖“输入步数目标”场景，核心场景无缺失）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数据类型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敏感个人信息：实时步数、地理位置信息、详细地址信息；</w:t>
              <w:br/>
            </w:r>
            <w:r>
              <w:rPr>
                <w:rFonts w:eastAsia="等线" w:ascii="Arial" w:cs="Arial" w:hAnsi="Arial"/>
                <w:sz w:val="22"/>
              </w:rPr>
              <w:t>2. 一般信息：手动设定的运动目标</w:t>
            </w: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运动相关数据：计步器传感器数据、当前步数、步数目标；</w:t>
              <w:br/>
              <w:t>2. 位置相关数据：地理位置名称、起始位置、当前位置；</w:t>
              <w:br/>
            </w:r>
            <w:r>
              <w:rPr>
                <w:rFonts w:eastAsia="等线" w:ascii="Arial" w:cs="Arial" w:hAnsi="Arial"/>
                <w:sz w:val="22"/>
              </w:rPr>
              <w:t>3. 其他：授权状态、错误日志信息</w:t>
            </w: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100%（完整覆盖人工版所有数据类型，无缺失，部分数据表述略有差异但核心一致）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使用目的、方式、频率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目的：步数统计、运动量计算、目标达成分析、记录运动起点、个性化指导；</w:t>
              <w:br/>
            </w:r>
            <w:r>
              <w:rPr>
                <w:rFonts w:eastAsia="等线" w:ascii="Arial" w:cs="Arial" w:hAnsi="Arial"/>
                <w:sz w:val="22"/>
              </w:rPr>
              <w:t>方式：授权后调用系统接口获取</w:t>
            </w:r>
            <w:r>
              <w:rPr>
                <w:rFonts w:eastAsia="等线" w:ascii="Arial" w:cs="Arial" w:hAnsi="Arial"/>
                <w:sz w:val="22"/>
                <w:shd w:fill="f76964"/>
              </w:rPr>
              <w:t>，数据仅保存至本地偏好设置，不上传、不共享；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sz w:val="22"/>
              </w:rPr>
              <w:t>频率：进入首页、点击开始运动/设置按钮、开启定位时触发</w:t>
            </w: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目的：记录步数、运动状态反馈、位置展示、计步算法校准、轨迹记录；</w:t>
              <w:br/>
              <w:t>方式：从传感器、定位服务、本地存储收集，用于界面展示、后台追踪；</w:t>
              <w:br/>
            </w:r>
            <w:r>
              <w:rPr>
                <w:rFonts w:eastAsia="等线" w:ascii="Arial" w:cs="Arial" w:hAnsi="Arial"/>
                <w:sz w:val="22"/>
              </w:rPr>
              <w:t>频率：点击开始停止按钮、计步初始化、页面加载时触发</w:t>
            </w: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70%（覆盖目的、频率核心内容，未明确提及“数据仅本地保存、不上传、不共享”的安全措施，未完全覆盖）</w:t>
            </w:r>
          </w:p>
        </w:tc>
      </w:tr>
      <w:tr>
        <w:tc>
          <w:tcPr>
            <w:tcW w:w="514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大模型生成版整体覆盖率</w:t>
            </w:r>
          </w:p>
        </w:tc>
        <w:tc>
          <w:tcPr>
            <w:tcW w:w="210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92.5%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map-kit_-codelab</w:t>
      </w:r>
      <w:bookmarkEnd w:id="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470"/>
        <w:gridCol w:w="2145"/>
        <w:gridCol w:w="3015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核心要素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人工撰写版内容</w:t>
            </w:r>
          </w:p>
        </w:tc>
        <w:tc>
          <w:tcPr>
            <w:tcW w:w="21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大模型生成版内容</w:t>
            </w:r>
          </w:p>
        </w:tc>
        <w:tc>
          <w:tcPr>
            <w:tcW w:w="30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大模型分项覆盖率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权限类型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ohos.permission.INTERNET（用于下载地图瓦片）；</w:t>
              <w:br/>
            </w:r>
            <w:r>
              <w:rPr>
                <w:rFonts w:eastAsia="等线" w:ascii="Arial" w:cs="Arial" w:hAnsi="Arial"/>
                <w:sz w:val="22"/>
              </w:rPr>
              <w:t>2. ohos.permission.GET_NETWORK_INFO（未定位功能点，未生成具体声明）</w:t>
            </w:r>
          </w:p>
        </w:tc>
        <w:tc>
          <w:tcPr>
            <w:tcW w:w="21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ohos.permission.INTERNET（用于下载地图瓦片）；</w:t>
              <w:br/>
            </w:r>
            <w:r>
              <w:rPr>
                <w:rFonts w:eastAsia="等线" w:ascii="Arial" w:cs="Arial" w:hAnsi="Arial"/>
                <w:sz w:val="22"/>
              </w:rPr>
              <w:t>2. ohos.permission.GET_NETWORK_INFO（未定位功能点，未生成具体声明）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0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100%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触发场景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查看公司总部、服务网点或演示示例等静态地理位置信息时（使用地图展示服务）；关闭网络连接时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1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应用启动/初始化主界面/启动初始化；</w:t>
              <w:br/>
              <w:t>2. 应用退出/切到前台/切到后台；</w:t>
              <w:br/>
            </w:r>
            <w:r>
              <w:rPr>
                <w:rFonts w:eastAsia="等线" w:ascii="Arial" w:cs="Arial" w:hAnsi="Arial"/>
                <w:sz w:val="22"/>
              </w:rPr>
              <w:t>3. BasicMapDemo页面展示地图（加载瓦片、获取定位）</w:t>
            </w:r>
          </w:p>
        </w:tc>
        <w:tc>
          <w:tcPr>
            <w:tcW w:w="30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100%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数据类型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用户地理位置</w:t>
            </w:r>
          </w:p>
        </w:tc>
        <w:tc>
          <w:tcPr>
            <w:tcW w:w="21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日志类：生命周期状态、日志标签、错误详情、静态日志字符串；</w:t>
              <w:br/>
              <w:t>2. 位置类：用户地理位置（经纬度）；</w:t>
              <w:br/>
            </w:r>
            <w:r>
              <w:rPr>
                <w:rFonts w:eastAsia="等线" w:ascii="Arial" w:cs="Arial" w:hAnsi="Arial"/>
                <w:sz w:val="22"/>
              </w:rPr>
              <w:t>3. 其他：设备网络状态、地图交互事件</w:t>
            </w:r>
          </w:p>
        </w:tc>
        <w:tc>
          <w:tcPr>
            <w:tcW w:w="30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100%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使用目的、方式、频率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目的：提供地理位置参考；</w:t>
              <w:br/>
              <w:t>方式：从系统应用内部收集，调用网络权限下载地图瓦片，获取定位；</w:t>
              <w:br/>
            </w:r>
            <w:r>
              <w:rPr>
                <w:rFonts w:eastAsia="等线" w:ascii="Arial" w:cs="Arial" w:hAnsi="Arial"/>
                <w:sz w:val="22"/>
              </w:rPr>
              <w:t>频率：查看静态地理信息时触发，关闭网络影响底图加载</w:t>
            </w:r>
          </w:p>
        </w:tc>
        <w:tc>
          <w:tcPr>
            <w:tcW w:w="21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目的：开发调试、运行监控、地图可视化、响应地图交互；</w:t>
              <w:br/>
              <w:t>方式：从系统应用内部收集，调用网络权限下载地图瓦片，获取定位；</w:t>
              <w:br/>
            </w:r>
            <w:r>
              <w:rPr>
                <w:rFonts w:eastAsia="等线" w:ascii="Arial" w:cs="Arial" w:hAnsi="Arial"/>
                <w:sz w:val="22"/>
              </w:rPr>
              <w:t>频率：应用生命周期事件、地图展示时触发</w:t>
            </w:r>
          </w:p>
        </w:tc>
        <w:tc>
          <w:tcPr>
            <w:tcW w:w="30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100%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526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大模型生成版整体覆盖率</w:t>
            </w:r>
          </w:p>
        </w:tc>
        <w:tc>
          <w:tcPr>
            <w:tcW w:w="14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14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0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100%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Web-cookie</w:t>
      </w:r>
      <w:bookmarkEnd w:id="6"/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97pt;mso-width-percent:0;mso-height-percent:0;mso-width-percent:0;mso-height-percent:0" type="#_x0000_t75" o:ole="">
            <v:imagedata r:id="rId5" o:title=""/>
          </v:shape>
          <o:OLEObject DrawAspect="Icon" ObjectID="_1718471219" ProgID="Excel.Sheet.12" ShapeID="_x0000_i1025" Type="Embed" r:id="rId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device-security-kit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425"/>
        <w:gridCol w:w="1770"/>
        <w:gridCol w:w="2145"/>
        <w:gridCol w:w="2940"/>
      </w:tblGrid>
      <w:tr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核心要素</w:t>
            </w:r>
          </w:p>
        </w:tc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人工撰写版内容</w:t>
            </w:r>
          </w:p>
        </w:tc>
        <w:tc>
          <w:tcPr>
            <w:tcW w:w="21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大模型生成版内容</w:t>
            </w:r>
          </w:p>
        </w:tc>
        <w:tc>
          <w:tcPr>
            <w:tcW w:w="29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大模型分项覆盖率</w:t>
            </w:r>
          </w:p>
        </w:tc>
      </w:tr>
      <w:tr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权限类型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设备证书访问权限：用于访问系统设备安全套件，获取设备证书令牌</w:t>
            </w:r>
          </w:p>
        </w:tc>
        <w:tc>
          <w:tcPr>
            <w:tcW w:w="21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用于访问系统设备安全套件，获取设备证书令牌</w:t>
            </w:r>
          </w:p>
        </w:tc>
        <w:tc>
          <w:tcPr>
            <w:tcW w:w="29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100%</w:t>
            </w:r>
          </w:p>
        </w:tc>
      </w:tr>
      <w:tr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触发场景</w:t>
            </w:r>
          </w:p>
        </w:tc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f76964"/>
              </w:rPr>
              <w:t>点击界面上的“获取设备Token”按钮时</w:t>
            </w:r>
            <w:r>
              <w:rPr>
                <w:rFonts w:eastAsia="等线" w:ascii="Arial" w:cs="Arial" w:hAnsi="Arial"/>
                <w:sz w:val="22"/>
              </w:rPr>
              <w:t>（主动触发，用于设备核验、安全审计等）</w:t>
            </w:r>
          </w:p>
        </w:tc>
        <w:tc>
          <w:tcPr>
            <w:tcW w:w="21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用户在首页查看设备安全信息时（获取并展示设备唯一证书令牌）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80%（覆盖“主动触发、获取展示设备Token”核心，未明确“点击按钮”的具体操作，略有偏差）</w:t>
            </w:r>
          </w:p>
        </w:tc>
      </w:tr>
      <w:tr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数据类型</w:t>
            </w:r>
          </w:p>
        </w:tc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敏感个人信息：设备安全凭证（Device Token），基于设备硬件特征生成的唯一标识符</w:t>
            </w:r>
          </w:p>
        </w:tc>
        <w:tc>
          <w:tcPr>
            <w:tcW w:w="21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设备证书令牌（Device Token），用于验证设备身份并展示相关信息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100%（完整覆盖人工版核心数据类型，表述略有差异但核心一致）</w:t>
            </w:r>
          </w:p>
        </w:tc>
      </w:tr>
      <w:tr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使用目的、方式、频率</w:t>
            </w:r>
          </w:p>
        </w:tc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目的：验证设备安全状态、设备身份核对、设备核验、安全审计、故障排查；</w:t>
              <w:br/>
            </w:r>
            <w:r>
              <w:rPr>
                <w:rFonts w:eastAsia="等线" w:ascii="Arial" w:cs="Arial" w:hAnsi="Arial"/>
                <w:sz w:val="22"/>
              </w:rPr>
              <w:t>方式：调用DeviceSecurityKit接口获取，</w:t>
            </w:r>
            <w:r>
              <w:rPr>
                <w:rFonts w:eastAsia="等线" w:ascii="Arial" w:cs="Arial" w:hAnsi="Arial"/>
                <w:sz w:val="22"/>
                <w:shd w:fill="f76964"/>
              </w:rPr>
              <w:t>仅本地内存暂存、即时展示，不存储、不上传、不共享；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sz w:val="22"/>
              </w:rPr>
              <w:t>频率：点击按钮时触发</w:t>
            </w:r>
          </w:p>
        </w:tc>
        <w:tc>
          <w:tcPr>
            <w:tcW w:w="21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目的：验证设备身份、展示设备唯一证书令牌信息；</w:t>
              <w:br/>
              <w:t>方式：调用对应权限访问系统设备安全套件获取；</w:t>
              <w:br/>
            </w:r>
            <w:r>
              <w:rPr>
                <w:rFonts w:eastAsia="等线" w:ascii="Arial" w:cs="Arial" w:hAnsi="Arial"/>
                <w:sz w:val="22"/>
              </w:rPr>
              <w:t>频率：查看设备安全信息时触发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70%（覆盖核心目的和频率，未覆盖“本地暂存、不存储不上传不共享”的关键处理方式）</w:t>
            </w:r>
          </w:p>
        </w:tc>
      </w:tr>
      <w:tr>
        <w:tc>
          <w:tcPr>
            <w:tcW w:w="534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大模型生成版整体覆盖率</w:t>
            </w:r>
          </w:p>
        </w:tc>
        <w:tc>
          <w:tcPr>
            <w:tcW w:w="17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14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87.5%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IntentsKit-codelab-Clientdemo-ArkTS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30"/>
        <w:gridCol w:w="1650"/>
        <w:gridCol w:w="2175"/>
        <w:gridCol w:w="2925"/>
      </w:tblGrid>
      <w:tr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核心要素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人工撰写版内容</w:t>
            </w:r>
          </w:p>
        </w:tc>
        <w:tc>
          <w:tcPr>
            <w:tcW w:w="21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大模型生成版内容</w:t>
            </w: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大模型分项覆盖率</w:t>
            </w:r>
          </w:p>
        </w:tc>
      </w:tr>
      <w:tr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权限类型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意图发送权限：用于分发 InsightIntent，完成应用内及跨应用的意图传递与功能调用；日志记录权限：用于记录应用运行调试日志，便于问题排查与运行状态监控。</w:t>
            </w:r>
          </w:p>
        </w:tc>
        <w:tc>
          <w:tcPr>
            <w:tcW w:w="21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意图传输权限：用于实现 InsightIntent 的分发处理，保障应用间意图交互与消息传递；运行日志权限：用于采集应用运行日志信息，为程序调试与异常监控提供支持。</w:t>
            </w: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100%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触发场景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点击“分享意图”按钮（共享用户行为偏好数据）；</w:t>
              <w:br/>
            </w:r>
            <w:r>
              <w:rPr>
                <w:rFonts w:eastAsia="等线" w:ascii="Arial" w:cs="Arial" w:hAnsi="Arial"/>
                <w:sz w:val="22"/>
              </w:rPr>
              <w:t xml:space="preserve">2. </w:t>
            </w:r>
            <w:r>
              <w:rPr>
                <w:rFonts w:eastAsia="等线" w:ascii="Arial" w:cs="Arial" w:hAnsi="Arial"/>
                <w:sz w:val="22"/>
                <w:shd w:fill="f76964"/>
              </w:rPr>
              <w:t>点击“获取Session ID”按钮（获取展示会话标识符）</w:t>
            </w:r>
          </w:p>
        </w:tc>
        <w:tc>
          <w:tcPr>
            <w:tcW w:w="21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页面加载与界面渲染（记录日志、处理意图数据）；</w:t>
              <w:br/>
              <w:t>2. 触发分享/删除意图操作（分发Intent）；</w:t>
              <w:br/>
            </w:r>
            <w:r>
              <w:rPr>
                <w:rFonts w:eastAsia="等线" w:ascii="Arial" w:cs="Arial" w:hAnsi="Arial"/>
                <w:sz w:val="22"/>
              </w:rPr>
              <w:t>3. 应用运行（正常异常）时（记录调试日志）</w:t>
            </w: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80%（仅部分覆盖意图共享场景，未覆盖Session ID获取场景，新增大量日志相关无关场景）</w:t>
            </w:r>
          </w:p>
        </w:tc>
      </w:tr>
      <w:tr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数据类型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敏感个人信息：1. 用户行为偏好数据（听歌习惯、使用场景等）；2. </w:t>
            </w:r>
            <w:r>
              <w:rPr>
                <w:rFonts w:eastAsia="等线" w:ascii="Arial" w:cs="Arial" w:hAnsi="Arial"/>
                <w:sz w:val="22"/>
                <w:shd w:fill="f76964"/>
              </w:rPr>
              <w:t>会话标识符（Session ID）</w:t>
            </w:r>
          </w:p>
        </w:tc>
        <w:tc>
          <w:tcPr>
            <w:tcW w:w="21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日志类：UI组件状态、应用标识符、日志域标识、日志消息；</w:t>
              <w:br/>
            </w:r>
            <w:r>
              <w:rPr>
                <w:rFonts w:eastAsia="等线" w:ascii="Arial" w:cs="Arial" w:hAnsi="Arial"/>
                <w:sz w:val="22"/>
              </w:rPr>
              <w:t>2. 意图相关：用户输入的意图数据、应用上下文</w:t>
            </w: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60%（仅覆盖意图相关数据，未覆盖Session ID，新增大量日志相关无关数据）</w:t>
            </w:r>
          </w:p>
        </w:tc>
      </w:tr>
      <w:tr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使用目的、方式、频率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目的：智能推荐、会话安全可追溯、故障排查、会话验证；</w:t>
              <w:br/>
            </w:r>
            <w:r>
              <w:rPr>
                <w:rFonts w:eastAsia="等线" w:ascii="Arial" w:cs="Arial" w:hAnsi="Arial"/>
                <w:sz w:val="22"/>
              </w:rPr>
              <w:t>方式：调用系统接口获取共享，</w:t>
            </w:r>
            <w:r>
              <w:rPr>
                <w:rFonts w:eastAsia="等线" w:ascii="Arial" w:cs="Arial" w:hAnsi="Arial"/>
                <w:sz w:val="22"/>
                <w:shd w:fill="f76964"/>
              </w:rPr>
              <w:t>仅本地内存暂存、即时展示，不上传、不共享；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sz w:val="22"/>
              </w:rPr>
              <w:t>频率：点击对应按钮时触发</w:t>
            </w:r>
          </w:p>
        </w:tc>
        <w:tc>
          <w:tcPr>
            <w:tcW w:w="21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目的：演示Intent相关功能、记录调试日志、故障排查、跨应用意图传递；</w:t>
              <w:br/>
              <w:t>方式：收集应用内部/用户输入数据，调用权限分发Intent、记录日志；</w:t>
              <w:br/>
            </w:r>
            <w:r>
              <w:rPr>
                <w:rFonts w:eastAsia="等线" w:ascii="Arial" w:cs="Arial" w:hAnsi="Arial"/>
                <w:sz w:val="22"/>
              </w:rPr>
              <w:t>频率：页面加载、触发意图操作、应用运行时触发</w:t>
            </w: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80%（仅部分覆盖意图共享相关目的，未覆盖会话管理相关目的及数据处理方式，新增日志相关无关内容）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535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大模型生成版整体覆盖率</w:t>
            </w:r>
          </w:p>
        </w:tc>
        <w:tc>
          <w:tcPr>
            <w:tcW w:w="16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17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80%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PaymentKit-CodelabDemo</w:t>
      </w:r>
      <w:bookmarkEnd w:id="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90"/>
        <w:gridCol w:w="1590"/>
        <w:gridCol w:w="2460"/>
        <w:gridCol w:w="2640"/>
      </w:tblGrid>
      <w:tr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核心要素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人工撰写版内容</w:t>
            </w: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大模型生成版内容</w:t>
            </w:r>
          </w:p>
        </w:tc>
        <w:tc>
          <w:tcPr>
            <w:tcW w:w="26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大模型分项覆盖率</w:t>
            </w:r>
          </w:p>
        </w:tc>
      </w:tr>
      <w:tr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权限类型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网络状态访问权限：用于获取当前网络连接状态，保障支付、签约等关键业务正常联网；网络访问权限：用于建立网络连接，实现数据交互、接口请求与联网服务。</w:t>
            </w: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网络状态获取权限：用于检测设备网络状况，保证支付相关功能在联网环境下稳定运行；互联网访问权限：用于应用与服务器通信，完成数据上传、下载及各类在线服务请求。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100%</w:t>
            </w:r>
          </w:p>
        </w:tc>
      </w:tr>
      <w:tr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触发场景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点击“发起支付”</w:t>
            </w:r>
            <w:r>
              <w:rPr>
                <w:rFonts w:eastAsia="等线" w:ascii="Arial" w:cs="Arial" w:hAnsi="Arial"/>
                <w:sz w:val="22"/>
                <w:shd w:fill="f76964"/>
              </w:rPr>
              <w:t>“立即付款”</w:t>
            </w:r>
            <w:r>
              <w:rPr>
                <w:rFonts w:eastAsia="等线" w:ascii="Arial" w:cs="Arial" w:hAnsi="Arial"/>
                <w:sz w:val="22"/>
              </w:rPr>
              <w:t>按钮（在线支付交易）；</w:t>
              <w:br/>
            </w:r>
            <w:r>
              <w:rPr>
                <w:rFonts w:eastAsia="等线" w:ascii="Arial" w:cs="Arial" w:hAnsi="Arial"/>
                <w:sz w:val="22"/>
              </w:rPr>
              <w:t>2. 点击“签订协议”按钮（免密支付/代扣协议签约）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点击首页按钮（发起支付或签约请求，处理相关数据）；</w:t>
              <w:br/>
              <w:t>2. 发起支付签约前（检查网络状态）；</w:t>
              <w:br/>
            </w:r>
            <w:r>
              <w:rPr>
                <w:rFonts w:eastAsia="等线" w:ascii="Arial" w:cs="Arial" w:hAnsi="Arial"/>
                <w:sz w:val="22"/>
              </w:rPr>
              <w:t>3. 点击支付签约按钮后（传输数据至远程服务器）</w:t>
            </w:r>
          </w:p>
        </w:tc>
        <w:tc>
          <w:tcPr>
            <w:tcW w:w="26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70%（覆盖支付、签约核心触发场景，未明确“立即付款”“签订协议”具体按钮，新增网络检查相关场景，无无关冗余）</w:t>
            </w:r>
          </w:p>
        </w:tc>
      </w:tr>
      <w:tr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数据类型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敏感个人信息：1. 支付相关（订单信息、商户编号、预支付ID）；2. 签约相关（合约签约信息、预签约号）</w:t>
            </w: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支付相关：订单信息、商户编号、预支付交易会话标识、应用标识等；</w:t>
              <w:br/>
              <w:t>2. 签约相关：预签约编号、支付合同字符串、授权标识等；</w:t>
              <w:br/>
            </w:r>
            <w:r>
              <w:rPr>
                <w:rFonts w:eastAsia="等线" w:ascii="Arial" w:cs="Arial" w:hAnsi="Arial"/>
                <w:sz w:val="22"/>
              </w:rPr>
              <w:t>3. 其他：时间戳、随机字符串、签名信息、上下文环境</w:t>
            </w:r>
          </w:p>
        </w:tc>
        <w:tc>
          <w:tcPr>
            <w:tcW w:w="26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100%（完整覆盖人工版核心敏感数据类型，新增的辅助数据均为支付/签约必需，无无关数据）</w:t>
            </w:r>
          </w:p>
        </w:tc>
      </w:tr>
      <w:tr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使用目的、方式、频率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目的：商品购买、资金结算、自动扣款、免密支付签约，验证交易合法性；</w:t>
              <w:br/>
            </w:r>
            <w:r>
              <w:rPr>
                <w:rFonts w:eastAsia="等线" w:ascii="Arial" w:cs="Arial" w:hAnsi="Arial"/>
                <w:sz w:val="22"/>
              </w:rPr>
              <w:t>方式：调用系统Payment Kit接口，本地组装参数、</w:t>
            </w:r>
            <w:r>
              <w:rPr>
                <w:rFonts w:eastAsia="等线" w:ascii="Arial" w:cs="Arial" w:hAnsi="Arial"/>
                <w:sz w:val="22"/>
                <w:shd w:fill="f76964"/>
              </w:rPr>
              <w:t>加密传输，不接触/存储支付密码等核心敏感信息；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sz w:val="22"/>
              </w:rPr>
              <w:t>频率：点击对应支付/签约按钮时触发</w:t>
            </w: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目的：完成支付交易、签约流程，验证交易合法性、处理资金流转；</w:t>
              <w:br/>
              <w:t>方式：收集用户交互应用内部数据，检查网络、调用权限传输数据至支付服务器；</w:t>
              <w:br/>
            </w:r>
            <w:r>
              <w:rPr>
                <w:rFonts w:eastAsia="等线" w:ascii="Arial" w:cs="Arial" w:hAnsi="Arial"/>
                <w:sz w:val="22"/>
              </w:rPr>
              <w:t>频率：点击支付签约按钮、发起请求前/后触发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90%（覆盖核心目的和频率，未覆盖人工版“本地组装参数、加密传输、不存储核心敏感信息”的关键处理方式）</w:t>
            </w:r>
          </w:p>
        </w:tc>
      </w:tr>
      <w:tr>
        <w:tc>
          <w:tcPr>
            <w:tcW w:w="564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大模型生成版整体覆盖率</w:t>
            </w:r>
          </w:p>
        </w:tc>
        <w:tc>
          <w:tcPr>
            <w:tcW w:w="159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4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90%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ohbili-master</w:t>
      </w:r>
      <w:bookmarkEnd w:id="1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30"/>
        <w:gridCol w:w="1620"/>
        <w:gridCol w:w="2055"/>
        <w:gridCol w:w="3060"/>
      </w:tblGrid>
      <w:tr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核心要素</w:t>
            </w:r>
          </w:p>
        </w:tc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人工撰写版内容</w:t>
            </w:r>
          </w:p>
        </w:tc>
        <w:tc>
          <w:tcPr>
            <w:tcW w:w="2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大模型生成版内容</w:t>
            </w:r>
          </w:p>
        </w:tc>
        <w:tc>
          <w:tcPr>
            <w:tcW w:w="30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大模型分项覆盖率</w:t>
            </w:r>
          </w:p>
        </w:tc>
      </w:tr>
      <w:tr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权限类型</w:t>
            </w:r>
          </w:p>
        </w:tc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网络访问权限：用于建立网络连接、上传日志信息及检测网络状态；媒体文件读取权限：用于读取本地存储中的日志文件，便于问题排查；媒体位置信息权限：用于获取媒体文件附带的位置信息，保障相关功能正常展示。</w:t>
            </w:r>
          </w:p>
        </w:tc>
        <w:tc>
          <w:tcPr>
            <w:tcW w:w="2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网络访问权限：用于实现网络连接、日志上传以及网络状态检测；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媒体文件读取权限：用于读取本地存储中的日志文件；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媒体位置信息权限：用于获取媒体文件附带的位置信息，与人工版功能无关；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网络信息获取权限：未用于实际功能场景，不作额外权限声明。</w:t>
            </w:r>
          </w:p>
        </w:tc>
        <w:tc>
          <w:tcPr>
            <w:tcW w:w="30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100%（仅覆盖网络相关核心权限，未覆盖“无需手动授权、不涉及危险权限”核心，新增无关权限）</w:t>
            </w:r>
          </w:p>
        </w:tc>
      </w:tr>
      <w:tr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触发场景</w:t>
            </w:r>
          </w:p>
        </w:tc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首次启动应用/触发“日志反馈”（生成App UUID）；</w:t>
              <w:br/>
              <w:t>2. 搜索框输入内容并点击搜索（视频搜索）；</w:t>
              <w:br/>
              <w:t>3. 应用启动及运行（监测网络、读取版本信息）；</w:t>
              <w:br/>
            </w:r>
            <w:r>
              <w:rPr>
                <w:rFonts w:eastAsia="等线" w:ascii="Arial" w:cs="Arial" w:hAnsi="Arial"/>
                <w:sz w:val="22"/>
              </w:rPr>
              <w:t>4. 进入“日志详情”页面（查看本地日志）</w:t>
            </w:r>
          </w:p>
        </w:tc>
        <w:tc>
          <w:tcPr>
            <w:tcW w:w="2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搜索栏交互、点击搜索按钮（搜索关键词处理）；</w:t>
              <w:br/>
              <w:t>2. 应用启动退出/切前后台（初始化、日志记录）；</w:t>
              <w:br/>
              <w:t>3. 反馈页面操作（查看上传日志、获取App UUID）；</w:t>
              <w:br/>
              <w:t>4. 日志详情页面（查看本地日志）；</w:t>
              <w:br/>
            </w:r>
            <w:r>
              <w:rPr>
                <w:rFonts w:eastAsia="等线" w:ascii="Arial" w:cs="Arial" w:hAnsi="Arial"/>
                <w:sz w:val="22"/>
              </w:rPr>
              <w:t>5. 视频播放热搜页面加载（相关交互）</w:t>
            </w:r>
          </w:p>
        </w:tc>
        <w:tc>
          <w:tcPr>
            <w:tcW w:w="30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100%（覆盖搜索、日志查看/上传、应用启动核心场景，未覆盖网络监测场景，新增大量无关视频、热搜交互场景）</w:t>
            </w:r>
          </w:p>
        </w:tc>
      </w:tr>
      <w:tr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数据类型</w:t>
            </w:r>
          </w:p>
        </w:tc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敏感个人信息：应用实例唯一标识符 (App UUID)；</w:t>
              <w:br/>
            </w:r>
            <w:r>
              <w:rPr>
                <w:rFonts w:eastAsia="等线" w:ascii="Arial" w:cs="Arial" w:hAnsi="Arial"/>
                <w:sz w:val="22"/>
              </w:rPr>
              <w:t>2. 一般信息：搜索关键词、网络状态、应用版本信息、运行日志</w:t>
            </w:r>
          </w:p>
        </w:tc>
        <w:tc>
          <w:tcPr>
            <w:tcW w:w="2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敏感个人信息：应用唯一标识 (appUuid)；</w:t>
              <w:br/>
              <w:t>2. 搜索相关：搜索关键词、默认占位符文本、热搜榜单数据；</w:t>
              <w:br/>
              <w:t>3. 日志相关：日志文件路径内容/名称、调试模式状态；</w:t>
              <w:br/>
            </w:r>
            <w:r>
              <w:rPr>
                <w:rFonts w:eastAsia="等线" w:ascii="Arial" w:cs="Arial" w:hAnsi="Arial"/>
                <w:sz w:val="22"/>
              </w:rPr>
              <w:t>4. 其他：应用版本、网络状态、视频元数据、屏幕信息等</w:t>
            </w:r>
          </w:p>
        </w:tc>
        <w:tc>
          <w:tcPr>
            <w:tcW w:w="30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100%（覆盖核心敏感数据及搜索、日志相关数据，新增大量视频、屏幕信息等无关数据）</w:t>
            </w:r>
          </w:p>
        </w:tc>
      </w:tr>
      <w:tr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使用目的、方式、频率</w:t>
            </w:r>
          </w:p>
        </w:tc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目的：视频搜索、故障排查、应用基础运行、日志查看；</w:t>
              <w:br/>
            </w:r>
            <w:r>
              <w:rPr>
                <w:rFonts w:eastAsia="等线" w:ascii="Arial" w:cs="Arial" w:hAnsi="Arial"/>
                <w:sz w:val="22"/>
              </w:rPr>
              <w:t>方式：调用系统接口，本地生成/处理数据，</w:t>
            </w:r>
            <w:r>
              <w:rPr>
                <w:rFonts w:eastAsia="等线" w:ascii="Arial" w:cs="Arial" w:hAnsi="Arial"/>
                <w:sz w:val="22"/>
                <w:shd w:fill="f76964"/>
              </w:rPr>
              <w:t>加密存储App UUID，加密传输搜索关键词，日志仅主动上传；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sz w:val="22"/>
              </w:rPr>
              <w:t>频率：应用启动、触发搜索日志反馈/日志查看时触发</w:t>
            </w:r>
          </w:p>
        </w:tc>
        <w:tc>
          <w:tcPr>
            <w:tcW w:w="2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目的：搜索反馈、应用初始化、故障排查、日志查看/上传、视频展示、热搜推荐；</w:t>
              <w:br/>
              <w:t>方式：收集用户输入系统/本地文件数据，调用权限上传日志、获取网络/文件信息；</w:t>
              <w:br/>
            </w:r>
            <w:r>
              <w:rPr>
                <w:rFonts w:eastAsia="等线" w:ascii="Arial" w:cs="Arial" w:hAnsi="Arial"/>
                <w:sz w:val="22"/>
              </w:rPr>
              <w:t>频率：应用生命周期事件、搜索日志/视频相关操作时触发</w:t>
            </w:r>
          </w:p>
        </w:tc>
        <w:tc>
          <w:tcPr>
            <w:tcW w:w="30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80%（覆盖搜索、故障排查、日志查看核心目的和部分方式，未覆盖加密存储/传输要点，新增大量无关目的）</w:t>
            </w:r>
          </w:p>
        </w:tc>
      </w:tr>
      <w:tr>
        <w:tc>
          <w:tcPr>
            <w:tcW w:w="520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大模型生成版整体覆盖率</w:t>
            </w:r>
          </w:p>
        </w:tc>
        <w:tc>
          <w:tcPr>
            <w:tcW w:w="16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5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0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95%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TodayNews_harmony-main</w:t>
      </w:r>
      <w:bookmarkEnd w:id="1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15"/>
        <w:gridCol w:w="1965"/>
        <w:gridCol w:w="2010"/>
        <w:gridCol w:w="2805"/>
      </w:tblGrid>
      <w:tr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核心要素</w:t>
            </w:r>
          </w:p>
        </w:tc>
        <w:tc>
          <w:tcPr>
            <w:tcW w:w="19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人工撰写版内容</w:t>
            </w:r>
          </w:p>
        </w:tc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大模型生成版内容</w:t>
            </w:r>
          </w:p>
        </w:tc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大模型分项覆盖率</w:t>
            </w:r>
          </w:p>
        </w:tc>
      </w:tr>
      <w:tr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权限类型</w:t>
            </w:r>
          </w:p>
        </w:tc>
        <w:tc>
          <w:tcPr>
            <w:tcW w:w="19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ohos.permission.INTERNET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无需手动授予任何系统权限；通过鸿蒙系统网络基础能力实现相关功能，不涉及位置、相机等危险权限</w:t>
            </w:r>
          </w:p>
        </w:tc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识别到ohos.permission.INTERNET权限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100%</w:t>
            </w:r>
          </w:p>
        </w:tc>
      </w:tr>
      <w:tr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触发场景</w:t>
            </w:r>
          </w:p>
        </w:tc>
        <w:tc>
          <w:tcPr>
            <w:tcW w:w="19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1. </w:t>
            </w:r>
            <w:r>
              <w:rPr>
                <w:rFonts w:eastAsia="等线" w:ascii="Arial" w:cs="Arial" w:hAnsi="Arial"/>
                <w:sz w:val="22"/>
                <w:shd w:fill="f76964"/>
              </w:rPr>
              <w:t>首次打开应用</w:t>
            </w:r>
            <w:r>
              <w:rPr>
                <w:rFonts w:eastAsia="等线" w:ascii="Arial" w:cs="Arial" w:hAnsi="Arial"/>
                <w:sz w:val="22"/>
              </w:rPr>
              <w:t>、进入新闻首页、下拉刷新（获取新闻列表）；</w:t>
              <w:br/>
              <w:t>2. 点击新闻标题（浏览文章详情）；</w:t>
              <w:br/>
            </w:r>
            <w:r>
              <w:rPr>
                <w:rFonts w:eastAsia="等线" w:ascii="Arial" w:cs="Arial" w:hAnsi="Arial"/>
                <w:sz w:val="22"/>
              </w:rPr>
              <w:t>3. 所有网络请求触发时（设备兼容性适配）</w:t>
            </w:r>
          </w:p>
        </w:tc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应用启动/退出/切前后台（记录日志、调试监控）；</w:t>
              <w:br/>
              <w:t>2. 新闻详情页加载（计算展示相对时间、适配屏幕）；</w:t>
              <w:br/>
            </w:r>
            <w:r>
              <w:rPr>
                <w:rFonts w:eastAsia="等线" w:ascii="Arial" w:cs="Arial" w:hAnsi="Arial"/>
                <w:sz w:val="22"/>
              </w:rPr>
              <w:t>3. 详情页滚动刷新、点击交互（加载新闻、反馈操作）</w:t>
            </w:r>
          </w:p>
        </w:tc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90%（仅部分覆盖新闻详情浏览、列表刷新场景，未覆盖首次打开应用、兼容性适配场景，新增大量日志相关无关场景）</w:t>
            </w:r>
          </w:p>
        </w:tc>
      </w:tr>
      <w:tr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数据类型</w:t>
            </w:r>
          </w:p>
        </w:tc>
        <w:tc>
          <w:tcPr>
            <w:tcW w:w="19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一般个人信息：操作时间戳、</w:t>
            </w:r>
            <w:r>
              <w:rPr>
                <w:rFonts w:eastAsia="等线" w:ascii="Arial" w:cs="Arial" w:hAnsi="Arial"/>
                <w:sz w:val="22"/>
                <w:shd w:fill="f76964"/>
              </w:rPr>
              <w:t>文章链接（URL）</w:t>
            </w:r>
            <w:r>
              <w:rPr>
                <w:rFonts w:eastAsia="等线" w:ascii="Arial" w:cs="Arial" w:hAnsi="Arial"/>
                <w:sz w:val="22"/>
              </w:rPr>
              <w:t>、浏览记录、硬编码静态User-Agent；</w:t>
              <w:br/>
            </w:r>
            <w:r>
              <w:rPr>
                <w:rFonts w:eastAsia="等线" w:ascii="Arial" w:cs="Arial" w:hAnsi="Arial"/>
                <w:sz w:val="22"/>
              </w:rPr>
              <w:t>2. 无敏感个人信息</w:t>
            </w:r>
          </w:p>
        </w:tc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一般个人信息：系统时间戳、屏幕分辨率、页面路由参数、文章数据；</w:t>
              <w:br/>
            </w:r>
            <w:r>
              <w:rPr>
                <w:rFonts w:eastAsia="等线" w:ascii="Arial" w:cs="Arial" w:hAnsi="Arial"/>
                <w:sz w:val="22"/>
              </w:rPr>
              <w:t>2. 无敏感个人信息</w:t>
            </w:r>
          </w:p>
        </w:tc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90%（覆盖部分一般个人信息，未覆盖文章链接、浏览记录、User-Agent核心数据，新增无关屏幕信息）</w:t>
            </w:r>
          </w:p>
        </w:tc>
      </w:tr>
      <w:tr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使用目的、方式、频率</w:t>
            </w:r>
          </w:p>
        </w:tc>
        <w:tc>
          <w:tcPr>
            <w:tcW w:w="19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目的：提供新闻资讯阅读、确保内容正常加载、适配移动端版式、保护设备隐私；</w:t>
              <w:br/>
            </w:r>
            <w:r>
              <w:rPr>
                <w:rFonts w:eastAsia="等线" w:ascii="Arial" w:cs="Arial" w:hAnsi="Arial"/>
                <w:sz w:val="22"/>
              </w:rPr>
              <w:t>方式</w:t>
            </w:r>
            <w:r>
              <w:rPr>
                <w:rFonts w:eastAsia="等线" w:ascii="Arial" w:cs="Arial" w:hAnsi="Arial"/>
                <w:sz w:val="22"/>
                <w:shd w:fill="f76964"/>
              </w:rPr>
              <w:t>：HTTPS加密传输数据</w:t>
            </w:r>
            <w:r>
              <w:rPr>
                <w:rFonts w:eastAsia="等线" w:ascii="Arial" w:cs="Arial" w:hAnsi="Arial"/>
                <w:sz w:val="22"/>
              </w:rPr>
              <w:t>，硬编码User-Agent，内置Web组件加载链接；</w:t>
              <w:br/>
            </w:r>
            <w:r>
              <w:rPr>
                <w:rFonts w:eastAsia="等线" w:ascii="Arial" w:cs="Arial" w:hAnsi="Arial"/>
                <w:sz w:val="22"/>
              </w:rPr>
              <w:t>频率：网络请求触发时（打开应用、刷新、点击新闻）</w:t>
            </w:r>
          </w:p>
        </w:tc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目的：调试监控、适配界面布局、展示新闻内容、响应用户交互；</w:t>
              <w:br/>
              <w:t>方式：收集系统应用内部数据，渲染界面、记录日志；</w:t>
              <w:br/>
            </w:r>
            <w:r>
              <w:rPr>
                <w:rFonts w:eastAsia="等线" w:ascii="Arial" w:cs="Arial" w:hAnsi="Arial"/>
                <w:sz w:val="22"/>
              </w:rPr>
              <w:t>频率：应用生命周期事件、新闻页面操作时触发</w:t>
            </w:r>
          </w:p>
        </w:tc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80%（覆盖部分新闻展示、交互目的，未覆盖加密传输、User-Agent适配、隐私保护等核心方式，新增无关调试目的）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549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大模型生成版整体覆盖率</w:t>
            </w:r>
          </w:p>
        </w:tc>
        <w:tc>
          <w:tcPr>
            <w:tcW w:w="196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1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90%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open_neteasy_cloud-main</w:t>
      </w:r>
      <w:bookmarkEnd w:id="12"/>
    </w:p>
    <w:p>
      <w:pPr>
        <w:spacing w:before="120" w:after="120" w:line="288" w:lineRule="auto"/>
        <w:ind w:left="0"/>
      </w:pPr>
      <w:r>
        <w:object>
          <v:shape id="_x0000_i1026" style="width:414pt;height:197pt;mso-width-percent:0;mso-height-percent:0;mso-width-percent:0;mso-height-percent:0" type="#_x0000_t75" o:ole="">
            <v:imagedata r:id="rId7" o:title=""/>
          </v:shape>
          <o:OLEObject DrawAspect="Icon" ObjectID="_1718471220" ProgID="Excel.Sheet.12" ShapeID="_x0000_i1026" Type="Embed" r:id="rId6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HarmoneyOpenEye-master</w:t>
      </w:r>
      <w:bookmarkEnd w:id="1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45"/>
        <w:gridCol w:w="1950"/>
        <w:gridCol w:w="2205"/>
        <w:gridCol w:w="2580"/>
      </w:tblGrid>
      <w:tr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核心要素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人工版</w:t>
            </w:r>
          </w:p>
        </w:tc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大模型版</w:t>
            </w:r>
          </w:p>
        </w:tc>
        <w:tc>
          <w:tcPr>
            <w:tcW w:w="25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大模型分项覆盖率</w:t>
            </w:r>
          </w:p>
        </w:tc>
      </w:tr>
      <w:tr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权限类型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无需手动授予危险权限，通过 Preferences、Network Kit 实现，不涉及位置、相机、麦克风等危险权限，数据存应用私有沙箱</w:t>
            </w:r>
          </w:p>
        </w:tc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仅提及网络访问权限，未区分危险权限，未提及 Preferences 相关权限说明</w:t>
            </w:r>
          </w:p>
        </w:tc>
        <w:tc>
          <w:tcPr>
            <w:tcW w:w="25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100%</w:t>
            </w:r>
          </w:p>
        </w:tc>
      </w:tr>
      <w:tr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触发场景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登录操作、再次打开应用、进入“我的”页面、使用联网功能</w:t>
            </w:r>
          </w:p>
        </w:tc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各类页面加载、视频播放、路由跳转、下拉刷新、点击模拟登录、页面交互等调试与展示场景</w:t>
            </w:r>
          </w:p>
        </w:tc>
        <w:tc>
          <w:tcPr>
            <w:tcW w:w="25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100%</w:t>
            </w:r>
          </w:p>
        </w:tc>
      </w:tr>
      <w:tr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数据类型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UI 状态、路由参数、视频信息、界面布局数据、测试用登录状态与用户名、各类调试日志</w:t>
            </w:r>
          </w:p>
        </w:tc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UI 状态、路由参数、视频信息、界面布局数据、测试用登录状态与用户名、各类调试日志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100%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使用目的、方式、频率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目的：登录态保持、个性化展示、网络服务；方式：</w:t>
            </w:r>
            <w:r>
              <w:rPr>
                <w:rFonts w:eastAsia="等线" w:ascii="Arial" w:cs="Arial" w:hAnsi="Arial"/>
                <w:sz w:val="22"/>
                <w:shd w:fill="f76964"/>
              </w:rPr>
              <w:t>本地加密存储、HTTPS 加密传输、日志脱敏、不上传明文</w:t>
            </w:r>
            <w:r>
              <w:rPr>
                <w:rFonts w:eastAsia="等线" w:ascii="Arial" w:cs="Arial" w:hAnsi="Arial"/>
                <w:sz w:val="22"/>
              </w:rPr>
              <w:t>；频率：登录、打开应用、进入个人页、联网时触发</w:t>
            </w:r>
          </w:p>
        </w:tc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目的：界面适配、视频播放、页面导航、开发调试、拉取业务数据；方式：记录调试日志、发起网络请求、本地暂存；频率：页面加载、用户交互、路由跳转时触发</w:t>
            </w:r>
          </w:p>
        </w:tc>
        <w:tc>
          <w:tcPr>
            <w:tcW w:w="25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80%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大模型生成版整体覆盖率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——</w:t>
            </w:r>
          </w:p>
        </w:tc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——</w:t>
            </w:r>
          </w:p>
        </w:tc>
        <w:tc>
          <w:tcPr>
            <w:tcW w:w="25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95%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Wechat_HarmonyOS-main</w:t>
      </w:r>
      <w:bookmarkEnd w:id="1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65"/>
        <w:gridCol w:w="1770"/>
        <w:gridCol w:w="1815"/>
        <w:gridCol w:w="3330"/>
      </w:tblGrid>
      <w:tr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核心要素</w:t>
            </w:r>
          </w:p>
        </w:tc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人工撰写版内容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大模型生成版内容</w:t>
            </w: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大模型分项覆盖率</w:t>
            </w:r>
          </w:p>
        </w:tc>
      </w:tr>
      <w:tr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权限类型</w:t>
            </w:r>
          </w:p>
        </w:tc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麦克风权限（语音聊天、语音转文字）；</w:t>
              <w:br/>
              <w:t>2. 媒体读写权限（相册选头像）；</w:t>
              <w:br/>
              <w:t>3. 相机权限（预留，未绑定入口）；</w:t>
              <w:br/>
            </w:r>
            <w:r>
              <w:rPr>
                <w:rFonts w:eastAsia="等线" w:ascii="Arial" w:cs="Arial" w:hAnsi="Arial"/>
                <w:sz w:val="22"/>
              </w:rPr>
              <w:t>4. 按需申请，用户可拒绝，不影响非相关功能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麦克风权限：用于进行语音录制，并发送语音消息；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网络信息获取权限：用于获取设备的网络配置信息；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媒体读写权限：用于从相册中选择图片作为个人头像；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识别到相机、网络等权限，因未定位具体功能点，未生成相关权限声明</w:t>
            </w: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100%</w:t>
            </w:r>
          </w:p>
        </w:tc>
      </w:tr>
      <w:tr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触发场景</w:t>
            </w:r>
          </w:p>
        </w:tc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进入“设备信息”页面（读取设备/网络信息）；</w:t>
              <w:br/>
              <w:t>2. 聊天界面长按“说话”按钮（语音录音）；</w:t>
              <w:br/>
              <w:t>3. 使用语音输入功能（语音转文字）；</w:t>
              <w:br/>
              <w:t>4. 点击“我的”头像选择相册更换（读取照片）；</w:t>
              <w:br/>
            </w:r>
            <w:r>
              <w:rPr>
                <w:rFonts w:eastAsia="等线" w:ascii="Arial" w:cs="Arial" w:hAnsi="Arial"/>
                <w:sz w:val="22"/>
              </w:rPr>
              <w:t>5. 聊天搜索框输入内容（暂存文本）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应用启动/退出/切前后台（记录日志、调试）；</w:t>
              <w:br/>
              <w:t>2. 聊天页面加载、点击语音图标（语音录制）；</w:t>
              <w:br/>
              <w:t>3. 进入硬件信息页面（读取设备网络信息）；</w:t>
              <w:br/>
              <w:t>4. 个人资料页点击头像（相册选头像）；</w:t>
              <w:br/>
            </w:r>
            <w:r>
              <w:rPr>
                <w:rFonts w:eastAsia="等线" w:ascii="Arial" w:cs="Arial" w:hAnsi="Arial"/>
                <w:sz w:val="22"/>
              </w:rPr>
              <w:t>5. 搜索页面输入、通讯录交互（相关操作）</w:t>
            </w: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100%（覆盖核心功能触发场景）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数据类型</w:t>
            </w:r>
          </w:p>
        </w:tc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敏感个人信息：本地IP地址、语音录音（声纹）、语音转文字、相册照片；</w:t>
              <w:br/>
            </w:r>
            <w:r>
              <w:rPr>
                <w:rFonts w:eastAsia="等线" w:ascii="Arial" w:cs="Arial" w:hAnsi="Arial"/>
                <w:sz w:val="22"/>
              </w:rPr>
              <w:t>2. 一般个人信息：设备参数、网络状态、聊天搜索文本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敏感个人信息：麦克风音频数据、相册图片文件；</w:t>
              <w:br/>
            </w:r>
            <w:r>
              <w:rPr>
                <w:rFonts w:eastAsia="等线" w:ascii="Arial" w:cs="Arial" w:hAnsi="Arial"/>
                <w:sz w:val="22"/>
              </w:rPr>
              <w:t>2. 一般个人信息：设备参数、网络配置、聊天内容、搜索文本、联系人信息</w:t>
            </w: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100%（覆盖核心敏感及一般个人信息）</w:t>
            </w:r>
          </w:p>
        </w:tc>
      </w:tr>
      <w:tr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使用目的、方式、频率</w:t>
            </w:r>
          </w:p>
        </w:tc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目的：设备信息查询、即时通讯、语音交互、个性化头像设置；</w:t>
              <w:br/>
              <w:t>方式：本地读取处理，加密存储语音，仅本地缓存图片/文本，不上传；</w:t>
              <w:br/>
            </w:r>
            <w:r>
              <w:rPr>
                <w:rFonts w:eastAsia="等线" w:ascii="Arial" w:cs="Arial" w:hAnsi="Arial"/>
                <w:sz w:val="22"/>
              </w:rPr>
              <w:t>频率：进入对应页面、触发对应操作时触发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目的：调试监控、设备信息展示、语音/文本聊天、头像设置、搜索导航；</w:t>
              <w:br/>
              <w:t>方式：收集系统用户数据，调用权限获取音频/图片，本地存储展示；</w:t>
              <w:br/>
            </w:r>
            <w:r>
              <w:rPr>
                <w:rFonts w:eastAsia="等线" w:ascii="Arial" w:cs="Arial" w:hAnsi="Arial"/>
                <w:sz w:val="22"/>
              </w:rPr>
              <w:t>频率：应用生命周期事件、对应功能操作时触发</w:t>
            </w: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100%（覆盖核心目的、方式及频率）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95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大模型生成版整体覆盖率</w:t>
            </w:r>
          </w:p>
        </w:tc>
        <w:tc>
          <w:tcPr>
            <w:tcW w:w="17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1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100%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8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embeddings/Microsoft_Excel_Worksheet1.xlsx" Type="http://schemas.openxmlformats.org/officeDocument/2006/relationships/package"/><Relationship Id="rId5" Target="media/image1.png" Type="http://schemas.openxmlformats.org/officeDocument/2006/relationships/image"/><Relationship Id="rId6" Target="embeddings/Microsoft_Excel_Worksheet2.xlsx" Type="http://schemas.openxmlformats.org/officeDocument/2006/relationships/package"/><Relationship Id="rId7" Target="media/image2.png" Type="http://schemas.openxmlformats.org/officeDocument/2006/relationships/image"/><Relationship Id="rId8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2026-03-26T12:11:47Z</dcterms:created>
  <dc:creator>Apache POI</dc:creator>
</cp:coreProperties>
</file>