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Προηγμένες Στρατηγικές Ανθεκτικότητας Byzantine, Ομόσπονδης Αντιπαλικής Εκπαίδευσης και Ασφάλειας Δικτύων IoT/OCPP</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Η ραγδαία εξέλιξη της Ομόσπονδης Μάθησης (Federated Learning - FL) έχει καταστήσει δυνατή τη συνεργατική εκπαίδευση μοντέλων μηχανικής μάθησης απευθείας σε αποκεντρωμένες συσκευές, διασφαλίζοντας την ιδιωτικότητα των δεδομένων των χρηστών</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Παρά τα πλεονεκτήματα αυτά, η ανοικτή και κατανεμημένη φύση της ομόσπονδης αρχιτεκτονικής την εκθέτει σε σοβαρές απειλές ασφάλειας, με κυριότερες τις επιθέσεις Byzantine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Σε αυτές, κακόβουλοι ή παραβιασμένοι κόμβοι (Byzantine clients) αποστέλλουν τροποποιημένες ενημερώσεις παραμέτρων (model poisoning) ή κλίσεων (gradient poisoning) στον κεντρικό διακομιστή (server), εκτρέποντας τη σύγκλιση του παγκόσμιου μοντέλου</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Παράλληλα, η εφαρμογή μεθόδων Αντιπαλικής Εκπαίδευσης (Adversarial Training - AT) σε ομόσπονδα δίκτυα (Federated Adversarial Training - FAT) προσκρούει σε περιορισμούς υπολογιστικών πόρων των συσκευών IoT και στην έντονη στατιστική ετερογένεια των δεδομένων (Non-IID)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Η παρούσα έκθεση αναλύει συστηματικά τις πιο πρόσφατες (State-of-the-Art) στρατηγικές Byzantine-robust aggregation και ομόσπονδης αντιπαλικής εκπαίδευσης, προτείνοντας παράλληλα ένα καινοτόμο πλαίσιο συνδυασμένης άμυνας για δίκτυα IoT και σταθμούς φόρτισης ηλεκτρικών οχημάτων που βασίζονται στο πρωτόκολλο OCPP (Open Charge Point Protocol)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Στρατηγικές Aggregation Ανθεκτικές σε Σφάλματα και Επιθέσεις Byzantine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Οι παραδοσιακοί αλγόριθμοι aggregation, με προεξάρχοντα τον Federated Averaging (FedAvg), βασίζονται στον απλό αριθμητικό μέσο όρο των τοπικών ενημερώσεων</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Αυτή η γραμμική προσέγγιση καθιστά το παγκόσμιο μοντέλο ευάλωτο, καθώς ακόμη και ένας μοναδικός Byzantine κόμβος μπορεί να αλλοιώσει πλήρως την κατεύθυνση σύγκλισης εισάγοντας ακραίες τιμές παραμέτρων</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Για την αντιμετώπιση αυτής της ευπάθειας, η ερευνητική κοινότητα έχει αναπτύξει μη γραμμικούς αλγορίθμους robust aggregation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Multi-Krum</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Μαθηματική και Διαισθητική Λειτουργία</w:t>
      </w:r>
      <w:r w:rsidDel="00000000" w:rsidR="00000000" w:rsidRPr="00000000">
        <w:rPr>
          <w:rFonts w:ascii="Google Sans" w:cs="Google Sans" w:eastAsia="Google Sans" w:hAnsi="Google Sans"/>
          <w:color w:val="1f1f1f"/>
          <w:rtl w:val="0"/>
        </w:rPr>
        <w:t xml:space="preserve">: Ο Multi-Krum αποτελεί μια robust παραλλαγή του βασικού αλγορίθμου Krum</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Υποθέτοντας ότι σε ένα δίκτυο με </w:t>
      </w:r>
      <w:r w:rsidDel="00000000" w:rsidR="00000000" w:rsidRPr="00000000">
        <w:rPr>
          <w:rFonts w:ascii="Google Sans" w:cs="Google Sans" w:eastAsia="Google Sans" w:hAnsi="Google Sans"/>
          <w:color w:val="1f1f1f"/>
        </w:rPr>
        <w:drawing>
          <wp:inline distB="19050" distT="19050" distL="19050" distR="19050">
            <wp:extent cx="117575" cy="282179"/>
            <wp:effectExtent b="0" l="0" r="0" t="0"/>
            <wp:docPr id="75" name="image53.png"/>
            <a:graphic>
              <a:graphicData uri="http://schemas.openxmlformats.org/drawingml/2006/picture">
                <pic:pic>
                  <pic:nvPicPr>
                    <pic:cNvPr id="0" name="image53.png"/>
                    <pic:cNvPicPr preferRelativeResize="0"/>
                  </pic:nvPicPr>
                  <pic:blipFill>
                    <a:blip r:embed="rId6"/>
                    <a:srcRect b="0" l="0" r="0" t="0"/>
                    <a:stretch>
                      <a:fillRect/>
                    </a:stretch>
                  </pic:blipFill>
                  <pic:spPr>
                    <a:xfrm>
                      <a:off x="0" y="0"/>
                      <a:ext cx="117575" cy="2821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συνολικούς κόμβους υπάρχουν το πολύ </w:t>
      </w:r>
      <w:r w:rsidDel="00000000" w:rsidR="00000000" w:rsidRPr="00000000">
        <w:rPr>
          <w:rFonts w:ascii="Google Sans" w:cs="Google Sans" w:eastAsia="Google Sans" w:hAnsi="Google Sans"/>
          <w:color w:val="1f1f1f"/>
        </w:rPr>
        <w:drawing>
          <wp:inline distB="19050" distT="19050" distL="19050" distR="19050">
            <wp:extent cx="117078" cy="280988"/>
            <wp:effectExtent b="0" l="0" r="0" t="0"/>
            <wp:docPr id="77"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17078" cy="280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Byzantine κόμβοι, ο αλγόριθμος βασίζεται στη γεωμετρική εγγύτητα των ενημερώσεων</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Για κάθε τοπική ενημέρωση (weight ή gradient vector) </w:t>
      </w:r>
      <w:r w:rsidDel="00000000" w:rsidR="00000000" w:rsidRPr="00000000">
        <w:rPr>
          <w:rFonts w:ascii="Google Sans" w:cs="Google Sans" w:eastAsia="Google Sans" w:hAnsi="Google Sans"/>
          <w:color w:val="1f1f1f"/>
        </w:rPr>
        <w:drawing>
          <wp:inline distB="19050" distT="19050" distL="19050" distR="19050">
            <wp:extent cx="150647" cy="258253"/>
            <wp:effectExtent b="0" l="0" r="0" t="0"/>
            <wp:docPr id="76"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150647" cy="258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υπολογίζεται η ευκλείδεια απόσταση από όλες τις υπόλοιπες ενημερώσεις </w:t>
      </w:r>
      <w:r w:rsidDel="00000000" w:rsidR="00000000" w:rsidRPr="00000000">
        <w:rPr>
          <w:rFonts w:ascii="Google Sans" w:cs="Google Sans" w:eastAsia="Google Sans" w:hAnsi="Google Sans"/>
          <w:color w:val="1f1f1f"/>
        </w:rPr>
        <w:drawing>
          <wp:inline distB="19050" distT="19050" distL="19050" distR="19050">
            <wp:extent cx="167680" cy="251520"/>
            <wp:effectExtent b="0" l="0" r="0" t="0"/>
            <wp:docPr id="79" name="image57.png"/>
            <a:graphic>
              <a:graphicData uri="http://schemas.openxmlformats.org/drawingml/2006/picture">
                <pic:pic>
                  <pic:nvPicPr>
                    <pic:cNvPr id="0" name="image57.png"/>
                    <pic:cNvPicPr preferRelativeResize="0"/>
                  </pic:nvPicPr>
                  <pic:blipFill>
                    <a:blip r:embed="rId9"/>
                    <a:srcRect b="0" l="0" r="0" t="0"/>
                    <a:stretch>
                      <a:fillRect/>
                    </a:stretch>
                  </pic:blipFill>
                  <pic:spPr>
                    <a:xfrm>
                      <a:off x="0" y="0"/>
                      <a:ext cx="167680" cy="25152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351447" cy="753015"/>
            <wp:effectExtent b="0" l="0" r="0" t="0"/>
            <wp:docPr id="78"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3351447" cy="75301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Για κάθε κόμβο </w:t>
      </w:r>
      <w:r w:rsidDel="00000000" w:rsidR="00000000" w:rsidRPr="00000000">
        <w:rPr>
          <w:rFonts w:ascii="Google Sans" w:cs="Google Sans" w:eastAsia="Google Sans" w:hAnsi="Google Sans"/>
          <w:color w:val="1f1f1f"/>
        </w:rPr>
        <w:drawing>
          <wp:inline distB="19050" distT="19050" distL="19050" distR="19050">
            <wp:extent cx="67634" cy="270536"/>
            <wp:effectExtent b="0" l="0" r="0" t="0"/>
            <wp:docPr id="82" name="image55.png"/>
            <a:graphic>
              <a:graphicData uri="http://schemas.openxmlformats.org/drawingml/2006/picture">
                <pic:pic>
                  <pic:nvPicPr>
                    <pic:cNvPr id="0" name="image55.png"/>
                    <pic:cNvPicPr preferRelativeResize="0"/>
                  </pic:nvPicPr>
                  <pic:blipFill>
                    <a:blip r:embed="rId11"/>
                    <a:srcRect b="0" l="0" r="0" t="0"/>
                    <a:stretch>
                      <a:fillRect/>
                    </a:stretch>
                  </pic:blipFill>
                  <pic:spPr>
                    <a:xfrm>
                      <a:off x="0" y="0"/>
                      <a:ext cx="67634" cy="2705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ορίζεται το σύνολο </w:t>
      </w:r>
      <w:r w:rsidDel="00000000" w:rsidR="00000000" w:rsidRPr="00000000">
        <w:rPr>
          <w:rFonts w:ascii="Google Sans" w:cs="Google Sans" w:eastAsia="Google Sans" w:hAnsi="Google Sans"/>
          <w:color w:val="1f1f1f"/>
        </w:rPr>
        <w:drawing>
          <wp:inline distB="19050" distT="19050" distL="19050" distR="19050">
            <wp:extent cx="192154" cy="214760"/>
            <wp:effectExtent b="0" l="0" r="0" t="0"/>
            <wp:docPr id="80" name="image38.png"/>
            <a:graphic>
              <a:graphicData uri="http://schemas.openxmlformats.org/drawingml/2006/picture">
                <pic:pic>
                  <pic:nvPicPr>
                    <pic:cNvPr id="0" name="image38.png"/>
                    <pic:cNvPicPr preferRelativeResize="0"/>
                  </pic:nvPicPr>
                  <pic:blipFill>
                    <a:blip r:embed="rId12"/>
                    <a:srcRect b="0" l="0" r="0" t="0"/>
                    <a:stretch>
                      <a:fillRect/>
                    </a:stretch>
                  </pic:blipFill>
                  <pic:spPr>
                    <a:xfrm>
                      <a:off x="0" y="0"/>
                      <a:ext cx="192154" cy="2147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των </w:t>
      </w:r>
      <w:r w:rsidDel="00000000" w:rsidR="00000000" w:rsidRPr="00000000">
        <w:rPr>
          <w:rFonts w:ascii="Google Sans" w:cs="Google Sans" w:eastAsia="Google Sans" w:hAnsi="Google Sans"/>
          <w:color w:val="1f1f1f"/>
        </w:rPr>
        <w:drawing>
          <wp:inline distB="19050" distT="19050" distL="19050" distR="19050">
            <wp:extent cx="811609" cy="256298"/>
            <wp:effectExtent b="0" l="0" r="0" t="0"/>
            <wp:docPr id="84" name="image58.png"/>
            <a:graphic>
              <a:graphicData uri="http://schemas.openxmlformats.org/drawingml/2006/picture">
                <pic:pic>
                  <pic:nvPicPr>
                    <pic:cNvPr id="0" name="image58.png"/>
                    <pic:cNvPicPr preferRelativeResize="0"/>
                  </pic:nvPicPr>
                  <pic:blipFill>
                    <a:blip r:embed="rId13"/>
                    <a:srcRect b="0" l="0" r="0" t="0"/>
                    <a:stretch>
                      <a:fillRect/>
                    </a:stretch>
                  </pic:blipFill>
                  <pic:spPr>
                    <a:xfrm>
                      <a:off x="0" y="0"/>
                      <a:ext cx="811609" cy="2562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πλησιέστερων γειτόνων του ως προς την ευκλείδεια απόσταση</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Στη συνέχεια, υπολογίζεται το σκορ Krum </w:t>
      </w:r>
      <w:r w:rsidDel="00000000" w:rsidR="00000000" w:rsidRPr="00000000">
        <w:rPr>
          <w:rFonts w:ascii="Google Sans" w:cs="Google Sans" w:eastAsia="Google Sans" w:hAnsi="Google Sans"/>
          <w:color w:val="1f1f1f"/>
        </w:rPr>
        <w:drawing>
          <wp:inline distB="19050" distT="19050" distL="19050" distR="19050">
            <wp:extent cx="312043" cy="258242"/>
            <wp:effectExtent b="0" l="0" r="0" t="0"/>
            <wp:docPr id="83" name="image48.png"/>
            <a:graphic>
              <a:graphicData uri="http://schemas.openxmlformats.org/drawingml/2006/picture">
                <pic:pic>
                  <pic:nvPicPr>
                    <pic:cNvPr id="0" name="image48.png"/>
                    <pic:cNvPicPr preferRelativeResize="0"/>
                  </pic:nvPicPr>
                  <pic:blipFill>
                    <a:blip r:embed="rId14"/>
                    <a:srcRect b="0" l="0" r="0" t="0"/>
                    <a:stretch>
                      <a:fillRect/>
                    </a:stretch>
                  </pic:blipFill>
                  <pic:spPr>
                    <a:xfrm>
                      <a:off x="0" y="0"/>
                      <a:ext cx="312043" cy="2582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ως το άθροισμα αυτών των αποστάσεων</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351447" cy="1028767"/>
            <wp:effectExtent b="0" l="0" r="0" t="0"/>
            <wp:docPr id="87" name="image44.png"/>
            <a:graphic>
              <a:graphicData uri="http://schemas.openxmlformats.org/drawingml/2006/picture">
                <pic:pic>
                  <pic:nvPicPr>
                    <pic:cNvPr id="0" name="image44.png"/>
                    <pic:cNvPicPr preferRelativeResize="0"/>
                  </pic:nvPicPr>
                  <pic:blipFill>
                    <a:blip r:embed="rId15"/>
                    <a:srcRect b="0" l="0" r="0" t="0"/>
                    <a:stretch>
                      <a:fillRect/>
                    </a:stretch>
                  </pic:blipFill>
                  <pic:spPr>
                    <a:xfrm>
                      <a:off x="0" y="0"/>
                      <a:ext cx="3351447" cy="102876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Ο Multi-Krum επιλέγει ένα υποσύνολο </w:t>
      </w:r>
      <w:r w:rsidDel="00000000" w:rsidR="00000000" w:rsidRPr="00000000">
        <w:rPr>
          <w:rFonts w:ascii="Google Sans" w:cs="Google Sans" w:eastAsia="Google Sans" w:hAnsi="Google Sans"/>
          <w:color w:val="1f1f1f"/>
        </w:rPr>
        <w:drawing>
          <wp:inline distB="19050" distT="19050" distL="19050" distR="19050">
            <wp:extent cx="131465" cy="262930"/>
            <wp:effectExtent b="0" l="0" r="0" t="0"/>
            <wp:docPr id="85" name="image54.png"/>
            <a:graphic>
              <a:graphicData uri="http://schemas.openxmlformats.org/drawingml/2006/picture">
                <pic:pic>
                  <pic:nvPicPr>
                    <pic:cNvPr id="0" name="image54.png"/>
                    <pic:cNvPicPr preferRelativeResize="0"/>
                  </pic:nvPicPr>
                  <pic:blipFill>
                    <a:blip r:embed="rId16"/>
                    <a:srcRect b="0" l="0" r="0" t="0"/>
                    <a:stretch>
                      <a:fillRect/>
                    </a:stretch>
                  </pic:blipFill>
                  <pic:spPr>
                    <a:xfrm>
                      <a:off x="0" y="0"/>
                      <a:ext cx="131465" cy="262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αποτελούμενο από τους </w:t>
      </w:r>
      <w:r w:rsidDel="00000000" w:rsidR="00000000" w:rsidRPr="00000000">
        <w:rPr>
          <w:rFonts w:ascii="Google Sans" w:cs="Google Sans" w:eastAsia="Google Sans" w:hAnsi="Google Sans"/>
          <w:color w:val="1f1f1f"/>
        </w:rPr>
        <w:drawing>
          <wp:inline distB="19050" distT="19050" distL="19050" distR="19050">
            <wp:extent cx="528671" cy="253762"/>
            <wp:effectExtent b="0" l="0" r="0" t="0"/>
            <wp:docPr id="86" name="image50.png"/>
            <a:graphic>
              <a:graphicData uri="http://schemas.openxmlformats.org/drawingml/2006/picture">
                <pic:pic>
                  <pic:nvPicPr>
                    <pic:cNvPr id="0" name="image50.png"/>
                    <pic:cNvPicPr preferRelativeResize="0"/>
                  </pic:nvPicPr>
                  <pic:blipFill>
                    <a:blip r:embed="rId17"/>
                    <a:srcRect b="0" l="0" r="0" t="0"/>
                    <a:stretch>
                      <a:fillRect/>
                    </a:stretch>
                  </pic:blipFill>
                  <pic:spPr>
                    <a:xfrm>
                      <a:off x="0" y="0"/>
                      <a:ext cx="528671" cy="2537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κόμβους με τα χαμηλότερα σκορ Krum και εξάγει τον αριθμητικό μέσο όρο των ενημερώσεών τους ως την τελική παγκόσμια ενημέρωση</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351447" cy="1049979"/>
            <wp:effectExtent b="0" l="0" r="0" t="0"/>
            <wp:docPr id="88" name="image45.png"/>
            <a:graphic>
              <a:graphicData uri="http://schemas.openxmlformats.org/drawingml/2006/picture">
                <pic:pic>
                  <pic:nvPicPr>
                    <pic:cNvPr id="0" name="image45.png"/>
                    <pic:cNvPicPr preferRelativeResize="0"/>
                  </pic:nvPicPr>
                  <pic:blipFill>
                    <a:blip r:embed="rId18"/>
                    <a:srcRect b="0" l="0" r="0" t="0"/>
                    <a:stretch>
                      <a:fillRect/>
                    </a:stretch>
                  </pic:blipFill>
                  <pic:spPr>
                    <a:xfrm>
                      <a:off x="0" y="0"/>
                      <a:ext cx="3351447" cy="1049979"/>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Πλεονεκτήματα και Μειονεκτήματα σε Non-IID Δεδομένα</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Πλεονεκτήματα</w:t>
      </w:r>
      <w:r w:rsidDel="00000000" w:rsidR="00000000" w:rsidRPr="00000000">
        <w:rPr>
          <w:rFonts w:ascii="Google Sans" w:cs="Google Sans" w:eastAsia="Google Sans" w:hAnsi="Google Sans"/>
          <w:color w:val="1f1f1f"/>
          <w:rtl w:val="0"/>
        </w:rPr>
        <w:t xml:space="preserve">: Παρουσιάζει χαμηλή υπολογιστική πολυπλοκότητα </w:t>
      </w:r>
      <w:r w:rsidDel="00000000" w:rsidR="00000000" w:rsidRPr="00000000">
        <w:rPr>
          <w:rFonts w:ascii="Google Sans" w:cs="Google Sans" w:eastAsia="Google Sans" w:hAnsi="Google Sans"/>
          <w:color w:val="1f1f1f"/>
        </w:rPr>
        <w:drawing>
          <wp:inline distB="19050" distT="19050" distL="19050" distR="19050">
            <wp:extent cx="746787" cy="256041"/>
            <wp:effectExtent b="0" l="0" r="0" t="0"/>
            <wp:docPr id="89" name="image51.png"/>
            <a:graphic>
              <a:graphicData uri="http://schemas.openxmlformats.org/drawingml/2006/picture">
                <pic:pic>
                  <pic:nvPicPr>
                    <pic:cNvPr id="0" name="image51.png"/>
                    <pic:cNvPicPr preferRelativeResize="0"/>
                  </pic:nvPicPr>
                  <pic:blipFill>
                    <a:blip r:embed="rId19"/>
                    <a:srcRect b="0" l="0" r="0" t="0"/>
                    <a:stretch>
                      <a:fillRect/>
                    </a:stretch>
                  </pic:blipFill>
                  <pic:spPr>
                    <a:xfrm>
                      <a:off x="0" y="0"/>
                      <a:ext cx="746787" cy="2560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καθιστώντας τον κατάλληλο για μοντέλα με μεγάλο αριθμό παραμέτρων </w:t>
      </w:r>
      <w:r w:rsidDel="00000000" w:rsidR="00000000" w:rsidRPr="00000000">
        <w:rPr>
          <w:rFonts w:ascii="Google Sans" w:cs="Google Sans" w:eastAsia="Google Sans" w:hAnsi="Google Sans"/>
          <w:color w:val="1f1f1f"/>
        </w:rPr>
        <w:drawing>
          <wp:inline distB="19050" distT="19050" distL="19050" distR="19050">
            <wp:extent cx="102030" cy="272080"/>
            <wp:effectExtent b="0" l="0" r="0" t="0"/>
            <wp:docPr id="90" name="image49.png"/>
            <a:graphic>
              <a:graphicData uri="http://schemas.openxmlformats.org/drawingml/2006/picture">
                <pic:pic>
                  <pic:nvPicPr>
                    <pic:cNvPr id="0" name="image49.png"/>
                    <pic:cNvPicPr preferRelativeResize="0"/>
                  </pic:nvPicPr>
                  <pic:blipFill>
                    <a:blip r:embed="rId20"/>
                    <a:srcRect b="0" l="0" r="0" t="0"/>
                    <a:stretch>
                      <a:fillRect/>
                    </a:stretch>
                  </pic:blipFill>
                  <pic:spPr>
                    <a:xfrm>
                      <a:off x="0" y="0"/>
                      <a:ext cx="102030" cy="27208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Επιπλέον, προσφέρει θεωρητικές εγγυήσεις σύγκλισης σε iid περιβάλλοντα, μειώνοντας τη διακύμανση σε σχέση με τον απλό Krum</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Μειονεκτήματα</w:t>
      </w:r>
      <w:r w:rsidDel="00000000" w:rsidR="00000000" w:rsidRPr="00000000">
        <w:rPr>
          <w:rFonts w:ascii="Google Sans" w:cs="Google Sans" w:eastAsia="Google Sans" w:hAnsi="Google Sans"/>
          <w:color w:val="1f1f1f"/>
          <w:rtl w:val="0"/>
        </w:rPr>
        <w:t xml:space="preserve">: Σε Non-IID δεδομένα, οι τοπικές ενημερώσεις των έντιμων κόμβων αποκλίνουν γεωμετρικά λόγω της στατιστικής ετερογένειας και όχι λόγω κακόβουλης συμπεριφοράς</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Ως εκ τούτου, ο Multi-Krum τείνει να απορρίπτει έντιμους κόμβους που διαθέτουν εξειδικευμένα ή μειονοτικά δεδομένα (υψηλό false positive rate), προκαλώντας σοβαρή υποβάθμιση της γενικευτικής ικανότητας του παγκόσμιου μοντέλου</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Επιπλέον, υπόκειται στην "κατάρα της διάστασης" (curse of dimensionality), επιτρέποντας σε εξελιγμένους επιτιθέμενους να εισάγουν κακόβουλες ενημερώσεις εντός ενός ορίου </w:t>
      </w:r>
      <w:r w:rsidDel="00000000" w:rsidR="00000000" w:rsidRPr="00000000">
        <w:rPr>
          <w:rFonts w:ascii="Google Sans" w:cs="Google Sans" w:eastAsia="Google Sans" w:hAnsi="Google Sans"/>
          <w:color w:val="1f1f1f"/>
        </w:rPr>
        <w:drawing>
          <wp:inline distB="19050" distT="19050" distL="19050" distR="19050">
            <wp:extent cx="572327" cy="259167"/>
            <wp:effectExtent b="0" l="0" r="0" t="0"/>
            <wp:docPr id="91"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572327" cy="2591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χωρίς να εντοπιστούν</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Ενσωμάτωση ως Καινοτομία σε Ερευνητική Εργασία</w:t>
      </w:r>
      <w:r w:rsidDel="00000000" w:rsidR="00000000" w:rsidRPr="00000000">
        <w:rPr>
          <w:rFonts w:ascii="Google Sans" w:cs="Google Sans" w:eastAsia="Google Sans" w:hAnsi="Google Sans"/>
          <w:color w:val="1f1f1f"/>
          <w:rtl w:val="0"/>
        </w:rPr>
        <w:t xml:space="preserve">: Ο Multi-Krum μπορεί να ενσωματωθεί ως "Dynamic Density-Aware Multi-Krum". Η καινοτομία έγκειται στην εισαγωγή ενός δυναμικού ορίου γειτονιάς </w:t>
      </w:r>
      <w:r w:rsidDel="00000000" w:rsidR="00000000" w:rsidRPr="00000000">
        <w:rPr>
          <w:rFonts w:ascii="Google Sans" w:cs="Google Sans" w:eastAsia="Google Sans" w:hAnsi="Google Sans"/>
          <w:color w:val="1f1f1f"/>
        </w:rPr>
        <w:drawing>
          <wp:inline distB="19050" distT="19050" distL="19050" distR="19050">
            <wp:extent cx="192154" cy="214760"/>
            <wp:effectExtent b="0" l="0" r="0" t="0"/>
            <wp:docPr id="92" name="image38.png"/>
            <a:graphic>
              <a:graphicData uri="http://schemas.openxmlformats.org/drawingml/2006/picture">
                <pic:pic>
                  <pic:nvPicPr>
                    <pic:cNvPr id="0" name="image38.png"/>
                    <pic:cNvPicPr preferRelativeResize="0"/>
                  </pic:nvPicPr>
                  <pic:blipFill>
                    <a:blip r:embed="rId12"/>
                    <a:srcRect b="0" l="0" r="0" t="0"/>
                    <a:stretch>
                      <a:fillRect/>
                    </a:stretch>
                  </pic:blipFill>
                  <pic:spPr>
                    <a:xfrm>
                      <a:off x="0" y="0"/>
                      <a:ext cx="192154" cy="2147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που δεν είναι σταθερό (</w:t>
      </w:r>
      <w:r w:rsidDel="00000000" w:rsidR="00000000" w:rsidRPr="00000000">
        <w:rPr>
          <w:rFonts w:ascii="Google Sans" w:cs="Google Sans" w:eastAsia="Google Sans" w:hAnsi="Google Sans"/>
          <w:color w:val="1f1f1f"/>
        </w:rPr>
        <w:drawing>
          <wp:inline distB="19050" distT="19050" distL="19050" distR="19050">
            <wp:extent cx="811609" cy="256298"/>
            <wp:effectExtent b="0" l="0" r="0" t="0"/>
            <wp:docPr id="93" name="image58.png"/>
            <a:graphic>
              <a:graphicData uri="http://schemas.openxmlformats.org/drawingml/2006/picture">
                <pic:pic>
                  <pic:nvPicPr>
                    <pic:cNvPr id="0" name="image58.png"/>
                    <pic:cNvPicPr preferRelativeResize="0"/>
                  </pic:nvPicPr>
                  <pic:blipFill>
                    <a:blip r:embed="rId13"/>
                    <a:srcRect b="0" l="0" r="0" t="0"/>
                    <a:stretch>
                      <a:fillRect/>
                    </a:stretch>
                  </pic:blipFill>
                  <pic:spPr>
                    <a:xfrm>
                      <a:off x="0" y="0"/>
                      <a:ext cx="811609" cy="2562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αλλά μεταβάλλεται ανάλογα με την τοπική πυκνότητα των κλίσεων στον χώρο των παραμέτρων, η οποία εκτιμάται μέσω μη εποπτευόμενης ομαδοποίησης (π.χ. DBSCAN) σε έναν χώρο μειωμένης διάστασης. Αυτό επιτρέπει τη διατήρηση των έντιμων Non-IID αποκλίσεων.</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Bulyan</w:t>
      </w:r>
    </w:p>
    <w:p w:rsidR="00000000" w:rsidDel="00000000" w:rsidP="00000000" w:rsidRDefault="00000000" w:rsidRPr="00000000" w14:paraId="0000000D">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Μαθηματική και Διαισθητική Λειτουργία</w:t>
      </w:r>
      <w:r w:rsidDel="00000000" w:rsidR="00000000" w:rsidRPr="00000000">
        <w:rPr>
          <w:rFonts w:ascii="Google Sans" w:cs="Google Sans" w:eastAsia="Google Sans" w:hAnsi="Google Sans"/>
          <w:color w:val="1f1f1f"/>
          <w:rtl w:val="0"/>
        </w:rPr>
        <w:t xml:space="preserve">: Ο Bulyan αποτελεί μια υβριδική, διπλά θωρακισμένη στρατηγική aggregation που λειτουργεί πάνω από έναν υπάρχοντα robust selector (όπως ο Multi-Krum)</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Η διαδικασία εκτελείται σε δύο στάδια</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numPr>
          <w:ilvl w:val="1"/>
          <w:numId w:val="1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Στάδιο Επιλογής</w:t>
      </w:r>
      <w:r w:rsidDel="00000000" w:rsidR="00000000" w:rsidRPr="00000000">
        <w:rPr>
          <w:rFonts w:ascii="Google Sans" w:cs="Google Sans" w:eastAsia="Google Sans" w:hAnsi="Google Sans"/>
          <w:color w:val="1f1f1f"/>
          <w:rtl w:val="0"/>
        </w:rPr>
        <w:t xml:space="preserve">: Ο server εφαρμόζει αναδρομικά τον υποκείμενο robust selector για να απομονώσει ένα "ασφαλές" σύνολο ενημερώσεων </w:t>
      </w:r>
      <w:r w:rsidDel="00000000" w:rsidR="00000000" w:rsidRPr="00000000">
        <w:rPr>
          <w:rFonts w:ascii="Google Sans" w:cs="Google Sans" w:eastAsia="Google Sans" w:hAnsi="Google Sans"/>
          <w:color w:val="1f1f1f"/>
        </w:rPr>
        <w:drawing>
          <wp:inline distB="19050" distT="19050" distL="19050" distR="19050">
            <wp:extent cx="131465" cy="262930"/>
            <wp:effectExtent b="0" l="0" r="0" t="0"/>
            <wp:docPr id="94" name="image54.png"/>
            <a:graphic>
              <a:graphicData uri="http://schemas.openxmlformats.org/drawingml/2006/picture">
                <pic:pic>
                  <pic:nvPicPr>
                    <pic:cNvPr id="0" name="image54.png"/>
                    <pic:cNvPicPr preferRelativeResize="0"/>
                  </pic:nvPicPr>
                  <pic:blipFill>
                    <a:blip r:embed="rId16"/>
                    <a:srcRect b="0" l="0" r="0" t="0"/>
                    <a:stretch>
                      <a:fillRect/>
                    </a:stretch>
                  </pic:blipFill>
                  <pic:spPr>
                    <a:xfrm>
                      <a:off x="0" y="0"/>
                      <a:ext cx="131465" cy="262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μεγέθους </w:t>
      </w:r>
      <w:r w:rsidDel="00000000" w:rsidR="00000000" w:rsidRPr="00000000">
        <w:rPr>
          <w:rFonts w:ascii="Google Sans" w:cs="Google Sans" w:eastAsia="Google Sans" w:hAnsi="Google Sans"/>
          <w:color w:val="1f1f1f"/>
        </w:rPr>
        <w:drawing>
          <wp:inline distB="19050" distT="19050" distL="19050" distR="19050">
            <wp:extent cx="821531" cy="224054"/>
            <wp:effectExtent b="0" l="0" r="0" t="0"/>
            <wp:docPr id="95"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821531" cy="22405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numPr>
          <w:ilvl w:val="1"/>
          <w:numId w:val="1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Στάδιο Coordinate-wise Trimming</w:t>
      </w:r>
      <w:r w:rsidDel="00000000" w:rsidR="00000000" w:rsidRPr="00000000">
        <w:rPr>
          <w:rFonts w:ascii="Google Sans" w:cs="Google Sans" w:eastAsia="Google Sans" w:hAnsi="Google Sans"/>
          <w:color w:val="1f1f1f"/>
          <w:rtl w:val="0"/>
        </w:rPr>
        <w:t xml:space="preserve">: Για κάθε διάσταση (coordinate) </w:t>
      </w:r>
      <w:r w:rsidDel="00000000" w:rsidR="00000000" w:rsidRPr="00000000">
        <w:rPr>
          <w:rFonts w:ascii="Google Sans" w:cs="Google Sans" w:eastAsia="Google Sans" w:hAnsi="Google Sans"/>
          <w:color w:val="1f1f1f"/>
        </w:rPr>
        <w:drawing>
          <wp:inline distB="19050" distT="19050" distL="19050" distR="19050">
            <wp:extent cx="1164336" cy="256368"/>
            <wp:effectExtent b="0" l="0" r="0" t="0"/>
            <wp:docPr id="65"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1164336" cy="2563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των επιλεγμένων διανυσμάτων στο </w:t>
      </w:r>
      <w:r w:rsidDel="00000000" w:rsidR="00000000" w:rsidRPr="00000000">
        <w:rPr>
          <w:rFonts w:ascii="Google Sans" w:cs="Google Sans" w:eastAsia="Google Sans" w:hAnsi="Google Sans"/>
          <w:color w:val="1f1f1f"/>
        </w:rPr>
        <w:drawing>
          <wp:inline distB="19050" distT="19050" distL="19050" distR="19050">
            <wp:extent cx="131465" cy="262930"/>
            <wp:effectExtent b="0" l="0" r="0" t="0"/>
            <wp:docPr id="66" name="image54.png"/>
            <a:graphic>
              <a:graphicData uri="http://schemas.openxmlformats.org/drawingml/2006/picture">
                <pic:pic>
                  <pic:nvPicPr>
                    <pic:cNvPr id="0" name="image54.png"/>
                    <pic:cNvPicPr preferRelativeResize="0"/>
                  </pic:nvPicPr>
                  <pic:blipFill>
                    <a:blip r:embed="rId16"/>
                    <a:srcRect b="0" l="0" r="0" t="0"/>
                    <a:stretch>
                      <a:fillRect/>
                    </a:stretch>
                  </pic:blipFill>
                  <pic:spPr>
                    <a:xfrm>
                      <a:off x="0" y="0"/>
                      <a:ext cx="131465" cy="262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ο Bulyan ταξινομεί τις τιμές, αφαιρεί τις ακραίες τιμές (ποσοστό </w:t>
      </w:r>
      <w:r w:rsidDel="00000000" w:rsidR="00000000" w:rsidRPr="00000000">
        <w:rPr>
          <w:rFonts w:ascii="Google Sans" w:cs="Google Sans" w:eastAsia="Google Sans" w:hAnsi="Google Sans"/>
          <w:color w:val="1f1f1f"/>
        </w:rPr>
        <w:drawing>
          <wp:inline distB="19050" distT="19050" distL="19050" distR="19050">
            <wp:extent cx="934310" cy="254812"/>
            <wp:effectExtent b="0" l="0" r="0" t="0"/>
            <wp:docPr id="67" name="image42.png"/>
            <a:graphic>
              <a:graphicData uri="http://schemas.openxmlformats.org/drawingml/2006/picture">
                <pic:pic>
                  <pic:nvPicPr>
                    <pic:cNvPr id="0" name="image42.png"/>
                    <pic:cNvPicPr preferRelativeResize="0"/>
                  </pic:nvPicPr>
                  <pic:blipFill>
                    <a:blip r:embed="rId24"/>
                    <a:srcRect b="0" l="0" r="0" t="0"/>
                    <a:stretch>
                      <a:fillRect/>
                    </a:stretch>
                  </pic:blipFill>
                  <pic:spPr>
                    <a:xfrm>
                      <a:off x="0" y="0"/>
                      <a:ext cx="934310" cy="2548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και υπολογίζει τον trimmed mean των υπολοίπων</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125886" cy="964256"/>
            <wp:effectExtent b="0" l="0" r="0" t="0"/>
            <wp:docPr id="68"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3125886" cy="96425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Αυτή η coordinate-wise επεξεργασία διασφαλίζει ότι ακόμη και αν μια κακόβουλη ενημέρωση καταφέρει να εισέλθει στο σύνολο </w:t>
      </w:r>
      <w:r w:rsidDel="00000000" w:rsidR="00000000" w:rsidRPr="00000000">
        <w:rPr>
          <w:rFonts w:ascii="Google Sans" w:cs="Google Sans" w:eastAsia="Google Sans" w:hAnsi="Google Sans"/>
          <w:color w:val="1f1f1f"/>
        </w:rPr>
        <w:drawing>
          <wp:inline distB="19050" distT="19050" distL="19050" distR="19050">
            <wp:extent cx="131465" cy="262930"/>
            <wp:effectExtent b="0" l="0" r="0" t="0"/>
            <wp:docPr id="69" name="image54.png"/>
            <a:graphic>
              <a:graphicData uri="http://schemas.openxmlformats.org/drawingml/2006/picture">
                <pic:pic>
                  <pic:nvPicPr>
                    <pic:cNvPr id="0" name="image54.png"/>
                    <pic:cNvPicPr preferRelativeResize="0"/>
                  </pic:nvPicPr>
                  <pic:blipFill>
                    <a:blip r:embed="rId16"/>
                    <a:srcRect b="0" l="0" r="0" t="0"/>
                    <a:stretch>
                      <a:fillRect/>
                    </a:stretch>
                  </pic:blipFill>
                  <pic:spPr>
                    <a:xfrm>
                      <a:off x="0" y="0"/>
                      <a:ext cx="131465" cy="262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λόγω της γεωμετρικής της εγγύτητας, οι επιμέρους ακραίες τιμές της στις διάφορες διαστάσεις θα εξομαλυνθούν</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Πλεονεκτήματα και Μειονεκτήματα σε Non-IID Δεδομένα</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Πλεονεκτήματα</w:t>
      </w:r>
      <w:r w:rsidDel="00000000" w:rsidR="00000000" w:rsidRPr="00000000">
        <w:rPr>
          <w:rFonts w:ascii="Google Sans" w:cs="Google Sans" w:eastAsia="Google Sans" w:hAnsi="Google Sans"/>
          <w:color w:val="1f1f1f"/>
          <w:rtl w:val="0"/>
        </w:rPr>
        <w:t xml:space="preserve">: Παρέχει τις ισχυρότερες θεωρητικές εγγυήσεις ασφάλειας, μειώνοντας δραστικά το περιθώριο ελιγμών του επιτιθέμενου από </w:t>
      </w:r>
      <w:r w:rsidDel="00000000" w:rsidR="00000000" w:rsidRPr="00000000">
        <w:rPr>
          <w:rFonts w:ascii="Google Sans" w:cs="Google Sans" w:eastAsia="Google Sans" w:hAnsi="Google Sans"/>
          <w:color w:val="1f1f1f"/>
        </w:rPr>
        <w:drawing>
          <wp:inline distB="19050" distT="19050" distL="19050" distR="19050">
            <wp:extent cx="572327" cy="259167"/>
            <wp:effectExtent b="0" l="0" r="0" t="0"/>
            <wp:docPr id="70"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572327" cy="2591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σε </w:t>
      </w:r>
      <w:r w:rsidDel="00000000" w:rsidR="00000000" w:rsidRPr="00000000">
        <w:rPr>
          <w:rFonts w:ascii="Google Sans" w:cs="Google Sans" w:eastAsia="Google Sans" w:hAnsi="Google Sans"/>
          <w:color w:val="1f1f1f"/>
        </w:rPr>
        <w:drawing>
          <wp:inline distB="19050" distT="19050" distL="19050" distR="19050">
            <wp:extent cx="768284" cy="256095"/>
            <wp:effectExtent b="0" l="0" r="0" t="0"/>
            <wp:docPr id="71" name="image43.png"/>
            <a:graphic>
              <a:graphicData uri="http://schemas.openxmlformats.org/drawingml/2006/picture">
                <pic:pic>
                  <pic:nvPicPr>
                    <pic:cNvPr id="0" name="image43.png"/>
                    <pic:cNvPicPr preferRelativeResize="0"/>
                  </pic:nvPicPr>
                  <pic:blipFill>
                    <a:blip r:embed="rId26"/>
                    <a:srcRect b="0" l="0" r="0" t="0"/>
                    <a:stretch>
                      <a:fillRect/>
                    </a:stretch>
                  </pic:blipFill>
                  <pic:spPr>
                    <a:xfrm>
                      <a:off x="0" y="0"/>
                      <a:ext cx="768284" cy="2560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αποτρέποντας τη διολίσθηση του μοντέλου σε ανεπιθύμητα τοπικά ελάχιστα</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Μειονεκτήματα</w:t>
      </w:r>
      <w:r w:rsidDel="00000000" w:rsidR="00000000" w:rsidRPr="00000000">
        <w:rPr>
          <w:rFonts w:ascii="Google Sans" w:cs="Google Sans" w:eastAsia="Google Sans" w:hAnsi="Google Sans"/>
          <w:color w:val="1f1f1f"/>
          <w:rtl w:val="0"/>
        </w:rPr>
        <w:t xml:space="preserve">: Παρουσιάζει εξαιρετικά υψηλό υπολογιστικό κόστος λόγω της αναδρομικής εφαρμογής του Multi-Krum και της coordinate-wise ταξινόμησης σε διανύσματα δισεκατομμυρίων παραμέτρων</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Σε Non-IID περιβάλλοντα, η ανεξάρτητη επεξεργασία κάθε διάστασης (coordinate-wise trimming) καταστρέφει τις συσχετίσεις μεταξύ των παραμέτρων του μοντέλου, οδηγώντας σε πλήρη αποδιοργάνωση των αναπαραστάσεων που έχουν μάθει οι έντιμοι κόμβοι</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Ενσωμάτωση ως Καινοτομία σε Ερευνητική Εργασία</w:t>
      </w:r>
      <w:r w:rsidDel="00000000" w:rsidR="00000000" w:rsidRPr="00000000">
        <w:rPr>
          <w:rFonts w:ascii="Google Sans" w:cs="Google Sans" w:eastAsia="Google Sans" w:hAnsi="Google Sans"/>
          <w:color w:val="1f1f1f"/>
          <w:rtl w:val="0"/>
        </w:rPr>
        <w:t xml:space="preserve">: Μπορεί να προταθεί ο "Covariance-Preserving Block-Bulyan". Αντί για coordinate-wise επεξεργασία, οι παράμετροι ομαδοποιούνται σε λειτουργικά blocks (π.χ. ανά layer ή attention head) και εφαρμόζεται πολυμεταβλητή robust εκτίμηση (όπως ο Mahalanobis trimmed mean) επί των blocks, διασφαλίζοντας τη διατήρηση των δομικών συσχετίσεων των βαρών υπό Non-IID συνθήκες.</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Divide-and-Conquer (DnC)</w:t>
      </w:r>
    </w:p>
    <w:p w:rsidR="00000000" w:rsidDel="00000000" w:rsidP="00000000" w:rsidRDefault="00000000" w:rsidRPr="00000000" w14:paraId="00000015">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Μαθηματική και Διαισθητική Λειτουργία</w:t>
      </w:r>
      <w:r w:rsidDel="00000000" w:rsidR="00000000" w:rsidRPr="00000000">
        <w:rPr>
          <w:rFonts w:ascii="Google Sans" w:cs="Google Sans" w:eastAsia="Google Sans" w:hAnsi="Google Sans"/>
          <w:color w:val="1f1f1f"/>
          <w:rtl w:val="0"/>
        </w:rPr>
        <w:t xml:space="preserve">: Ο DnC προσεγγίζει το πρόβλημα της Byzantine ανθεκτικότητας μέσω φασματικής ανάλυσης (Spectral Analysis) και ανίχνευσης ιδιοτιμών στον πίνακα συνδιακύμανσης των ενημερώσεων</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Η βασική διαισθητική αρχή είναι ότι οι αποτελεσματικές επιθέσεις model poisoning πρέπει να εισάγουν ενημερώσεις που αποκλίνουν σημαντικά κατά μήκος μιας συγκεκριμένης κατεύθυνσης μέγιστης διακύμανσης</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Η μαθηματική ροή του αλγορίθμου περιλαμβάνει τα εξής στάδια</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Μείωση Διαστάσεων</w:t>
      </w:r>
      <w:r w:rsidDel="00000000" w:rsidR="00000000" w:rsidRPr="00000000">
        <w:rPr>
          <w:rFonts w:ascii="Google Sans" w:cs="Google Sans" w:eastAsia="Google Sans" w:hAnsi="Google Sans"/>
          <w:color w:val="1f1f1f"/>
          <w:rtl w:val="0"/>
        </w:rPr>
        <w:t xml:space="preserve">: Λόγω του εξαιρετικά υψηλού </w:t>
      </w:r>
      <w:r w:rsidDel="00000000" w:rsidR="00000000" w:rsidRPr="00000000">
        <w:rPr>
          <w:rFonts w:ascii="Google Sans" w:cs="Google Sans" w:eastAsia="Google Sans" w:hAnsi="Google Sans"/>
          <w:color w:val="1f1f1f"/>
        </w:rPr>
        <w:drawing>
          <wp:inline distB="19050" distT="19050" distL="19050" distR="19050">
            <wp:extent cx="102030" cy="272080"/>
            <wp:effectExtent b="0" l="0" r="0" t="0"/>
            <wp:docPr id="72" name="image49.png"/>
            <a:graphic>
              <a:graphicData uri="http://schemas.openxmlformats.org/drawingml/2006/picture">
                <pic:pic>
                  <pic:nvPicPr>
                    <pic:cNvPr id="0" name="image49.png"/>
                    <pic:cNvPicPr preferRelativeResize="0"/>
                  </pic:nvPicPr>
                  <pic:blipFill>
                    <a:blip r:embed="rId20"/>
                    <a:srcRect b="0" l="0" r="0" t="0"/>
                    <a:stretch>
                      <a:fillRect/>
                    </a:stretch>
                  </pic:blipFill>
                  <pic:spPr>
                    <a:xfrm>
                      <a:off x="0" y="0"/>
                      <a:ext cx="102030" cy="2720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εφαρμόζεται τυχαία προβολή (random projection) ή randomized SVD για τη μείωση της διάστασης των τοπικών ενημερώσεων </w:t>
      </w:r>
      <w:r w:rsidDel="00000000" w:rsidR="00000000" w:rsidRPr="00000000">
        <w:rPr>
          <w:rFonts w:ascii="Google Sans" w:cs="Google Sans" w:eastAsia="Google Sans" w:hAnsi="Google Sans"/>
          <w:color w:val="1f1f1f"/>
        </w:rPr>
        <w:drawing>
          <wp:inline distB="19050" distT="19050" distL="19050" distR="19050">
            <wp:extent cx="150647" cy="258253"/>
            <wp:effectExtent b="0" l="0" r="0" t="0"/>
            <wp:docPr id="73"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150647" cy="258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σε έναν χώρο διάστασης </w:t>
      </w:r>
      <w:r w:rsidDel="00000000" w:rsidR="00000000" w:rsidRPr="00000000">
        <w:rPr>
          <w:rFonts w:ascii="Google Sans" w:cs="Google Sans" w:eastAsia="Google Sans" w:hAnsi="Google Sans"/>
          <w:color w:val="1f1f1f"/>
        </w:rPr>
        <w:drawing>
          <wp:inline distB="19050" distT="19050" distL="19050" distR="19050">
            <wp:extent cx="515111" cy="257556"/>
            <wp:effectExtent b="0" l="0" r="0" t="0"/>
            <wp:docPr id="74" name="image37.png"/>
            <a:graphic>
              <a:graphicData uri="http://schemas.openxmlformats.org/drawingml/2006/picture">
                <pic:pic>
                  <pic:nvPicPr>
                    <pic:cNvPr id="0" name="image37.png"/>
                    <pic:cNvPicPr preferRelativeResize="0"/>
                  </pic:nvPicPr>
                  <pic:blipFill>
                    <a:blip r:embed="rId27"/>
                    <a:srcRect b="0" l="0" r="0" t="0"/>
                    <a:stretch>
                      <a:fillRect/>
                    </a:stretch>
                  </pic:blipFill>
                  <pic:spPr>
                    <a:xfrm>
                      <a:off x="0" y="0"/>
                      <a:ext cx="515111" cy="257556"/>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Φασματική Αποσύνθεση</w:t>
      </w:r>
      <w:r w:rsidDel="00000000" w:rsidR="00000000" w:rsidRPr="00000000">
        <w:rPr>
          <w:rFonts w:ascii="Google Sans" w:cs="Google Sans" w:eastAsia="Google Sans" w:hAnsi="Google Sans"/>
          <w:color w:val="1f1f1f"/>
          <w:rtl w:val="0"/>
        </w:rPr>
        <w:t xml:space="preserve">: Κατασκευάζεται ο κεντραρισμένος πίνακας ενημερώσεων </w:t>
      </w:r>
      <w:r w:rsidDel="00000000" w:rsidR="00000000" w:rsidRPr="00000000">
        <w:rPr>
          <w:rFonts w:ascii="Google Sans" w:cs="Google Sans" w:eastAsia="Google Sans" w:hAnsi="Google Sans"/>
          <w:color w:val="1f1f1f"/>
        </w:rPr>
        <w:drawing>
          <wp:inline distB="19050" distT="19050" distL="19050" distR="19050">
            <wp:extent cx="867833" cy="257136"/>
            <wp:effectExtent b="0" l="0" r="0" t="0"/>
            <wp:docPr id="11"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867833" cy="2571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και υπολογίζεται το κύριο ιδιοδιάνυσμα </w:t>
      </w:r>
      <w:r w:rsidDel="00000000" w:rsidR="00000000" w:rsidRPr="00000000">
        <w:rPr>
          <w:rFonts w:ascii="Google Sans" w:cs="Google Sans" w:eastAsia="Google Sans" w:hAnsi="Google Sans"/>
          <w:color w:val="1f1f1f"/>
        </w:rPr>
        <w:drawing>
          <wp:inline distB="19050" distT="19050" distL="19050" distR="19050">
            <wp:extent cx="89958" cy="236141"/>
            <wp:effectExtent b="0" l="0" r="0" t="0"/>
            <wp:docPr id="12"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89958" cy="2361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(principal component) του πίνακα </w:t>
      </w:r>
      <w:r w:rsidDel="00000000" w:rsidR="00000000" w:rsidRPr="00000000">
        <w:rPr>
          <w:rFonts w:ascii="Google Sans" w:cs="Google Sans" w:eastAsia="Google Sans" w:hAnsi="Google Sans"/>
          <w:color w:val="1f1f1f"/>
        </w:rPr>
        <w:drawing>
          <wp:inline distB="19050" distT="19050" distL="19050" distR="19050">
            <wp:extent cx="470463" cy="224539"/>
            <wp:effectExtent b="0" l="0" r="0" t="0"/>
            <wp:docPr id="13"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470463" cy="2245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το οποίο αντιστοιχεί στη διεύθυνση της μέγιστης διακύμανσης</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Προβολή και Φιλτράρισμα</w:t>
      </w:r>
      <w:r w:rsidDel="00000000" w:rsidR="00000000" w:rsidRPr="00000000">
        <w:rPr>
          <w:rFonts w:ascii="Google Sans" w:cs="Google Sans" w:eastAsia="Google Sans" w:hAnsi="Google Sans"/>
          <w:color w:val="1f1f1f"/>
          <w:rtl w:val="0"/>
        </w:rPr>
        <w:t xml:space="preserve">: Υπολογίζονται οι προβολές </w:t>
      </w:r>
      <w:r w:rsidDel="00000000" w:rsidR="00000000" w:rsidRPr="00000000">
        <w:rPr>
          <w:rFonts w:ascii="Google Sans" w:cs="Google Sans" w:eastAsia="Google Sans" w:hAnsi="Google Sans"/>
          <w:color w:val="1f1f1f"/>
        </w:rPr>
        <w:drawing>
          <wp:inline distB="19050" distT="19050" distL="19050" distR="19050">
            <wp:extent cx="155608" cy="266757"/>
            <wp:effectExtent b="0" l="0" r="0" t="0"/>
            <wp:docPr id="14"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155608" cy="2667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των ενημερώσεων των κόμβων πάνω στο κύριο ιδιοδιάνυσμα </w:t>
      </w:r>
      <w:r w:rsidDel="00000000" w:rsidR="00000000" w:rsidRPr="00000000">
        <w:rPr>
          <w:rFonts w:ascii="Google Sans" w:cs="Google Sans" w:eastAsia="Google Sans" w:hAnsi="Google Sans"/>
          <w:color w:val="1f1f1f"/>
        </w:rPr>
        <w:drawing>
          <wp:inline distB="19050" distT="19050" distL="19050" distR="19050">
            <wp:extent cx="89958" cy="236141"/>
            <wp:effectExtent b="0" l="0" r="0" t="0"/>
            <wp:docPr id="15"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89958" cy="236141"/>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970609" cy="753262"/>
            <wp:effectExtent b="0" l="0" r="0" t="0"/>
            <wp:docPr id="16"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2970609" cy="75326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Αποκοπή</w:t>
      </w:r>
      <w:r w:rsidDel="00000000" w:rsidR="00000000" w:rsidRPr="00000000">
        <w:rPr>
          <w:rFonts w:ascii="Google Sans" w:cs="Google Sans" w:eastAsia="Google Sans" w:hAnsi="Google Sans"/>
          <w:color w:val="1f1f1f"/>
          <w:rtl w:val="0"/>
        </w:rPr>
        <w:t xml:space="preserve">: Οι κόμβοι που παρουσιάζουν τις μεγαλύτερες προβολές </w:t>
      </w:r>
      <w:r w:rsidDel="00000000" w:rsidR="00000000" w:rsidRPr="00000000">
        <w:rPr>
          <w:rFonts w:ascii="Google Sans" w:cs="Google Sans" w:eastAsia="Google Sans" w:hAnsi="Google Sans"/>
          <w:color w:val="1f1f1f"/>
        </w:rPr>
        <w:drawing>
          <wp:inline distB="19050" distT="19050" distL="19050" distR="19050">
            <wp:extent cx="155608" cy="266757"/>
            <wp:effectExtent b="0" l="0" r="0" t="0"/>
            <wp:docPr id="17"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155608" cy="2667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(οι οποίες υποδεικνύουν εσκεμμένη απόκλιση προς την κατεύθυνση της επίθεσης) απορρίπτονται, και οι υπόλοιπες ενημερώσεις υφίστανται τυπικό aggregation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Πλεονεκτήματα και Μειονεκτήματά σε Non-IID Δεδομένα</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Πλεονεκτήματα</w:t>
      </w:r>
      <w:r w:rsidDel="00000000" w:rsidR="00000000" w:rsidRPr="00000000">
        <w:rPr>
          <w:rFonts w:ascii="Google Sans" w:cs="Google Sans" w:eastAsia="Google Sans" w:hAnsi="Google Sans"/>
          <w:color w:val="1f1f1f"/>
          <w:rtl w:val="0"/>
        </w:rPr>
        <w:t xml:space="preserve">: Παρουσιάζει εξαιρετική ανθεκτικότητα έναντι state-of-the-art επιθέσεων model poisoning (π.χ. Little-Is-Enough), μειώνοντας το μέγιστο σφάλμα ακρίβειας στο CIFAR-10 από 32.5% σε μόλις 6.3%</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Μειονεκτήματα</w:t>
      </w:r>
      <w:r w:rsidDel="00000000" w:rsidR="00000000" w:rsidRPr="00000000">
        <w:rPr>
          <w:rFonts w:ascii="Google Sans" w:cs="Google Sans" w:eastAsia="Google Sans" w:hAnsi="Google Sans"/>
          <w:color w:val="1f1f1f"/>
          <w:rtl w:val="0"/>
        </w:rPr>
        <w:t xml:space="preserve">: Υπολογιστικά απαιτητικός λόγω της ανάγκης εκτέλεσης SVD σε κάθε round επικοινωνίας</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Σε Non-IID συνθήκες, η φυσική ετερογένεια των δεδομένων δημιουργεί πολλαπλές κατευθύνσεις υψηλής διακύμανσης που αντικατοπτρίζουν έντιμες στατιστικές αποκλίσεις</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Ο DnC αδυνατεί να διακρίνει αν η υψηλή διακύμανση οφείλεται σε poisoning ή σε Non-IID χαρακτηριστικά, οδηγώντας σε εσφαλμένη απόρριψη έντιμων, εξειδικευμένων κόμβων</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Ενσωμάτωση ως Καινοτομία σε Ερευνητική Εργασία</w:t>
      </w:r>
      <w:r w:rsidDel="00000000" w:rsidR="00000000" w:rsidRPr="00000000">
        <w:rPr>
          <w:rFonts w:ascii="Google Sans" w:cs="Google Sans" w:eastAsia="Google Sans" w:hAnsi="Google Sans"/>
          <w:color w:val="1f1f1f"/>
          <w:rtl w:val="0"/>
        </w:rPr>
        <w:t xml:space="preserve">: Μπορεί να προταθεί ο "Contrastive Spectral DnC". Η καινοτομία εστιάζει στην εκπαίδευση ενός contrastive encoder στον server, ο οποίος μαθαίνει να διαχωρίζει τις φασματικές υπογραφές των Non-IID αποκλίσεων από τις τεχνητά κατασκευασμένες αντιπαλικές κλίσεις, επιτρέποντας στον DnC να εφαρμόζει το φιλτράρισμα προβολών μόνο επί του αντιπαλικού υποχώρου</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FLTrust</w:t>
      </w:r>
    </w:p>
    <w:p w:rsidR="00000000" w:rsidDel="00000000" w:rsidP="00000000" w:rsidRDefault="00000000" w:rsidRPr="00000000" w14:paraId="0000001F">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Μαθηματική και Διαισθητική Λειτουργία</w:t>
      </w:r>
      <w:r w:rsidDel="00000000" w:rsidR="00000000" w:rsidRPr="00000000">
        <w:rPr>
          <w:rFonts w:ascii="Google Sans" w:cs="Google Sans" w:eastAsia="Google Sans" w:hAnsi="Google Sans"/>
          <w:color w:val="1f1f1f"/>
          <w:rtl w:val="0"/>
        </w:rPr>
        <w:t xml:space="preserve">: Ο FLTrust εισάγει την έννοια της "εκκίνησης εμπιστοσύνης" (trust bootstrapping) μέσω ενός μικρού, καθαρού συνόλου δεδομένων αναφοράς (root dataset </w:t>
      </w:r>
      <w:r w:rsidDel="00000000" w:rsidR="00000000" w:rsidRPr="00000000">
        <w:rPr>
          <w:rFonts w:ascii="Google Sans" w:cs="Google Sans" w:eastAsia="Google Sans" w:hAnsi="Google Sans"/>
          <w:color w:val="1f1f1f"/>
        </w:rPr>
        <w:drawing>
          <wp:inline distB="19050" distT="19050" distL="19050" distR="19050">
            <wp:extent cx="212328" cy="234679"/>
            <wp:effectExtent b="0" l="0" r="0" t="0"/>
            <wp:docPr id="18"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212328" cy="2346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συνήθως </w:t>
      </w:r>
      <w:r w:rsidDel="00000000" w:rsidR="00000000" w:rsidRPr="00000000">
        <w:rPr>
          <w:rFonts w:ascii="Google Sans" w:cs="Google Sans" w:eastAsia="Google Sans" w:hAnsi="Google Sans"/>
          <w:color w:val="1f1f1f"/>
        </w:rPr>
        <w:drawing>
          <wp:inline distB="19050" distT="19050" distL="19050" distR="19050">
            <wp:extent cx="904875" cy="255494"/>
            <wp:effectExtent b="0" l="0" r="0" t="0"/>
            <wp:docPr id="19"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904875" cy="2554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το οποίο διατηρείται αποκλειστικά στον server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Σε κάθε round </w:t>
      </w:r>
      <w:r w:rsidDel="00000000" w:rsidR="00000000" w:rsidRPr="00000000">
        <w:rPr>
          <w:rFonts w:ascii="Google Sans" w:cs="Google Sans" w:eastAsia="Google Sans" w:hAnsi="Google Sans"/>
          <w:color w:val="1f1f1f"/>
        </w:rPr>
        <w:drawing>
          <wp:inline distB="19050" distT="19050" distL="19050" distR="19050">
            <wp:extent cx="70776" cy="283104"/>
            <wp:effectExtent b="0" l="0" r="0" t="0"/>
            <wp:docPr id="20"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70776" cy="283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ο server υπολογίζει μια δική του ενημέρωση αναφοράς </w:t>
      </w:r>
      <w:r w:rsidDel="00000000" w:rsidR="00000000" w:rsidRPr="00000000">
        <w:rPr>
          <w:rFonts w:ascii="Google Sans" w:cs="Google Sans" w:eastAsia="Google Sans" w:hAnsi="Google Sans"/>
          <w:color w:val="1f1f1f"/>
        </w:rPr>
        <w:drawing>
          <wp:inline distB="19050" distT="19050" distL="19050" distR="19050">
            <wp:extent cx="151639" cy="227458"/>
            <wp:effectExtent b="0" l="0" r="0" t="0"/>
            <wp:docPr id="1"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151639" cy="227458"/>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Για κάθε ληφθείσα τοπική ενημέρωση </w:t>
      </w:r>
      <w:r w:rsidDel="00000000" w:rsidR="00000000" w:rsidRPr="00000000">
        <w:rPr>
          <w:rFonts w:ascii="Google Sans" w:cs="Google Sans" w:eastAsia="Google Sans" w:hAnsi="Google Sans"/>
          <w:color w:val="1f1f1f"/>
        </w:rPr>
        <w:drawing>
          <wp:inline distB="19050" distT="19050" distL="19050" distR="19050">
            <wp:extent cx="150647" cy="258253"/>
            <wp:effectExtent b="0" l="0" r="0" t="0"/>
            <wp:docPr id="2"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150647" cy="258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ο server υπολογίζει ένα Trust Score (</w:t>
      </w:r>
      <w:r w:rsidDel="00000000" w:rsidR="00000000" w:rsidRPr="00000000">
        <w:rPr>
          <w:rFonts w:ascii="Google Sans" w:cs="Google Sans" w:eastAsia="Google Sans" w:hAnsi="Google Sans"/>
          <w:color w:val="1f1f1f"/>
        </w:rPr>
        <w:drawing>
          <wp:inline distB="19050" distT="19050" distL="19050" distR="19050">
            <wp:extent cx="281450" cy="227325"/>
            <wp:effectExtent b="0" l="0" r="0" t="0"/>
            <wp:docPr id="3"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281450" cy="2273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βασισμένο στη συνημιτονική ομοιότητα και τη γωνιακή ευθυγράμμιση με το </w:t>
      </w:r>
      <w:r w:rsidDel="00000000" w:rsidR="00000000" w:rsidRPr="00000000">
        <w:rPr>
          <w:rFonts w:ascii="Google Sans" w:cs="Google Sans" w:eastAsia="Google Sans" w:hAnsi="Google Sans"/>
          <w:color w:val="1f1f1f"/>
        </w:rPr>
        <w:drawing>
          <wp:inline distB="19050" distT="19050" distL="19050" distR="19050">
            <wp:extent cx="151639" cy="227458"/>
            <wp:effectExtent b="0" l="0" r="0" t="0"/>
            <wp:docPr id="4"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151639" cy="227458"/>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351447" cy="1007555"/>
            <wp:effectExtent b="0" l="0" r="0" t="0"/>
            <wp:docPr id="5"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3351447" cy="100755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Προκειμένου να εξουδετερωθούν επιθέσεις μεγάλης κλίμακας (magnitude poisoning), ο server κανονικοποιεί το μέγεθος των τοπικών ενημερώσεων ώστε να ταυτίζεται με αυτό της αναφοράς</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351447" cy="996950"/>
            <wp:effectExtent b="0" l="0" r="0" t="0"/>
            <wp:docPr id="6"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3351447" cy="9969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Η τελική παγκόσμια ενημέρωση προκύπτει ως ο σταθμισμένος μέσος όρος των κανονικοποιημένων ενημερώσεων</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351447" cy="1028767"/>
            <wp:effectExtent b="0" l="0" r="0" t="0"/>
            <wp:docPr id="7"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3351447" cy="1028767"/>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Πλεονεκτήματα και Μειονεκτήματα σε Non-IID Δεδομένα</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Πλεονεκτήματα</w:t>
      </w:r>
      <w:r w:rsidDel="00000000" w:rsidR="00000000" w:rsidRPr="00000000">
        <w:rPr>
          <w:rFonts w:ascii="Google Sans" w:cs="Google Sans" w:eastAsia="Google Sans" w:hAnsi="Google Sans"/>
          <w:color w:val="1f1f1f"/>
          <w:rtl w:val="0"/>
        </w:rPr>
        <w:t xml:space="preserve">: Εξαιρετικά robust ακόμη και σε σενάρια όπου η πλειονότητα των κόμβων είναι κακόβουλοι (</w:t>
      </w:r>
      <w:r w:rsidDel="00000000" w:rsidR="00000000" w:rsidRPr="00000000">
        <w:rPr>
          <w:rFonts w:ascii="Google Sans" w:cs="Google Sans" w:eastAsia="Google Sans" w:hAnsi="Google Sans"/>
          <w:color w:val="1f1f1f"/>
        </w:rPr>
        <w:drawing>
          <wp:inline distB="19050" distT="19050" distL="19050" distR="19050">
            <wp:extent cx="566043" cy="234961"/>
            <wp:effectExtent b="0" l="0" r="0" t="0"/>
            <wp:docPr id="8"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566043" cy="2349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καθώς ο server διαθέτει έναν αντικειμενικό "φάρο" αλήθειας (</w:t>
      </w:r>
      <w:r w:rsidDel="00000000" w:rsidR="00000000" w:rsidRPr="00000000">
        <w:rPr>
          <w:rFonts w:ascii="Google Sans" w:cs="Google Sans" w:eastAsia="Google Sans" w:hAnsi="Google Sans"/>
          <w:color w:val="1f1f1f"/>
        </w:rPr>
        <w:drawing>
          <wp:inline distB="19050" distT="19050" distL="19050" distR="19050">
            <wp:extent cx="151639" cy="227458"/>
            <wp:effectExtent b="0" l="0" r="0" t="0"/>
            <wp:docPr id="9"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151639" cy="227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Μειονεκτήματα</w:t>
      </w:r>
      <w:r w:rsidDel="00000000" w:rsidR="00000000" w:rsidRPr="00000000">
        <w:rPr>
          <w:rFonts w:ascii="Google Sans" w:cs="Google Sans" w:eastAsia="Google Sans" w:hAnsi="Google Sans"/>
          <w:color w:val="1f1f1f"/>
          <w:rtl w:val="0"/>
        </w:rPr>
        <w:t xml:space="preserve">: Η απόδοση εξαρτάται άμεσα από τη στατιστική αντιπροσωπευτικότητα του </w:t>
      </w:r>
      <w:r w:rsidDel="00000000" w:rsidR="00000000" w:rsidRPr="00000000">
        <w:rPr>
          <w:rFonts w:ascii="Google Sans" w:cs="Google Sans" w:eastAsia="Google Sans" w:hAnsi="Google Sans"/>
          <w:color w:val="1f1f1f"/>
        </w:rPr>
        <w:drawing>
          <wp:inline distB="19050" distT="19050" distL="19050" distR="19050">
            <wp:extent cx="212328" cy="234679"/>
            <wp:effectExtent b="0" l="0" r="0" t="0"/>
            <wp:docPr id="10"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212328" cy="23467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Σε Non-IID συνθήκες, εάν το </w:t>
      </w:r>
      <w:r w:rsidDel="00000000" w:rsidR="00000000" w:rsidRPr="00000000">
        <w:rPr>
          <w:rFonts w:ascii="Google Sans" w:cs="Google Sans" w:eastAsia="Google Sans" w:hAnsi="Google Sans"/>
          <w:color w:val="1f1f1f"/>
        </w:rPr>
        <w:drawing>
          <wp:inline distB="19050" distT="19050" distL="19050" distR="19050">
            <wp:extent cx="212328" cy="234679"/>
            <wp:effectExtent b="0" l="0" r="0" t="0"/>
            <wp:docPr id="33"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212328" cy="2346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παρουσιάζει μεροληψία (bias) ή δεν καλύπτει επαρκώς το εύρος των τοπικών κατανομών των έντιμων συσκευών, ο FLTrust θα αποδώσει χαμηλά </w:t>
      </w:r>
      <w:r w:rsidDel="00000000" w:rsidR="00000000" w:rsidRPr="00000000">
        <w:rPr>
          <w:rFonts w:ascii="Google Sans" w:cs="Google Sans" w:eastAsia="Google Sans" w:hAnsi="Google Sans"/>
          <w:color w:val="1f1f1f"/>
        </w:rPr>
        <w:drawing>
          <wp:inline distB="19050" distT="19050" distL="19050" distR="19050">
            <wp:extent cx="281450" cy="227325"/>
            <wp:effectExtent b="0" l="0" r="0" t="0"/>
            <wp:docPr id="34"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281450" cy="2273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σε απολύτως έντιμους κόμβους των οποίων οι τοπικές κατανομές απλώς διαφέρουν από το </w:t>
      </w:r>
      <w:r w:rsidDel="00000000" w:rsidR="00000000" w:rsidRPr="00000000">
        <w:rPr>
          <w:rFonts w:ascii="Google Sans" w:cs="Google Sans" w:eastAsia="Google Sans" w:hAnsi="Google Sans"/>
          <w:color w:val="1f1f1f"/>
        </w:rPr>
        <w:drawing>
          <wp:inline distB="19050" distT="19050" distL="19050" distR="19050">
            <wp:extent cx="212328" cy="234679"/>
            <wp:effectExtent b="0" l="0" r="0" t="0"/>
            <wp:docPr id="35"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212328" cy="23467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Ενσωμάτωση ως Καινοτομία σε Ερευνητική Εργασία</w:t>
      </w:r>
      <w:r w:rsidDel="00000000" w:rsidR="00000000" w:rsidRPr="00000000">
        <w:rPr>
          <w:rFonts w:ascii="Google Sans" w:cs="Google Sans" w:eastAsia="Google Sans" w:hAnsi="Google Sans"/>
          <w:color w:val="1f1f1f"/>
          <w:rtl w:val="0"/>
        </w:rPr>
        <w:t xml:space="preserve">: Μπορεί να αναπτυχθεί ο "Generative Bootstrapped FLTrust (GB-FLTrust)". Αντί για ένα στατικό </w:t>
      </w:r>
      <w:r w:rsidDel="00000000" w:rsidR="00000000" w:rsidRPr="00000000">
        <w:rPr>
          <w:rFonts w:ascii="Google Sans" w:cs="Google Sans" w:eastAsia="Google Sans" w:hAnsi="Google Sans"/>
          <w:color w:val="1f1f1f"/>
        </w:rPr>
        <w:drawing>
          <wp:inline distB="19050" distT="19050" distL="19050" distR="19050">
            <wp:extent cx="212328" cy="234679"/>
            <wp:effectExtent b="0" l="0" r="0" t="0"/>
            <wp:docPr id="36"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212328" cy="2346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ο server χρησιμοποιεί ένα ελαφρύ, data-free generative μοντέλο (εκπαιδευμένο μέσω των ληφθέντων κλίσεων των κόμβων με μεθόδους διαφορικής ιδιωτικότητας) για να συνθέτει δυναμικά δείγματα αναφοράς, προσαρμόζοντας το </w:t>
      </w:r>
      <w:r w:rsidDel="00000000" w:rsidR="00000000" w:rsidRPr="00000000">
        <w:rPr>
          <w:rFonts w:ascii="Google Sans" w:cs="Google Sans" w:eastAsia="Google Sans" w:hAnsi="Google Sans"/>
          <w:color w:val="1f1f1f"/>
        </w:rPr>
        <w:drawing>
          <wp:inline distB="19050" distT="19050" distL="19050" distR="19050">
            <wp:extent cx="151639" cy="227458"/>
            <wp:effectExtent b="0" l="0" r="0" t="0"/>
            <wp:docPr id="37"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151639" cy="227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στις πραγματικές μεταβολές της Non-IID κατανομής του δικτύου</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GradTrust / OptiGradTrust</w:t>
      </w:r>
    </w:p>
    <w:p w:rsidR="00000000" w:rsidDel="00000000" w:rsidP="00000000" w:rsidRDefault="00000000" w:rsidRPr="00000000" w14:paraId="00000025">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Μαθηματική και Διαισθητική Λειτουργία</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Ο </w:t>
      </w:r>
      <w:r w:rsidDel="00000000" w:rsidR="00000000" w:rsidRPr="00000000">
        <w:rPr>
          <w:rFonts w:ascii="Google Sans" w:cs="Google Sans" w:eastAsia="Google Sans" w:hAnsi="Google Sans"/>
          <w:i w:val="1"/>
          <w:iCs w:val="1"/>
          <w:color w:val="1f1f1f"/>
          <w:rtl w:val="0"/>
        </w:rPr>
        <w:t xml:space="preserve">GradTrust</w:t>
      </w:r>
      <w:r w:rsidDel="00000000" w:rsidR="00000000" w:rsidRPr="00000000">
        <w:rPr>
          <w:rFonts w:ascii="Google Sans" w:cs="Google Sans" w:eastAsia="Google Sans" w:hAnsi="Google Sans"/>
          <w:color w:val="1f1f1f"/>
          <w:rtl w:val="0"/>
        </w:rPr>
        <w:t xml:space="preserve"> εισάγει μια δυναμική ανάθεση trust scores αξιολογώντας μια τρισδιάστατη (3D) ομοιότητα κλίσεων: ευθυγράμμιση κατεύθυνσης, συνέπεια μεγέθους και χρονική σταθερότητα, επιτυγχάνοντας θεωρητικό bound σφάλματος </w:t>
      </w:r>
      <w:r w:rsidDel="00000000" w:rsidR="00000000" w:rsidRPr="00000000">
        <w:rPr>
          <w:rFonts w:ascii="Google Sans" w:cs="Google Sans" w:eastAsia="Google Sans" w:hAnsi="Google Sans"/>
          <w:color w:val="1f1f1f"/>
        </w:rPr>
        <w:drawing>
          <wp:inline distB="19050" distT="19050" distL="19050" distR="19050">
            <wp:extent cx="924718" cy="255095"/>
            <wp:effectExtent b="0" l="0" r="0" t="0"/>
            <wp:docPr id="38" name="image35.png"/>
            <a:graphic>
              <a:graphicData uri="http://schemas.openxmlformats.org/drawingml/2006/picture">
                <pic:pic>
                  <pic:nvPicPr>
                    <pic:cNvPr id="0" name="image35.png"/>
                    <pic:cNvPicPr preferRelativeResize="0"/>
                  </pic:nvPicPr>
                  <pic:blipFill>
                    <a:blip r:embed="rId42"/>
                    <a:srcRect b="0" l="0" r="0" t="0"/>
                    <a:stretch>
                      <a:fillRect/>
                    </a:stretch>
                  </pic:blipFill>
                  <pic:spPr>
                    <a:xfrm>
                      <a:off x="0" y="0"/>
                      <a:ext cx="924718" cy="2550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υπό κυρτές συναρτήσεις απώλειας</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Ο </w:t>
      </w:r>
      <w:r w:rsidDel="00000000" w:rsidR="00000000" w:rsidRPr="00000000">
        <w:rPr>
          <w:rFonts w:ascii="Google Sans" w:cs="Google Sans" w:eastAsia="Google Sans" w:hAnsi="Google Sans"/>
          <w:i w:val="1"/>
          <w:iCs w:val="1"/>
          <w:color w:val="1f1f1f"/>
          <w:rtl w:val="0"/>
        </w:rPr>
        <w:t xml:space="preserve">OptiGradTrust</w:t>
      </w:r>
      <w:r w:rsidDel="00000000" w:rsidR="00000000" w:rsidRPr="00000000">
        <w:rPr>
          <w:rFonts w:ascii="Google Sans" w:cs="Google Sans" w:eastAsia="Google Sans" w:hAnsi="Google Sans"/>
          <w:color w:val="1f1f1f"/>
          <w:rtl w:val="0"/>
        </w:rPr>
        <w:t xml:space="preserve"> επεκτείνει αυτή τη φιλοσοφία σε ένα ολιστικό σύστημα 6D gradient fingerprinting</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Κάθε τοπική ενημέρωση αξιολογείται μέσω: (1) σφάλματος ανακατασκευής Variational Autoencoder (VAE) για τον εντοπισμό distributional anomalies, (2) συνημιτονικής ομοιότητας με trusted server reference, (3) </w:t>
      </w:r>
      <w:r w:rsidDel="00000000" w:rsidR="00000000" w:rsidRPr="00000000">
        <w:rPr>
          <w:rFonts w:ascii="Google Sans" w:cs="Google Sans" w:eastAsia="Google Sans" w:hAnsi="Google Sans"/>
          <w:color w:val="1f1f1f"/>
        </w:rPr>
        <w:drawing>
          <wp:inline distB="19050" distT="19050" distL="19050" distR="19050">
            <wp:extent cx="186862" cy="230830"/>
            <wp:effectExtent b="0" l="0" r="0" t="0"/>
            <wp:docPr id="39" name="image41.png"/>
            <a:graphic>
              <a:graphicData uri="http://schemas.openxmlformats.org/drawingml/2006/picture">
                <pic:pic>
                  <pic:nvPicPr>
                    <pic:cNvPr id="0" name="image41.png"/>
                    <pic:cNvPicPr preferRelativeResize="0"/>
                  </pic:nvPicPr>
                  <pic:blipFill>
                    <a:blip r:embed="rId43"/>
                    <a:srcRect b="0" l="0" r="0" t="0"/>
                    <a:stretch>
                      <a:fillRect/>
                    </a:stretch>
                  </pic:blipFill>
                  <pic:spPr>
                    <a:xfrm>
                      <a:off x="0" y="0"/>
                      <a:ext cx="186862" cy="2308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νόρμας, (4) sign-consistency ratio, (5) Monte Carlo Shapley value (ποσοτικοποίηση της πραγματικής συνεισφοράς της ενημέρωσης στην ακρίβεια), και (6) χρονικής σταθερότητας</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Τα 6 αυτά χαρακτηριστικά τροφοδοτούν έναν υβριδικό μηχανισμό Reinforcement Learning (RL) και Attention, ο οποίος εκπαιδεύεται δυναμικά για να παράγει τα βάρη aggregation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Πλεονεκτήματα και Μειονεκτήματα σε Non-IID Δεδομένα</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Πλεονεκτήματα</w:t>
      </w:r>
      <w:r w:rsidDel="00000000" w:rsidR="00000000" w:rsidRPr="00000000">
        <w:rPr>
          <w:rFonts w:ascii="Google Sans" w:cs="Google Sans" w:eastAsia="Google Sans" w:hAnsi="Google Sans"/>
          <w:color w:val="1f1f1f"/>
          <w:rtl w:val="0"/>
        </w:rPr>
        <w:t xml:space="preserve">: Παρουσιάζει την υψηλότερη καταγεγραμμένη ανθεκτικότητα έναντι προσαρμοστικών (adaptive) Byzantine επιθέσεων σε Non-IID περιβάλλοντα, επιτυγχάνοντας βελτίωση ακρίβειας </w:t>
      </w:r>
      <w:r w:rsidDel="00000000" w:rsidR="00000000" w:rsidRPr="00000000">
        <w:rPr>
          <w:rFonts w:ascii="Google Sans" w:cs="Google Sans" w:eastAsia="Google Sans" w:hAnsi="Google Sans"/>
          <w:color w:val="1f1f1f"/>
        </w:rPr>
        <w:drawing>
          <wp:inline distB="19050" distT="19050" distL="19050" distR="19050">
            <wp:extent cx="566043" cy="234961"/>
            <wp:effectExtent b="0" l="0" r="0" t="0"/>
            <wp:docPr id="40"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566043" cy="2349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έναντι του FLGuard σε ιατρικά Non-IID δεδομένα</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Η χρήση του VAE και των Shapley values επιτρέπει τον ακριβή διαχωρισμό μεταξύ κακόβουλης παραποίησης και στατιστικής ετερογένειας</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Μειονεκτήματα</w:t>
      </w:r>
      <w:r w:rsidDel="00000000" w:rsidR="00000000" w:rsidRPr="00000000">
        <w:rPr>
          <w:rFonts w:ascii="Google Sans" w:cs="Google Sans" w:eastAsia="Google Sans" w:hAnsi="Google Sans"/>
          <w:color w:val="1f1f1f"/>
          <w:rtl w:val="0"/>
        </w:rPr>
        <w:t xml:space="preserve">: Εξαιρετικά υψηλό υπολογιστικό overhead στον server λόγω της online εκπαίδευσης του VAE, του RL agent και του εκθετικού κόστους υπολογισμού των Shapley values, καθιστώντας τον δυσπρόσιτο για edge servers με περιορισμένους πόρους</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Ενσωμάτωση ως Καινοτομία σε Ερευνητική Εργασία</w:t>
      </w:r>
      <w:r w:rsidDel="00000000" w:rsidR="00000000" w:rsidRPr="00000000">
        <w:rPr>
          <w:rFonts w:ascii="Google Sans" w:cs="Google Sans" w:eastAsia="Google Sans" w:hAnsi="Google Sans"/>
          <w:color w:val="1f1f1f"/>
          <w:rtl w:val="0"/>
        </w:rPr>
        <w:t xml:space="preserve">: Μπορεί να προταθεί ο "Sparsified-OptiGradTrust". Η καινοτομία εστιάζει στην εφαρμογή importance-weighted sparsification, όπου μόνο το </w:t>
      </w:r>
      <w:r w:rsidDel="00000000" w:rsidR="00000000" w:rsidRPr="00000000">
        <w:rPr>
          <w:rFonts w:ascii="Google Sans" w:cs="Google Sans" w:eastAsia="Google Sans" w:hAnsi="Google Sans"/>
          <w:color w:val="1f1f1f"/>
        </w:rPr>
        <w:drawing>
          <wp:inline distB="19050" distT="19050" distL="19050" distR="19050">
            <wp:extent cx="316839" cy="207584"/>
            <wp:effectExtent b="0" l="0" r="0" t="0"/>
            <wp:docPr id="41" name="image32.png"/>
            <a:graphic>
              <a:graphicData uri="http://schemas.openxmlformats.org/drawingml/2006/picture">
                <pic:pic>
                  <pic:nvPicPr>
                    <pic:cNvPr id="0" name="image32.png"/>
                    <pic:cNvPicPr preferRelativeResize="0"/>
                  </pic:nvPicPr>
                  <pic:blipFill>
                    <a:blip r:embed="rId45"/>
                    <a:srcRect b="0" l="0" r="0" t="0"/>
                    <a:stretch>
                      <a:fillRect/>
                    </a:stretch>
                  </pic:blipFill>
                  <pic:spPr>
                    <a:xfrm>
                      <a:off x="0" y="0"/>
                      <a:ext cx="316839" cy="2075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των σημαντικότερων συνιστωσών των κλίσεων μεταδίδεται και αναλύεται από το 6D fingerprint σύστημα</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Αυτό μειώνει το επικοινωνιακό και υπολογιστικό κόστος κατά </w:t>
      </w:r>
      <w:r w:rsidDel="00000000" w:rsidR="00000000" w:rsidRPr="00000000">
        <w:rPr>
          <w:rFonts w:ascii="Google Sans" w:cs="Google Sans" w:eastAsia="Google Sans" w:hAnsi="Google Sans"/>
          <w:color w:val="1f1f1f"/>
        </w:rPr>
        <w:drawing>
          <wp:inline distB="19050" distT="19050" distL="19050" distR="19050">
            <wp:extent cx="451280" cy="204151"/>
            <wp:effectExtent b="0" l="0" r="0" t="0"/>
            <wp:docPr id="42"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451280" cy="2041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διατηρώντας αναλλοίωτη την ικανότητα ανίχνευσης Byzantine κόμβων</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Federated Adversarial Training (FL-AT) σε Non-IID Περιβάλλοντα</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Η Αντιπαλική Εκπαίδευση (Adversarial Training - AT) αποτελεί τη βέλτιστη μέθοδο προστασίας των νευρωνικών δικτύων από evasion attacks (adversarial examples) κατά το inference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Ωστόσο, η απευθείας ενσωμάτωση της AT στην ομόσπονδη μάθηση (Federated Adversarial Training - FAT) προκαλεί σοβαρά προβλήματα</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Η παραγωγή αντιπαλικών δειγμάτων τοπικά (π.χ. μέσω PGD) οξύνει δραματικά το φαινόμενο του client drift, καθώς οι τοπικές αντιπαλικές κατανομές Non-IID αποκλίνουν ακόμη περισσότερο, οδηγώντας σε κατάρρευση της καθαρής ακρίβειας (clean accuracy drop) και σε ακραία αστάθεια σύγκλισης</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DBFAT (Decision Boundary based Federated Adversarial Training)</w:t>
      </w:r>
    </w:p>
    <w:p w:rsidR="00000000" w:rsidDel="00000000" w:rsidP="00000000" w:rsidRDefault="00000000" w:rsidRPr="00000000" w14:paraId="0000002F">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Μαθηματική και Διαισθητική Λειτουργία</w:t>
      </w:r>
      <w:r w:rsidDel="00000000" w:rsidR="00000000" w:rsidRPr="00000000">
        <w:rPr>
          <w:rFonts w:ascii="Google Sans" w:cs="Google Sans" w:eastAsia="Google Sans" w:hAnsi="Google Sans"/>
          <w:color w:val="1f1f1f"/>
          <w:rtl w:val="0"/>
        </w:rPr>
        <w:t xml:space="preserve">: Ο DBFAT επιλύει την αστάθεια της FAT μέσω δύο βασικών πυλώνων: της τοπικής επαναστάθμισης δειγμάτων (local re-weighting) και της παγκόσμιας κανονικοποίησης (global regularization)</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numPr>
          <w:ilvl w:val="1"/>
          <w:numId w:val="2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Local Re-weighting</w:t>
      </w:r>
      <w:r w:rsidDel="00000000" w:rsidR="00000000" w:rsidRPr="00000000">
        <w:rPr>
          <w:rFonts w:ascii="Google Sans" w:cs="Google Sans" w:eastAsia="Google Sans" w:hAnsi="Google Sans"/>
          <w:color w:val="1f1f1f"/>
          <w:rtl w:val="0"/>
        </w:rPr>
        <w:t xml:space="preserve">: Κατά την τοπική εκπαίδευση, ο αλγόριθμος υπολογίζει την εγγύτητα κάθε δείγματος </w:t>
      </w:r>
      <w:r w:rsidDel="00000000" w:rsidR="00000000" w:rsidRPr="00000000">
        <w:rPr>
          <w:rFonts w:ascii="Google Sans" w:cs="Google Sans" w:eastAsia="Google Sans" w:hAnsi="Google Sans"/>
          <w:color w:val="1f1f1f"/>
        </w:rPr>
        <w:drawing>
          <wp:inline distB="19050" distT="19050" distL="19050" distR="19050">
            <wp:extent cx="169168" cy="253752"/>
            <wp:effectExtent b="0" l="0" r="0" t="0"/>
            <wp:docPr id="32" name="image52.png"/>
            <a:graphic>
              <a:graphicData uri="http://schemas.openxmlformats.org/drawingml/2006/picture">
                <pic:pic>
                  <pic:nvPicPr>
                    <pic:cNvPr id="0" name="image52.png"/>
                    <pic:cNvPicPr preferRelativeResize="0"/>
                  </pic:nvPicPr>
                  <pic:blipFill>
                    <a:blip r:embed="rId47"/>
                    <a:srcRect b="0" l="0" r="0" t="0"/>
                    <a:stretch>
                      <a:fillRect/>
                    </a:stretch>
                  </pic:blipFill>
                  <pic:spPr>
                    <a:xfrm>
                      <a:off x="0" y="0"/>
                      <a:ext cx="169168" cy="2537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στο τοπικό όριο απόφασης (decision boundary)</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Δείγματα που βρίσκονται πολύ κοντά στο όριο (εύκολα επιδεκτικά σε αντιπαλικές επιθέσεις) λαμβάνουν υψηλότερο βάρος στην αντιπαλική απώλεια, ενώ δείγματα που βρίσκονται βαθιά εντός των ορίων της κλάσης λαμβάνουν μικρότερο βάρος, προστατεύοντας την καθαρή ακρίβεια</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numPr>
          <w:ilvl w:val="1"/>
          <w:numId w:val="2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Global Regularization</w:t>
      </w:r>
      <w:r w:rsidDel="00000000" w:rsidR="00000000" w:rsidRPr="00000000">
        <w:rPr>
          <w:rFonts w:ascii="Google Sans" w:cs="Google Sans" w:eastAsia="Google Sans" w:hAnsi="Google Sans"/>
          <w:color w:val="1f1f1f"/>
          <w:rtl w:val="0"/>
        </w:rPr>
        <w:t xml:space="preserve">: Για τον περιορισμό του client drift, εισάγεται ένας όρος συνέπειας (consistency regularization) που χρησιμοποιεί τα logits του παγκόσμιου μοντέλου ως "δάσκαλο" (knowledge distillation)</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Η συνολική τοπική συνάρτηση απώλειας διαμορφώνεται ως: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256693" cy="848650"/>
            <wp:effectExtent b="0" l="0" r="0" t="0"/>
            <wp:docPr id="23" name="image18.png"/>
            <a:graphic>
              <a:graphicData uri="http://schemas.openxmlformats.org/drawingml/2006/picture">
                <pic:pic>
                  <pic:nvPicPr>
                    <pic:cNvPr id="0" name="image18.png"/>
                    <pic:cNvPicPr preferRelativeResize="0"/>
                  </pic:nvPicPr>
                  <pic:blipFill>
                    <a:blip r:embed="rId48"/>
                    <a:srcRect b="0" l="0" r="0" t="0"/>
                    <a:stretch>
                      <a:fillRect/>
                    </a:stretch>
                  </pic:blipFill>
                  <pic:spPr>
                    <a:xfrm>
                      <a:off x="0" y="0"/>
                      <a:ext cx="3256693" cy="8486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Όπου </w:t>
      </w:r>
      <w:r w:rsidDel="00000000" w:rsidR="00000000" w:rsidRPr="00000000">
        <w:rPr>
          <w:rFonts w:ascii="Google Sans" w:cs="Google Sans" w:eastAsia="Google Sans" w:hAnsi="Google Sans"/>
          <w:color w:val="1f1f1f"/>
        </w:rPr>
        <w:drawing>
          <wp:inline distB="19050" distT="19050" distL="19050" distR="19050">
            <wp:extent cx="345778" cy="226916"/>
            <wp:effectExtent b="0" l="0" r="0" t="0"/>
            <wp:docPr id="24" name="image16.png"/>
            <a:graphic>
              <a:graphicData uri="http://schemas.openxmlformats.org/drawingml/2006/picture">
                <pic:pic>
                  <pic:nvPicPr>
                    <pic:cNvPr id="0" name="image16.png"/>
                    <pic:cNvPicPr preferRelativeResize="0"/>
                  </pic:nvPicPr>
                  <pic:blipFill>
                    <a:blip r:embed="rId49"/>
                    <a:srcRect b="0" l="0" r="0" t="0"/>
                    <a:stretch>
                      <a:fillRect/>
                    </a:stretch>
                  </pic:blipFill>
                  <pic:spPr>
                    <a:xfrm>
                      <a:off x="0" y="0"/>
                      <a:ext cx="345778" cy="2269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είναι η απόκλιση Kullback-Leibler, αναγκάζοντας το τοπικό μοντέλο να ευθυγραμμίσει τις αντιπαλικές του προβλέψεις με τις καθαρές παγκόσμιες προβλέψεις</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Πλεονεκτήματα και Μειονεκτήματα σε Non-IID Δεδομένα</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Πλεονεκτήματα</w:t>
      </w:r>
      <w:r w:rsidDel="00000000" w:rsidR="00000000" w:rsidRPr="00000000">
        <w:rPr>
          <w:rFonts w:ascii="Google Sans" w:cs="Google Sans" w:eastAsia="Google Sans" w:hAnsi="Google Sans"/>
          <w:color w:val="1f1f1f"/>
          <w:rtl w:val="0"/>
        </w:rPr>
        <w:t xml:space="preserve">: Επιτυγχάνει εξαιρετική ισορροπία μεταξύ καθαρής ακρίβειας (</w:t>
      </w:r>
      <w:r w:rsidDel="00000000" w:rsidR="00000000" w:rsidRPr="00000000">
        <w:rPr>
          <w:rFonts w:ascii="Google Sans" w:cs="Google Sans" w:eastAsia="Google Sans" w:hAnsi="Google Sans"/>
          <w:color w:val="1f1f1f"/>
        </w:rPr>
        <w:drawing>
          <wp:inline distB="19050" distT="19050" distL="19050" distR="19050">
            <wp:extent cx="301625" cy="226219"/>
            <wp:effectExtent b="0" l="0" r="0" t="0"/>
            <wp:docPr id="25" name="image15.png"/>
            <a:graphic>
              <a:graphicData uri="http://schemas.openxmlformats.org/drawingml/2006/picture">
                <pic:pic>
                  <pic:nvPicPr>
                    <pic:cNvPr id="0" name="image15.png"/>
                    <pic:cNvPicPr preferRelativeResize="0"/>
                  </pic:nvPicPr>
                  <pic:blipFill>
                    <a:blip r:embed="rId50"/>
                    <a:srcRect b="0" l="0" r="0" t="0"/>
                    <a:stretch>
                      <a:fillRect/>
                    </a:stretch>
                  </pic:blipFill>
                  <pic:spPr>
                    <a:xfrm>
                      <a:off x="0" y="0"/>
                      <a:ext cx="301625" cy="226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και αντιπαλικής ανθεκτικότητας (</w:t>
      </w:r>
      <w:r w:rsidDel="00000000" w:rsidR="00000000" w:rsidRPr="00000000">
        <w:rPr>
          <w:rFonts w:ascii="Google Sans" w:cs="Google Sans" w:eastAsia="Google Sans" w:hAnsi="Google Sans"/>
          <w:color w:val="1f1f1f"/>
        </w:rPr>
        <w:drawing>
          <wp:inline distB="19050" distT="19050" distL="19050" distR="19050">
            <wp:extent cx="303444" cy="227583"/>
            <wp:effectExtent b="0" l="0" r="0" t="0"/>
            <wp:docPr id="26" name="image20.png"/>
            <a:graphic>
              <a:graphicData uri="http://schemas.openxmlformats.org/drawingml/2006/picture">
                <pic:pic>
                  <pic:nvPicPr>
                    <pic:cNvPr id="0" name="image20.png"/>
                    <pic:cNvPicPr preferRelativeResize="0"/>
                  </pic:nvPicPr>
                  <pic:blipFill>
                    <a:blip r:embed="rId51"/>
                    <a:srcRect b="0" l="0" r="0" t="0"/>
                    <a:stretch>
                      <a:fillRect/>
                    </a:stretch>
                  </pic:blipFill>
                  <pic:spPr>
                    <a:xfrm>
                      <a:off x="0" y="0"/>
                      <a:ext cx="303444" cy="2275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υπό Non-IID συνθήκες, αποτρέποντας την υπερπροσαρμογή (overfitting) των τοπικών μοντέλων σε τοπικά ακραία αντιπαλικά δείγματα</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Μειονεκτήματα</w:t>
      </w:r>
      <w:r w:rsidDel="00000000" w:rsidR="00000000" w:rsidRPr="00000000">
        <w:rPr>
          <w:rFonts w:ascii="Google Sans" w:cs="Google Sans" w:eastAsia="Google Sans" w:hAnsi="Google Sans"/>
          <w:color w:val="1f1f1f"/>
          <w:rtl w:val="0"/>
        </w:rPr>
        <w:t xml:space="preserve">: Απαιτεί σημαντικούς υπολογιστικούς πόρους από τις τοπικές συσκευές, καθώς η εύρεση της απόστασης από το όριο απόφασης απαιτεί πολλαπλά βήματα forward-backward περάσματος (π.χ. multi-step PGD)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Ενσωμάτωση ως Καινοτομία σε Ερευνητική Εργασία</w:t>
      </w:r>
      <w:r w:rsidDel="00000000" w:rsidR="00000000" w:rsidRPr="00000000">
        <w:rPr>
          <w:rFonts w:ascii="Google Sans" w:cs="Google Sans" w:eastAsia="Google Sans" w:hAnsi="Google Sans"/>
          <w:color w:val="1f1f1f"/>
          <w:rtl w:val="0"/>
        </w:rPr>
        <w:t xml:space="preserve">: Μπορεί να προταθεί ο "Class-Imbalance Calibrated DBFAT (Cal-DBFAT)". Η καινοτομία συνίσταται στην ενσωμάτωση ενός logit calibration μηχανισμού στον όρο </w:t>
      </w:r>
      <w:r w:rsidDel="00000000" w:rsidR="00000000" w:rsidRPr="00000000">
        <w:rPr>
          <w:rFonts w:ascii="Google Sans" w:cs="Google Sans" w:eastAsia="Google Sans" w:hAnsi="Google Sans"/>
          <w:color w:val="1f1f1f"/>
        </w:rPr>
        <w:drawing>
          <wp:inline distB="19050" distT="19050" distL="19050" distR="19050">
            <wp:extent cx="345778" cy="226916"/>
            <wp:effectExtent b="0" l="0" r="0" t="0"/>
            <wp:docPr id="27" name="image16.png"/>
            <a:graphic>
              <a:graphicData uri="http://schemas.openxmlformats.org/drawingml/2006/picture">
                <pic:pic>
                  <pic:nvPicPr>
                    <pic:cNvPr id="0" name="image16.png"/>
                    <pic:cNvPicPr preferRelativeResize="0"/>
                  </pic:nvPicPr>
                  <pic:blipFill>
                    <a:blip r:embed="rId49"/>
                    <a:srcRect b="0" l="0" r="0" t="0"/>
                    <a:stretch>
                      <a:fillRect/>
                    </a:stretch>
                  </pic:blipFill>
                  <pic:spPr>
                    <a:xfrm>
                      <a:off x="0" y="0"/>
                      <a:ext cx="345778" cy="226916"/>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Ο μηχανισμός αυτός προσαρμόζει τα logits του παγκόσμιου μοντέλου με βάση τον βαθμό ασυμμετρίας των ετικετών (label skew) κάθε κόμβου, αποτρέποντας την κυριαρχία των πλειονοτικών κλάσεων κατά την αντιπαλική εκπαίδευση σε Non-IID περιβάλλοντα</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FedRBN (Federated Robust Batch-Normalization)</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Μαθηματική και Διαισθητική Λειτουργία</w:t>
      </w:r>
      <w:r w:rsidDel="00000000" w:rsidR="00000000" w:rsidRPr="00000000">
        <w:rPr>
          <w:rFonts w:ascii="Google Sans" w:cs="Google Sans" w:eastAsia="Google Sans" w:hAnsi="Google Sans"/>
          <w:color w:val="1f1f1f"/>
          <w:rtl w:val="0"/>
        </w:rPr>
        <w:t xml:space="preserve">: Ο FedRBN αντιμετωπίζει το πρόβλημα της ετερογένειας υπολογιστικών πόρων (hardware heterogeneity) εισάγοντας τη στρατηγική της Διάδοσης Αντιπαλικής Ανθεκτικότητας (Federated Robustness Propagation - FRP)</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Σε ένα ρεαλιστικό δίκτυο, μόνο ένα μικρό ποσοστό κόμβων διαθέτει τους πόρους για να εκτελέσει AT (AT users), ενώ οι υπόλοιποι εκτελούν Standard Training (ST users)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Ο FedRBN διαχωρίζει τις παραμέτρους του μοντέλου </w:t>
      </w:r>
      <w:r w:rsidDel="00000000" w:rsidR="00000000" w:rsidRPr="00000000">
        <w:rPr>
          <w:rFonts w:ascii="Google Sans" w:cs="Google Sans" w:eastAsia="Google Sans" w:hAnsi="Google Sans"/>
          <w:color w:val="1f1f1f"/>
        </w:rPr>
        <w:drawing>
          <wp:inline distB="19050" distT="19050" distL="19050" distR="19050">
            <wp:extent cx="117078" cy="280988"/>
            <wp:effectExtent b="0" l="0" r="0" t="0"/>
            <wp:docPr id="28"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17078" cy="280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σε κοινά βάρη </w:t>
      </w:r>
      <w:r w:rsidDel="00000000" w:rsidR="00000000" w:rsidRPr="00000000">
        <w:rPr>
          <w:rFonts w:ascii="Google Sans" w:cs="Google Sans" w:eastAsia="Google Sans" w:hAnsi="Google Sans"/>
          <w:color w:val="1f1f1f"/>
        </w:rPr>
        <w:drawing>
          <wp:inline distB="19050" distT="19050" distL="19050" distR="19050">
            <wp:extent cx="85990" cy="225723"/>
            <wp:effectExtent b="0" l="0" r="0" t="0"/>
            <wp:docPr id="29" name="image22.png"/>
            <a:graphic>
              <a:graphicData uri="http://schemas.openxmlformats.org/drawingml/2006/picture">
                <pic:pic>
                  <pic:nvPicPr>
                    <pic:cNvPr id="0" name="image22.png"/>
                    <pic:cNvPicPr preferRelativeResize="0"/>
                  </pic:nvPicPr>
                  <pic:blipFill>
                    <a:blip r:embed="rId52"/>
                    <a:srcRect b="0" l="0" r="0" t="0"/>
                    <a:stretch>
                      <a:fillRect/>
                    </a:stretch>
                  </pic:blipFill>
                  <pic:spPr>
                    <a:xfrm>
                      <a:off x="0" y="0"/>
                      <a:ext cx="85990" cy="2257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και σε παραμέτρους Batch Normalization (BN) </w:t>
      </w:r>
      <w:r w:rsidDel="00000000" w:rsidR="00000000" w:rsidRPr="00000000">
        <w:rPr>
          <w:rFonts w:ascii="Google Sans" w:cs="Google Sans" w:eastAsia="Google Sans" w:hAnsi="Google Sans"/>
          <w:color w:val="1f1f1f"/>
        </w:rPr>
        <w:drawing>
          <wp:inline distB="19050" distT="19050" distL="19050" distR="19050">
            <wp:extent cx="489810" cy="228578"/>
            <wp:effectExtent b="0" l="0" r="0" t="0"/>
            <wp:docPr id="30" name="image11.png"/>
            <a:graphic>
              <a:graphicData uri="http://schemas.openxmlformats.org/drawingml/2006/picture">
                <pic:pic>
                  <pic:nvPicPr>
                    <pic:cNvPr id="0" name="image11.png"/>
                    <pic:cNvPicPr preferRelativeResize="0"/>
                  </pic:nvPicPr>
                  <pic:blipFill>
                    <a:blip r:embed="rId53"/>
                    <a:srcRect b="0" l="0" r="0" t="0"/>
                    <a:stretch>
                      <a:fillRect/>
                    </a:stretch>
                  </pic:blipFill>
                  <pic:spPr>
                    <a:xfrm>
                      <a:off x="0" y="0"/>
                      <a:ext cx="489810" cy="228578"/>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Χρησιμοποιεί μια δομή </w:t>
      </w:r>
      <w:r w:rsidDel="00000000" w:rsidR="00000000" w:rsidRPr="00000000">
        <w:rPr>
          <w:rFonts w:ascii="Google Sans" w:cs="Google Sans" w:eastAsia="Google Sans" w:hAnsi="Google Sans"/>
          <w:i w:val="1"/>
          <w:iCs w:val="1"/>
          <w:color w:val="1f1f1f"/>
          <w:rtl w:val="0"/>
        </w:rPr>
        <w:t xml:space="preserve">Dual Batch-Normalization</w:t>
      </w:r>
      <w:r w:rsidDel="00000000" w:rsidR="00000000" w:rsidRPr="00000000">
        <w:rPr>
          <w:rFonts w:ascii="Google Sans" w:cs="Google Sans" w:eastAsia="Google Sans" w:hAnsi="Google Sans"/>
          <w:color w:val="1f1f1f"/>
          <w:rtl w:val="0"/>
        </w:rPr>
        <w:t xml:space="preserve">, διατηρώντας δύο διακριτά σετ στατιστικών BN τοπικά: ένα για καθαρά δεδομένα και ένα για θορυβώδη/αντιπαλικά δεδομένα</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Η διάδοση της ανθεκτικότητας επιτυγχάνεται μέσω της προσαρμοστικής μεταφοράς και του γραμμικού συνδυασμού των noise-aware BN παραμέτρων από τους AT κόμβους προς τους ST κόμβους, θωρακίζοντας τους τελευταίους χωρίς να απαιτείται να εκτελέσουν AT</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Πλεονεκτήματα και Μειονεκτήματα σε Non-IID Δεδομένα</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Πλεονεκτήματα</w:t>
      </w:r>
      <w:r w:rsidDel="00000000" w:rsidR="00000000" w:rsidRPr="00000000">
        <w:rPr>
          <w:rFonts w:ascii="Google Sans" w:cs="Google Sans" w:eastAsia="Google Sans" w:hAnsi="Google Sans"/>
          <w:color w:val="1f1f1f"/>
          <w:rtl w:val="0"/>
        </w:rPr>
        <w:t xml:space="preserve">: Μειώνει δραστικά το συνολικό υπολογιστικό κόστος του δικτύου</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Όταν μόνο το </w:t>
      </w:r>
      <w:r w:rsidDel="00000000" w:rsidR="00000000" w:rsidRPr="00000000">
        <w:rPr>
          <w:rFonts w:ascii="Google Sans" w:cs="Google Sans" w:eastAsia="Google Sans" w:hAnsi="Google Sans"/>
          <w:color w:val="1f1f1f"/>
        </w:rPr>
        <w:drawing>
          <wp:inline distB="19050" distT="19050" distL="19050" distR="19050">
            <wp:extent cx="359172" cy="232405"/>
            <wp:effectExtent b="0" l="0" r="0" t="0"/>
            <wp:docPr id="31" name="image24.png"/>
            <a:graphic>
              <a:graphicData uri="http://schemas.openxmlformats.org/drawingml/2006/picture">
                <pic:pic>
                  <pic:nvPicPr>
                    <pic:cNvPr id="0" name="image24.png"/>
                    <pic:cNvPicPr preferRelativeResize="0"/>
                  </pic:nvPicPr>
                  <pic:blipFill>
                    <a:blip r:embed="rId54"/>
                    <a:srcRect b="0" l="0" r="0" t="0"/>
                    <a:stretch>
                      <a:fillRect/>
                    </a:stretch>
                  </pic:blipFill>
                  <pic:spPr>
                    <a:xfrm>
                      <a:off x="0" y="0"/>
                      <a:ext cx="359172" cy="2324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των κόμβων εκτελεί AT, ο FedRBN επιτυγχάνει robust accuracy εξαιρετικά κοντά στο θεωρητικό άνω όριο (μόλις </w:t>
      </w:r>
      <w:r w:rsidDel="00000000" w:rsidR="00000000" w:rsidRPr="00000000">
        <w:rPr>
          <w:rFonts w:ascii="Google Sans" w:cs="Google Sans" w:eastAsia="Google Sans" w:hAnsi="Google Sans"/>
          <w:color w:val="1f1f1f"/>
        </w:rPr>
        <w:drawing>
          <wp:inline distB="19050" distT="19050" distL="19050" distR="19050">
            <wp:extent cx="261276" cy="239503"/>
            <wp:effectExtent b="0" l="0" r="0" t="0"/>
            <wp:docPr id="21" name="image56.png"/>
            <a:graphic>
              <a:graphicData uri="http://schemas.openxmlformats.org/drawingml/2006/picture">
                <pic:pic>
                  <pic:nvPicPr>
                    <pic:cNvPr id="0" name="image56.png"/>
                    <pic:cNvPicPr preferRelativeResize="0"/>
                  </pic:nvPicPr>
                  <pic:blipFill>
                    <a:blip r:embed="rId55"/>
                    <a:srcRect b="0" l="0" r="0" t="0"/>
                    <a:stretch>
                      <a:fillRect/>
                    </a:stretch>
                  </pic:blipFill>
                  <pic:spPr>
                    <a:xfrm>
                      <a:off x="0" y="0"/>
                      <a:ext cx="261276" cy="2395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πτώση σε σχέση με το σενάριο όπου το </w:t>
      </w:r>
      <w:r w:rsidDel="00000000" w:rsidR="00000000" w:rsidRPr="00000000">
        <w:rPr>
          <w:rFonts w:ascii="Google Sans" w:cs="Google Sans" w:eastAsia="Google Sans" w:hAnsi="Google Sans"/>
          <w:color w:val="1f1f1f"/>
        </w:rPr>
        <w:drawing>
          <wp:inline distB="19050" distT="19050" distL="19050" distR="19050">
            <wp:extent cx="457068" cy="233849"/>
            <wp:effectExtent b="0" l="0" r="0" t="0"/>
            <wp:docPr id="22" name="image19.png"/>
            <a:graphic>
              <a:graphicData uri="http://schemas.openxmlformats.org/drawingml/2006/picture">
                <pic:pic>
                  <pic:nvPicPr>
                    <pic:cNvPr id="0" name="image19.png"/>
                    <pic:cNvPicPr preferRelativeResize="0"/>
                  </pic:nvPicPr>
                  <pic:blipFill>
                    <a:blip r:embed="rId56"/>
                    <a:srcRect b="0" l="0" r="0" t="0"/>
                    <a:stretch>
                      <a:fillRect/>
                    </a:stretch>
                  </pic:blipFill>
                  <pic:spPr>
                    <a:xfrm>
                      <a:off x="0" y="0"/>
                      <a:ext cx="457068" cy="2338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των κόμβων εκτελεί AT)</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Τα BN επίπεδα απορροφούν αποτελεσματικά το domain shift που προκαλείται από τα Non-IID δεδομένα</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Μειονεκτήματα</w:t>
      </w:r>
      <w:r w:rsidDel="00000000" w:rsidR="00000000" w:rsidRPr="00000000">
        <w:rPr>
          <w:rFonts w:ascii="Google Sans" w:cs="Google Sans" w:eastAsia="Google Sans" w:hAnsi="Google Sans"/>
          <w:color w:val="1f1f1f"/>
          <w:rtl w:val="0"/>
        </w:rPr>
        <w:t xml:space="preserve">: Η αποτελεσματικότητα της διάδοσης βασίζεται στην υπόθεση ότι ο χώρος των εξαγόμενων χαρακτηριστικών (feature representation space) παραμένει σχετικά κοινός μεταξύ των κόμβων</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Σε περιπτώσεις ακραίου Non-IID (π.χ. εντελώς διαφορετικά domains δεδομένων), η απλή μεταφορά των BN στατιστικών μπορεί να οδηγήσει σε κατάρρευση της καθαρής ακρίβειας των ST κόμβων</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Ενσωμάτωση ως Καινοτομία σε Ερευνητική Εργασία</w:t>
      </w:r>
      <w:r w:rsidDel="00000000" w:rsidR="00000000" w:rsidRPr="00000000">
        <w:rPr>
          <w:rFonts w:ascii="Google Sans" w:cs="Google Sans" w:eastAsia="Google Sans" w:hAnsi="Google Sans"/>
          <w:color w:val="1f1f1f"/>
          <w:rtl w:val="0"/>
        </w:rPr>
        <w:t xml:space="preserve">: Μπορεί να προταθεί ο "Attention-Guided Federated Robustness Propagation (AT-FRP)". Η καινοτομία έγκειται στην αντικατάσταση του γραμμικού συνδυασμού των BN στατιστικών με έναν μηχανισμό προσοχής (attention) που υπολογίζει τη στατιστική απόσταση (π.χ. απόσταση Wasserstein) μεταξύ των τοπικών καθαρών δεδομένων του ST κόμβου και των ληφθέντων robust BN, επιτρέποντας την επιλεκτική και προσαρμοσμένη ανάμειξη των στατιστικών.</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Συνδυασμένη Αντιμετώπιση Ανομοιογένειας και Αντιπαλικής Ανθεκτικότητας σε Δίκτυα IoT και OCPP</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Τα δίκτυα φόρτισης ηλεκτρικών οχημάτων (Electric Vehicle Charging Stations - EVCS) αποτελούν κρίσιμες IoT υποδομές που συνδέουν το φυσικό δίκτυο διανομής ηλεκτρικής ενέργειας με τον ψηφιακό έλεγχο</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Η επικοινωνία μεταξύ των σταθμών φόρτισης και των κεντρικών συστημάτων διαχείρισης (EVCSMS / CSO) βασίζεται στο πρωτόκολλο </w:t>
      </w:r>
      <w:r w:rsidDel="00000000" w:rsidR="00000000" w:rsidRPr="00000000">
        <w:rPr>
          <w:rFonts w:ascii="Google Sans" w:cs="Google Sans" w:eastAsia="Google Sans" w:hAnsi="Google Sans"/>
          <w:b w:val="1"/>
          <w:bCs w:val="1"/>
          <w:color w:val="1f1f1f"/>
          <w:rtl w:val="0"/>
        </w:rPr>
        <w:t xml:space="preserve">OCPP (Open Charge Point Protocol)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Οι εγγενείς αδυναμίες ασφάλειας του OCPP 1.6 (απουσία υποχρεωτικής κρυπτογράφησης, αδύναμη αυθεντικοποίηση) το καθιστούν ευάλωτο σε επιθέσεις False Data Injection (FDI), Denial of Service (DoS - π.χ. μέσω του OCPPStorm fuzzer), Man-in-the-Middle (MiTM) και υποκλοπής ενέργειας</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Οι Ιδιαιτερότητες του Περιβάλλοντος OCPP / IoT</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Ακραίο Non-IID (Στατιστική Ετερογένεια)</w:t>
      </w:r>
      <w:r w:rsidDel="00000000" w:rsidR="00000000" w:rsidRPr="00000000">
        <w:rPr>
          <w:rFonts w:ascii="Google Sans" w:cs="Google Sans" w:eastAsia="Google Sans" w:hAnsi="Google Sans"/>
          <w:color w:val="1f1f1f"/>
          <w:rtl w:val="0"/>
        </w:rPr>
        <w:t xml:space="preserve">: Τα δεδομένα των EVCS παρουσιάζουν έντονη ανομοιογένεια που οφείλεται στη γεωγραφική θέση (αστικοί φορτιστές έναντι φορτιστών αυτοκινητοδρόμων), τον χρόνο χρήσης (αιχμές ζήτησης), τον τύπο των οχημάτων και τα όρια ισχύος των τοπικών feeder του ηλεκτρικού δικτύου</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Υπολογιστικοί Περιορισμοί (Hardware Heterogeneity)</w:t>
      </w:r>
      <w:r w:rsidDel="00000000" w:rsidR="00000000" w:rsidRPr="00000000">
        <w:rPr>
          <w:rFonts w:ascii="Google Sans" w:cs="Google Sans" w:eastAsia="Google Sans" w:hAnsi="Google Sans"/>
          <w:color w:val="1f1f1f"/>
          <w:rtl w:val="0"/>
        </w:rPr>
        <w:t xml:space="preserve">: Οι σταθμοί φόρτισης περιλαμβάνουν από απλούς μικροελεγκτές (χαμηλών πόρων) έως προηγμένους edge servers (υψηλών πόρων)</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Φυσικοί και Κυβερνητικοί Περιορισμοί</w:t>
      </w:r>
      <w:r w:rsidDel="00000000" w:rsidR="00000000" w:rsidRPr="00000000">
        <w:rPr>
          <w:rFonts w:ascii="Google Sans" w:cs="Google Sans" w:eastAsia="Google Sans" w:hAnsi="Google Sans"/>
          <w:color w:val="1f1f1f"/>
          <w:rtl w:val="0"/>
        </w:rPr>
        <w:t xml:space="preserve">: Μια αντιπαλική επίθεση (FDI) μπορεί να παραποιήσει τις μετρήσεις του State of Charge (SoC) της μπαταρίας ή της τάσης του δικτύου (π.χ. τεχνητή αύξηση SoC κατά </w:t>
      </w:r>
      <w:r w:rsidDel="00000000" w:rsidR="00000000" w:rsidRPr="00000000">
        <w:rPr>
          <w:rFonts w:ascii="Google Sans" w:cs="Google Sans" w:eastAsia="Google Sans" w:hAnsi="Google Sans"/>
          <w:color w:val="1f1f1f"/>
        </w:rPr>
        <w:drawing>
          <wp:inline distB="19050" distT="19050" distL="19050" distR="19050">
            <wp:extent cx="316839" cy="207584"/>
            <wp:effectExtent b="0" l="0" r="0" t="0"/>
            <wp:docPr id="57" name="image32.png"/>
            <a:graphic>
              <a:graphicData uri="http://schemas.openxmlformats.org/drawingml/2006/picture">
                <pic:pic>
                  <pic:nvPicPr>
                    <pic:cNvPr id="0" name="image32.png"/>
                    <pic:cNvPicPr preferRelativeResize="0"/>
                  </pic:nvPicPr>
                  <pic:blipFill>
                    <a:blip r:embed="rId45"/>
                    <a:srcRect b="0" l="0" r="0" t="0"/>
                    <a:stretch>
                      <a:fillRect/>
                    </a:stretch>
                  </pic:blipFill>
                  <pic:spPr>
                    <a:xfrm>
                      <a:off x="0" y="0"/>
                      <a:ext cx="316839" cy="2075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εξαπατώντας τον optimizer ελέγχου και προκαλώντας υπερφόρτωση ή κατάρρευση του τοπικού υποσταθμού</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color w:val="1f1f1f"/>
          <w:rtl w:val="0"/>
        </w:rPr>
        <w:t xml:space="preserve">Η Προτεινόμενη Αρχιτεκτονική: </w:t>
      </w:r>
      <w:r w:rsidDel="00000000" w:rsidR="00000000" w:rsidRPr="00000000">
        <w:rPr>
          <w:rFonts w:ascii="Google Sans" w:cs="Google Sans" w:eastAsia="Google Sans" w:hAnsi="Google Sans"/>
          <w:b w:val="1"/>
          <w:bCs w:val="1"/>
          <w:i w:val="0"/>
          <w:iCs w:val="0"/>
          <w:color w:val="1f1f1f"/>
          <w:sz w:val="28"/>
          <w:szCs w:val="28"/>
          <w:rtl w:val="0"/>
        </w:rPr>
        <w:t xml:space="preserve">Fed-OCPP-Secure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Για την ολιστική αντιμετώπιση των παραπάνω προκλήσεων, προτείνεται η αρχιτεκτονική </w:t>
      </w:r>
      <w:r w:rsidDel="00000000" w:rsidR="00000000" w:rsidRPr="00000000">
        <w:rPr>
          <w:rFonts w:ascii="Google Sans" w:cs="Google Sans" w:eastAsia="Google Sans" w:hAnsi="Google Sans"/>
          <w:b w:val="1"/>
          <w:bCs w:val="1"/>
          <w:color w:val="1f1f1f"/>
          <w:rtl w:val="0"/>
        </w:rPr>
        <w:t xml:space="preserve">Fed-OCPP-Secure</w:t>
      </w:r>
      <w:r w:rsidDel="00000000" w:rsidR="00000000" w:rsidRPr="00000000">
        <w:rPr>
          <w:rFonts w:ascii="Google Sans" w:cs="Google Sans" w:eastAsia="Google Sans" w:hAnsi="Google Sans"/>
          <w:color w:val="1f1f1f"/>
          <w:rtl w:val="0"/>
        </w:rPr>
        <w:t xml:space="preserve">. Αυτή συνδυάζει τις βέλτιστες πρακτικές των robust αλγορίθμων σε μια δομή δύο επιπέδων (Edge και Server).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[Server Level: EVCSMS]</w:t>
        <w:br w:type="textWrapping"/>
        <w:t xml:space="preserve">       │</w:t>
        <w:br w:type="textWrapping"/>
        <w:t xml:space="preserve">       ▼  (Φιλτράρισμα με OptiGradTrust &amp; Dynamic 6D Fingerprinting)</w:t>
        <w:br w:type="textWrapping"/>
        <w:t xml:space="preserve">[Aggregation] ◄────────────────────────────────────────┐</w:t>
        <w:br w:type="textWrapping"/>
        <w:t xml:space="preserve">       │                                               │</w:t>
        <w:br w:type="textWrapping"/>
        <w:t xml:space="preserve">       ▼ (Μετάδοση Παγκόσμιου Μοντέλου)                │ (Robust Updates)</w:t>
        <w:br w:type="textWrapping"/>
        <w:t xml:space="preserve">[Edge Level: EVCS Nodes]                               │</w:t>
        <w:br w:type="textWrapping"/>
        <w:t xml:space="preserve">       │                                               │</w:t>
        <w:br w:type="textWrapping"/>
        <w:t xml:space="preserve">       ├─► [High-Resource EVCS]: Local PINN + DBFAT ───┤</w:t>
        <w:br w:type="textWrapping"/>
        <w:t xml:space="preserve">       │                                               │</w:t>
        <w:br w:type="textWrapping"/>
        <w:t xml:space="preserve">       └─► [Low-Resource EVCS]: FedRBN (ST mode) ──────┘</w:t>
        <w:br w:type="textWrapping"/>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Σχεδιασμός στο Επίπεδο του Σταθμού (Edge EVCS)</w:t>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Ενσωμάτωση PINNs (Physics-Informed Neural Networks)</w:t>
      </w:r>
      <w:r w:rsidDel="00000000" w:rsidR="00000000" w:rsidRPr="00000000">
        <w:rPr>
          <w:rFonts w:ascii="Google Sans" w:cs="Google Sans" w:eastAsia="Google Sans" w:hAnsi="Google Sans"/>
          <w:color w:val="1f1f1f"/>
          <w:rtl w:val="0"/>
        </w:rPr>
        <w:t xml:space="preserve">: Για την προστασία από FDI επιθέσεις, το τοπικό μοντέλο εκπαίδευσης δεν βασίζεται μόνο σε καθαρά δεδομένα ροής, αλλά ενσωματώνει τους φυσικούς νόμους του συστήματος ( Kirshhoff, θερμοδυναμική μπαταρίας, όρια ισχύος feeder) απευθείας στη loss function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Η φυσική συνέπεια επιβάλλεται μέσω του περιορισμού</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351447" cy="753015"/>
            <wp:effectExtent b="0" l="0" r="0" t="0"/>
            <wp:docPr id="58" name="image26.png"/>
            <a:graphic>
              <a:graphicData uri="http://schemas.openxmlformats.org/drawingml/2006/picture">
                <pic:pic>
                  <pic:nvPicPr>
                    <pic:cNvPr id="0" name="image26.png"/>
                    <pic:cNvPicPr preferRelativeResize="0"/>
                  </pic:nvPicPr>
                  <pic:blipFill>
                    <a:blip r:embed="rId57"/>
                    <a:srcRect b="0" l="0" r="0" t="0"/>
                    <a:stretch>
                      <a:fillRect/>
                    </a:stretch>
                  </pic:blipFill>
                  <pic:spPr>
                    <a:xfrm>
                      <a:off x="0" y="0"/>
                      <a:ext cx="3351447" cy="75301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351447" cy="753015"/>
            <wp:effectExtent b="0" l="0" r="0" t="0"/>
            <wp:docPr id="59" name="image27.png"/>
            <a:graphic>
              <a:graphicData uri="http://schemas.openxmlformats.org/drawingml/2006/picture">
                <pic:pic>
                  <pic:nvPicPr>
                    <pic:cNvPr id="0" name="image27.png"/>
                    <pic:cNvPicPr preferRelativeResize="0"/>
                  </pic:nvPicPr>
                  <pic:blipFill>
                    <a:blip r:embed="rId58"/>
                    <a:srcRect b="0" l="0" r="0" t="0"/>
                    <a:stretch>
                      <a:fillRect/>
                    </a:stretch>
                  </pic:blipFill>
                  <pic:spPr>
                    <a:xfrm>
                      <a:off x="0" y="0"/>
                      <a:ext cx="3351447" cy="75301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Οποιεσδήποτε αντιπαλικές προσπάθειες εισαγωγής ψευδών μετρήσεων που παραβιάζουν αυτούς τους περιορισμούς (π.χ. απότομη αύξηση τάσης χωρίς αντίστοιχη μεταβολή ρεύματος) απορρίπτονται άμεσα από τη loss function του PINN, καθιστώντας το μοντέλο ανθεκτικό σε evasion επιθέσεις</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Υλοποίηση FedRBN</w:t>
      </w:r>
      <w:r w:rsidDel="00000000" w:rsidR="00000000" w:rsidRPr="00000000">
        <w:rPr>
          <w:rFonts w:ascii="Google Sans" w:cs="Google Sans" w:eastAsia="Google Sans" w:hAnsi="Google Sans"/>
          <w:color w:val="1f1f1f"/>
          <w:rtl w:val="0"/>
        </w:rPr>
        <w:t xml:space="preserve">: Για τη διαχείριση των περιορισμένων πόρων, εφαρμόζεται η μέθοδος του FedRBN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Οι ισχυροί σταθμοί εκτελούν PGD-based αντιπαλική εκπαίδευση (AT) επί των OCPP δικτυακών ροών για την ανίχνευση DoS/Fuzzing επιθέσεων</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Οι ασθενείς σταθμοί εκτελούν standard εκπαίδευση (ST) και λαμβάνουν την αντιπαλική ανθεκτικότητα μέσω της διάδοσης των noise-aware BN παραμέτρων, διατηρώντας τη δομή Dual-BN για την αποτελεσματική απορρόφηση των Non-IID δικτυακών ροών</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Σχεδιασμός στο Επίπεδο του Διακομιστή (Server EVCSMS)</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Robust Aggregation με OptiGradTrust</w:t>
      </w:r>
      <w:r w:rsidDel="00000000" w:rsidR="00000000" w:rsidRPr="00000000">
        <w:rPr>
          <w:rFonts w:ascii="Google Sans" w:cs="Google Sans" w:eastAsia="Google Sans" w:hAnsi="Google Sans"/>
          <w:color w:val="1f1f1f"/>
          <w:rtl w:val="0"/>
        </w:rPr>
        <w:t xml:space="preserve">: Κατά τη φάση της συλλογής των τοπικών ενημερώσεων, ο server εφαρμόζει τον αλγόριθμο OptiGradTrust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Αυτό αποτρέπει επιθέσεις model poisoning από πλήρως παραβιασμένους σταθμούς φόρτισης</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Το 6D fingerprinting αναλύει τα gradient updates των OCPP IDS μοντέλων</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Το VAE ανιχνεύει distributional anomalies στις κλίσεις, ενώ ο Monte Carlo Shapley μηχανισμός αποτιμά τη χρησιμότητα της ενημέρωσης κάθε σταθμού</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Αν ένας σταθμός παρουσιάζει ασυνήθιστο μοτίβο λόγω Non-IID (π.χ. ξαφνική μαζική φόρτιση λόγω τοπικού γεγονότος), το VAE και ο Shapley μηχανισμός αναγνωρίζουν την έντιμη φύση της απόκλισης και δεν την απορρίπτουν</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Αντίθετα, αν πρόκειται για συντονισμένη προσπάθεια αλλοίωσης του IDS (Byzantine attack), η ενημέρωση απομονώνεται άμεσα</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Συνθετική Παρουσίαση και Σύγκριση των Προτεινόμενων Τεχνικών</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Προκειμένου να διευκολυνθεί η ενσωμάτωση των παραπάνω τεχνικών σε ερευνητικές εργασίες (papers) ως στοιχείων καινοτομίας, οι πίνακες που ακολουθούν κωδικοποιούν τη μαθηματική τους βάση, τη συμπεριφορά τους σε Non-IID δεδομένα, καθώς και συγκεκριμένα σενάρια καινοτόμου επέκτασής τους.</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Πίνακας 1: Σύγκριση Byzantine-Robust Aggregation Στρατηγικών</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Όνομα Αλγορίθμου</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Μαθηματική / Διαισθητική Βάση</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Συμπεριφορά σε Non-IID Δεδομένα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Πρόταση Καινοτομίας για Ερευνητική Εργασία (Paper Innovation)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Multi-Krum</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20, 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Επιλογή </w:t>
            </w:r>
            <w:r w:rsidDel="00000000" w:rsidR="00000000" w:rsidRPr="00000000">
              <w:rPr>
                <w:rFonts w:ascii="Google Sans" w:cs="Google Sans" w:eastAsia="Google Sans" w:hAnsi="Google Sans"/>
                <w:color w:val="1f1f1f"/>
                <w:shd w:fill="auto" w:val="clear"/>
              </w:rPr>
              <w:drawing>
                <wp:inline distB="19050" distT="19050" distL="19050" distR="19050">
                  <wp:extent cx="466494" cy="222645"/>
                  <wp:effectExtent b="0" l="0" r="0" t="0"/>
                  <wp:docPr id="60" name="image36.png"/>
                  <a:graphic>
                    <a:graphicData uri="http://schemas.openxmlformats.org/drawingml/2006/picture">
                      <pic:pic>
                        <pic:nvPicPr>
                          <pic:cNvPr id="0" name="image36.png"/>
                          <pic:cNvPicPr preferRelativeResize="0"/>
                        </pic:nvPicPr>
                        <pic:blipFill>
                          <a:blip r:embed="rId59"/>
                          <a:srcRect b="0" l="0" r="0" t="0"/>
                          <a:stretch>
                            <a:fillRect/>
                          </a:stretch>
                        </pic:blipFill>
                        <pic:spPr>
                          <a:xfrm>
                            <a:off x="0" y="0"/>
                            <a:ext cx="466494" cy="22264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κόμβων με βάση το ελάχιστο άθροισμα ευκλείδειων αποστάσεων </w:t>
            </w:r>
            <w:r w:rsidDel="00000000" w:rsidR="00000000" w:rsidRPr="00000000">
              <w:rPr>
                <w:rFonts w:ascii="Google Sans" w:cs="Google Sans" w:eastAsia="Google Sans" w:hAnsi="Google Sans"/>
                <w:color w:val="1f1f1f"/>
                <w:shd w:fill="auto" w:val="clear"/>
              </w:rPr>
              <w:drawing>
                <wp:inline distB="19050" distT="19050" distL="19050" distR="19050">
                  <wp:extent cx="1528791" cy="222949"/>
                  <wp:effectExtent b="0" l="0" r="0" t="0"/>
                  <wp:docPr id="61" name="image31.png"/>
                  <a:graphic>
                    <a:graphicData uri="http://schemas.openxmlformats.org/drawingml/2006/picture">
                      <pic:pic>
                        <pic:nvPicPr>
                          <pic:cNvPr id="0" name="image31.png"/>
                          <pic:cNvPicPr preferRelativeResize="0"/>
                        </pic:nvPicPr>
                        <pic:blipFill>
                          <a:blip r:embed="rId60"/>
                          <a:srcRect b="0" l="0" r="0" t="0"/>
                          <a:stretch>
                            <a:fillRect/>
                          </a:stretch>
                        </pic:blipFill>
                        <pic:spPr>
                          <a:xfrm>
                            <a:off x="0" y="0"/>
                            <a:ext cx="1528791" cy="22294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Αρνητική</w:t>
            </w:r>
            <w:r w:rsidDel="00000000" w:rsidR="00000000" w:rsidRPr="00000000">
              <w:rPr>
                <w:rFonts w:ascii="Google Sans" w:cs="Google Sans" w:eastAsia="Google Sans" w:hAnsi="Google Sans"/>
                <w:color w:val="1f1f1f"/>
                <w:shd w:fill="auto" w:val="clear"/>
                <w:rtl w:val="0"/>
              </w:rPr>
              <w:t xml:space="preserve">: Απορρίπτει έντιμους Non-IID κόμβους ως Byzantine λόγω φυσικής στατιστικής απόκλισης</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Density-Based Multi-Krum</w:t>
            </w:r>
            <w:r w:rsidDel="00000000" w:rsidR="00000000" w:rsidRPr="00000000">
              <w:rPr>
                <w:rFonts w:ascii="Google Sans" w:cs="Google Sans" w:eastAsia="Google Sans" w:hAnsi="Google Sans"/>
                <w:color w:val="1f1f1f"/>
                <w:shd w:fill="auto" w:val="clear"/>
                <w:rtl w:val="0"/>
              </w:rPr>
              <w:t xml:space="preserve">: Δυναμικός προσδιορισμός της γειτονιάς </w:t>
            </w:r>
            <w:r w:rsidDel="00000000" w:rsidR="00000000" w:rsidRPr="00000000">
              <w:rPr>
                <w:rFonts w:ascii="Google Sans" w:cs="Google Sans" w:eastAsia="Google Sans" w:hAnsi="Google Sans"/>
                <w:color w:val="1f1f1f"/>
                <w:shd w:fill="auto" w:val="clear"/>
              </w:rPr>
              <w:drawing>
                <wp:inline distB="19050" distT="19050" distL="19050" distR="19050">
                  <wp:extent cx="192154" cy="214760"/>
                  <wp:effectExtent b="0" l="0" r="0" t="0"/>
                  <wp:docPr id="62" name="image38.png"/>
                  <a:graphic>
                    <a:graphicData uri="http://schemas.openxmlformats.org/drawingml/2006/picture">
                      <pic:pic>
                        <pic:nvPicPr>
                          <pic:cNvPr id="0" name="image38.png"/>
                          <pic:cNvPicPr preferRelativeResize="0"/>
                        </pic:nvPicPr>
                        <pic:blipFill>
                          <a:blip r:embed="rId12"/>
                          <a:srcRect b="0" l="0" r="0" t="0"/>
                          <a:stretch>
                            <a:fillRect/>
                          </a:stretch>
                        </pic:blipFill>
                        <pic:spPr>
                          <a:xfrm>
                            <a:off x="0" y="0"/>
                            <a:ext cx="192154" cy="21476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με χρήση DBSCAN στον χώρο των κλίσεων για τη διατήρηση των Non-IID ιδιομορφιών.</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Bulyan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20, 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Αναδρομική εκτέλεση Multi-Krum για επιλογή </w:t>
            </w:r>
            <w:r w:rsidDel="00000000" w:rsidR="00000000" w:rsidRPr="00000000">
              <w:rPr>
                <w:rFonts w:ascii="Google Sans" w:cs="Google Sans" w:eastAsia="Google Sans" w:hAnsi="Google Sans"/>
                <w:color w:val="1f1f1f"/>
                <w:shd w:fill="auto" w:val="clear"/>
              </w:rPr>
              <w:drawing>
                <wp:inline distB="19050" distT="19050" distL="19050" distR="19050">
                  <wp:extent cx="821531" cy="224054"/>
                  <wp:effectExtent b="0" l="0" r="0" t="0"/>
                  <wp:docPr id="63"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821531" cy="22405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κόμβων και εφαρμογή coordinate-wise trimmed mean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Πολύ Αρνητική</w:t>
            </w:r>
            <w:r w:rsidDel="00000000" w:rsidR="00000000" w:rsidRPr="00000000">
              <w:rPr>
                <w:rFonts w:ascii="Google Sans" w:cs="Google Sans" w:eastAsia="Google Sans" w:hAnsi="Google Sans"/>
                <w:color w:val="1f1f1f"/>
                <w:shd w:fill="auto" w:val="clear"/>
                <w:rtl w:val="0"/>
              </w:rPr>
              <w:t xml:space="preserve">: Η coordinate-wise επεξεργασία καταστρέφει τις συσχετίσεις των παραμέτρων του μοντέλου</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Covariance-Preserving Block-Bulyan</w:t>
            </w:r>
            <w:r w:rsidDel="00000000" w:rsidR="00000000" w:rsidRPr="00000000">
              <w:rPr>
                <w:rFonts w:ascii="Google Sans" w:cs="Google Sans" w:eastAsia="Google Sans" w:hAnsi="Google Sans"/>
                <w:color w:val="1f1f1f"/>
                <w:shd w:fill="auto" w:val="clear"/>
                <w:rtl w:val="0"/>
              </w:rPr>
              <w:t xml:space="preserve">: Ομαδοποίηση παραμέτρων ανά layer και εφαρμογή Mahalanobis trimmed mean για τη διατήρηση των δομικών συσχετίσεων.</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DnC (Divide-and-Conquer)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 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Υπολογισμός του κύριου ιδιοδιανύσματος </w:t>
            </w:r>
            <w:r w:rsidDel="00000000" w:rsidR="00000000" w:rsidRPr="00000000">
              <w:rPr>
                <w:rFonts w:ascii="Google Sans" w:cs="Google Sans" w:eastAsia="Google Sans" w:hAnsi="Google Sans"/>
                <w:color w:val="1f1f1f"/>
                <w:shd w:fill="auto" w:val="clear"/>
              </w:rPr>
              <w:drawing>
                <wp:inline distB="19050" distT="19050" distL="19050" distR="19050">
                  <wp:extent cx="89958" cy="236141"/>
                  <wp:effectExtent b="0" l="0" r="0" t="0"/>
                  <wp:docPr id="64"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89958" cy="23614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του </w:t>
            </w:r>
            <w:r w:rsidDel="00000000" w:rsidR="00000000" w:rsidRPr="00000000">
              <w:rPr>
                <w:rFonts w:ascii="Google Sans" w:cs="Google Sans" w:eastAsia="Google Sans" w:hAnsi="Google Sans"/>
                <w:color w:val="1f1f1f"/>
                <w:shd w:fill="auto" w:val="clear"/>
              </w:rPr>
              <w:drawing>
                <wp:inline distB="19050" distT="19050" distL="19050" distR="19050">
                  <wp:extent cx="470463" cy="224539"/>
                  <wp:effectExtent b="0" l="0" r="0" t="0"/>
                  <wp:docPr id="54"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470463" cy="22453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και απόρριψη κόμβων με τις μεγαλύτερες προβολές </w:t>
            </w:r>
            <w:r w:rsidDel="00000000" w:rsidR="00000000" w:rsidRPr="00000000">
              <w:rPr>
                <w:rFonts w:ascii="Google Sans" w:cs="Google Sans" w:eastAsia="Google Sans" w:hAnsi="Google Sans"/>
                <w:color w:val="1f1f1f"/>
                <w:shd w:fill="auto" w:val="clear"/>
              </w:rPr>
              <w:drawing>
                <wp:inline distB="19050" distT="19050" distL="19050" distR="19050">
                  <wp:extent cx="802349" cy="224658"/>
                  <wp:effectExtent b="0" l="0" r="0" t="0"/>
                  <wp:docPr id="55" name="image33.png"/>
                  <a:graphic>
                    <a:graphicData uri="http://schemas.openxmlformats.org/drawingml/2006/picture">
                      <pic:pic>
                        <pic:nvPicPr>
                          <pic:cNvPr id="0" name="image33.png"/>
                          <pic:cNvPicPr preferRelativeResize="0"/>
                        </pic:nvPicPr>
                        <pic:blipFill>
                          <a:blip r:embed="rId61"/>
                          <a:srcRect b="0" l="0" r="0" t="0"/>
                          <a:stretch>
                            <a:fillRect/>
                          </a:stretch>
                        </pic:blipFill>
                        <pic:spPr>
                          <a:xfrm>
                            <a:off x="0" y="0"/>
                            <a:ext cx="802349" cy="224658"/>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Μέτρια</w:t>
            </w:r>
            <w:r w:rsidDel="00000000" w:rsidR="00000000" w:rsidRPr="00000000">
              <w:rPr>
                <w:rFonts w:ascii="Google Sans" w:cs="Google Sans" w:eastAsia="Google Sans" w:hAnsi="Google Sans"/>
                <w:color w:val="1f1f1f"/>
                <w:shd w:fill="auto" w:val="clear"/>
                <w:rtl w:val="0"/>
              </w:rPr>
              <w:t xml:space="preserve">: Η Non-IID διακύμανση μπορεί να εκληφθεί εσφαλμένα ως κατεύθυνση επίθεσης</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Kernel-Spectral DnC</w:t>
            </w:r>
            <w:r w:rsidDel="00000000" w:rsidR="00000000" w:rsidRPr="00000000">
              <w:rPr>
                <w:rFonts w:ascii="Google Sans" w:cs="Google Sans" w:eastAsia="Google Sans" w:hAnsi="Google Sans"/>
                <w:color w:val="1f1f1f"/>
                <w:shd w:fill="auto" w:val="clear"/>
                <w:rtl w:val="0"/>
              </w:rPr>
              <w:t xml:space="preserve">: Εισαγωγή μη γραμμικού kernel SVD για τη χαρτογράφηση της Non-IID διακύμανσης σε ορθογώνιες διαστάσεις στο RKHS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FLTrust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7, 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Υπολογισμός trust score </w:t>
            </w:r>
            <w:r w:rsidDel="00000000" w:rsidR="00000000" w:rsidRPr="00000000">
              <w:rPr>
                <w:rFonts w:ascii="Google Sans" w:cs="Google Sans" w:eastAsia="Google Sans" w:hAnsi="Google Sans"/>
                <w:color w:val="1f1f1f"/>
                <w:shd w:fill="auto" w:val="clear"/>
              </w:rPr>
              <w:drawing>
                <wp:inline distB="19050" distT="19050" distL="19050" distR="19050">
                  <wp:extent cx="281450" cy="227325"/>
                  <wp:effectExtent b="0" l="0" r="0" t="0"/>
                  <wp:docPr id="56"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281450" cy="22732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με βάση τη συνημιτονική ομοιότητα με μια server-side καθαρή ενημέρωση αναφοράς </w:t>
            </w:r>
            <w:r w:rsidDel="00000000" w:rsidR="00000000" w:rsidRPr="00000000">
              <w:rPr>
                <w:rFonts w:ascii="Google Sans" w:cs="Google Sans" w:eastAsia="Google Sans" w:hAnsi="Google Sans"/>
                <w:color w:val="1f1f1f"/>
                <w:shd w:fill="auto" w:val="clear"/>
              </w:rPr>
              <w:drawing>
                <wp:inline distB="19050" distT="19050" distL="19050" distR="19050">
                  <wp:extent cx="151639" cy="227458"/>
                  <wp:effectExtent b="0" l="0" r="0" t="0"/>
                  <wp:docPr id="47"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151639" cy="227458"/>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Μέτρια</w:t>
            </w:r>
            <w:r w:rsidDel="00000000" w:rsidR="00000000" w:rsidRPr="00000000">
              <w:rPr>
                <w:rFonts w:ascii="Google Sans" w:cs="Google Sans" w:eastAsia="Google Sans" w:hAnsi="Google Sans"/>
                <w:color w:val="1f1f1f"/>
                <w:shd w:fill="auto" w:val="clear"/>
                <w:rtl w:val="0"/>
              </w:rPr>
              <w:t xml:space="preserve">: Αν το root dataset </w:t>
            </w:r>
            <w:r w:rsidDel="00000000" w:rsidR="00000000" w:rsidRPr="00000000">
              <w:rPr>
                <w:rFonts w:ascii="Google Sans" w:cs="Google Sans" w:eastAsia="Google Sans" w:hAnsi="Google Sans"/>
                <w:color w:val="1f1f1f"/>
                <w:shd w:fill="auto" w:val="clear"/>
              </w:rPr>
              <w:drawing>
                <wp:inline distB="19050" distT="19050" distL="19050" distR="19050">
                  <wp:extent cx="212328" cy="234679"/>
                  <wp:effectExtent b="0" l="0" r="0" t="0"/>
                  <wp:docPr id="48"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212328" cy="23467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παρουσιάζει bias, υποβαθμίζονται έντιμοι Non-IID κόμβοι</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Generative Adaptive FLTrust</w:t>
            </w:r>
            <w:r w:rsidDel="00000000" w:rsidR="00000000" w:rsidRPr="00000000">
              <w:rPr>
                <w:rFonts w:ascii="Google Sans" w:cs="Google Sans" w:eastAsia="Google Sans" w:hAnsi="Google Sans"/>
                <w:color w:val="1f1f1f"/>
                <w:shd w:fill="auto" w:val="clear"/>
                <w:rtl w:val="0"/>
              </w:rPr>
              <w:t xml:space="preserve">: Χρήση data-free generator στον server για τη δυναμική σύνθεση δειγμάτων αναφοράς που ακολουθούν το Non-IID προφίλ</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OptiGradTrust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29]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6D fingerprinting (VAE, Cosine, </w:t>
            </w:r>
            <w:r w:rsidDel="00000000" w:rsidR="00000000" w:rsidRPr="00000000">
              <w:rPr>
                <w:rFonts w:ascii="Google Sans" w:cs="Google Sans" w:eastAsia="Google Sans" w:hAnsi="Google Sans"/>
                <w:color w:val="1f1f1f"/>
                <w:shd w:fill="auto" w:val="clear"/>
              </w:rPr>
              <w:drawing>
                <wp:inline distB="19050" distT="19050" distL="19050" distR="19050">
                  <wp:extent cx="186862" cy="230830"/>
                  <wp:effectExtent b="0" l="0" r="0" t="0"/>
                  <wp:docPr id="49" name="image41.png"/>
                  <a:graphic>
                    <a:graphicData uri="http://schemas.openxmlformats.org/drawingml/2006/picture">
                      <pic:pic>
                        <pic:nvPicPr>
                          <pic:cNvPr id="0" name="image41.png"/>
                          <pic:cNvPicPr preferRelativeResize="0"/>
                        </pic:nvPicPr>
                        <pic:blipFill>
                          <a:blip r:embed="rId43"/>
                          <a:srcRect b="0" l="0" r="0" t="0"/>
                          <a:stretch>
                            <a:fillRect/>
                          </a:stretch>
                        </pic:blipFill>
                        <pic:spPr>
                          <a:xfrm>
                            <a:off x="0" y="0"/>
                            <a:ext cx="186862" cy="23083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Sign, MC-Shapley, Time) και RL-Attention για τον προσδιορισμό των βαρών</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Εξαιρετική</w:t>
            </w:r>
            <w:r w:rsidDel="00000000" w:rsidR="00000000" w:rsidRPr="00000000">
              <w:rPr>
                <w:rFonts w:ascii="Google Sans" w:cs="Google Sans" w:eastAsia="Google Sans" w:hAnsi="Google Sans"/>
                <w:color w:val="1f1f1f"/>
                <w:shd w:fill="auto" w:val="clear"/>
                <w:rtl w:val="0"/>
              </w:rPr>
              <w:t xml:space="preserve">: Το VAE και οι Shapley τιμές διακρίνουν με ακρίβεια τις Non-IID αποκλίσεις από το poisoning</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Sparsified OptiGradTrust</w:t>
            </w:r>
            <w:r w:rsidDel="00000000" w:rsidR="00000000" w:rsidRPr="00000000">
              <w:rPr>
                <w:rFonts w:ascii="Google Sans" w:cs="Google Sans" w:eastAsia="Google Sans" w:hAnsi="Google Sans"/>
                <w:color w:val="1f1f1f"/>
                <w:shd w:fill="auto" w:val="clear"/>
                <w:rtl w:val="0"/>
              </w:rPr>
              <w:t xml:space="preserve">: Εφαρμογή της 6D ανάλυσης μόνο στο </w:t>
            </w:r>
            <w:r w:rsidDel="00000000" w:rsidR="00000000" w:rsidRPr="00000000">
              <w:rPr>
                <w:rFonts w:ascii="Google Sans" w:cs="Google Sans" w:eastAsia="Google Sans" w:hAnsi="Google Sans"/>
                <w:color w:val="1f1f1f"/>
                <w:shd w:fill="auto" w:val="clear"/>
              </w:rPr>
              <w:drawing>
                <wp:inline distB="19050" distT="19050" distL="19050" distR="19050">
                  <wp:extent cx="316839" cy="207584"/>
                  <wp:effectExtent b="0" l="0" r="0" t="0"/>
                  <wp:docPr id="50" name="image32.png"/>
                  <a:graphic>
                    <a:graphicData uri="http://schemas.openxmlformats.org/drawingml/2006/picture">
                      <pic:pic>
                        <pic:nvPicPr>
                          <pic:cNvPr id="0" name="image32.png"/>
                          <pic:cNvPicPr preferRelativeResize="0"/>
                        </pic:nvPicPr>
                        <pic:blipFill>
                          <a:blip r:embed="rId45"/>
                          <a:srcRect b="0" l="0" r="0" t="0"/>
                          <a:stretch>
                            <a:fillRect/>
                          </a:stretch>
                        </pic:blipFill>
                        <pic:spPr>
                          <a:xfrm>
                            <a:off x="0" y="0"/>
                            <a:ext cx="316839" cy="20758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των σημαντικότερων κλίσεων, μειώνοντας το επικοινωνιακό κόστος κατά </w:t>
            </w:r>
            <w:r w:rsidDel="00000000" w:rsidR="00000000" w:rsidRPr="00000000">
              <w:rPr>
                <w:rFonts w:ascii="Google Sans" w:cs="Google Sans" w:eastAsia="Google Sans" w:hAnsi="Google Sans"/>
                <w:color w:val="1f1f1f"/>
                <w:shd w:fill="auto" w:val="clear"/>
              </w:rPr>
              <w:drawing>
                <wp:inline distB="19050" distT="19050" distL="19050" distR="19050">
                  <wp:extent cx="451280" cy="204151"/>
                  <wp:effectExtent b="0" l="0" r="0" t="0"/>
                  <wp:docPr id="51"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451280" cy="204151"/>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Πίνακας 2: Σύγκριση Μεθόδων Federated Adversarial Training (FL-AT)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Όνομα Αλγορίθμου</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Μαθηματική / Διαισθητική Βάση</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Συμπεριφορά σε Non-IID Δεδομένα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Πρόταση Καινοτομίας για Ερευνητική Εργασία (Paper Innovation)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DBFAT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33, 34]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Local re-weighting βάσει απόστασης από το όριο απόφασης</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shd w:fill="auto" w:val="clear"/>
                <w:rtl w:val="0"/>
              </w:rPr>
              <w:t xml:space="preserve">. 2) Global regularization με χρήση </w:t>
            </w:r>
            <w:r w:rsidDel="00000000" w:rsidR="00000000" w:rsidRPr="00000000">
              <w:rPr>
                <w:rFonts w:ascii="Google Sans" w:cs="Google Sans" w:eastAsia="Google Sans" w:hAnsi="Google Sans"/>
                <w:color w:val="1f1f1f"/>
                <w:shd w:fill="auto" w:val="clear"/>
              </w:rPr>
              <w:drawing>
                <wp:inline distB="19050" distT="19050" distL="19050" distR="19050">
                  <wp:extent cx="345778" cy="226916"/>
                  <wp:effectExtent b="0" l="0" r="0" t="0"/>
                  <wp:docPr id="52" name="image16.png"/>
                  <a:graphic>
                    <a:graphicData uri="http://schemas.openxmlformats.org/drawingml/2006/picture">
                      <pic:pic>
                        <pic:nvPicPr>
                          <pic:cNvPr id="0" name="image16.png"/>
                          <pic:cNvPicPr preferRelativeResize="0"/>
                        </pic:nvPicPr>
                        <pic:blipFill>
                          <a:blip r:embed="rId49"/>
                          <a:srcRect b="0" l="0" r="0" t="0"/>
                          <a:stretch>
                            <a:fillRect/>
                          </a:stretch>
                        </pic:blipFill>
                        <pic:spPr>
                          <a:xfrm>
                            <a:off x="0" y="0"/>
                            <a:ext cx="345778" cy="22691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μεταξύ local και global logits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Εξαιρετική</w:t>
            </w:r>
            <w:r w:rsidDel="00000000" w:rsidR="00000000" w:rsidRPr="00000000">
              <w:rPr>
                <w:rFonts w:ascii="Google Sans" w:cs="Google Sans" w:eastAsia="Google Sans" w:hAnsi="Google Sans"/>
                <w:color w:val="1f1f1f"/>
                <w:shd w:fill="auto" w:val="clear"/>
                <w:rtl w:val="0"/>
              </w:rPr>
              <w:t xml:space="preserve">: Αποτρέπει την τοπική υπερπροσαρμογή (overfitting) και εξισορροπεί </w:t>
            </w:r>
            <w:r w:rsidDel="00000000" w:rsidR="00000000" w:rsidRPr="00000000">
              <w:rPr>
                <w:rFonts w:ascii="Google Sans" w:cs="Google Sans" w:eastAsia="Google Sans" w:hAnsi="Google Sans"/>
                <w:color w:val="1f1f1f"/>
                <w:shd w:fill="auto" w:val="clear"/>
              </w:rPr>
              <w:drawing>
                <wp:inline distB="19050" distT="19050" distL="19050" distR="19050">
                  <wp:extent cx="301625" cy="226219"/>
                  <wp:effectExtent b="0" l="0" r="0" t="0"/>
                  <wp:docPr id="53" name="image15.png"/>
                  <a:graphic>
                    <a:graphicData uri="http://schemas.openxmlformats.org/drawingml/2006/picture">
                      <pic:pic>
                        <pic:nvPicPr>
                          <pic:cNvPr id="0" name="image15.png"/>
                          <pic:cNvPicPr preferRelativeResize="0"/>
                        </pic:nvPicPr>
                        <pic:blipFill>
                          <a:blip r:embed="rId50"/>
                          <a:srcRect b="0" l="0" r="0" t="0"/>
                          <a:stretch>
                            <a:fillRect/>
                          </a:stretch>
                        </pic:blipFill>
                        <pic:spPr>
                          <a:xfrm>
                            <a:off x="0" y="0"/>
                            <a:ext cx="301625" cy="22621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και </w:t>
            </w:r>
            <w:r w:rsidDel="00000000" w:rsidR="00000000" w:rsidRPr="00000000">
              <w:rPr>
                <w:rFonts w:ascii="Google Sans" w:cs="Google Sans" w:eastAsia="Google Sans" w:hAnsi="Google Sans"/>
                <w:color w:val="1f1f1f"/>
                <w:shd w:fill="auto" w:val="clear"/>
              </w:rPr>
              <w:drawing>
                <wp:inline distB="19050" distT="19050" distL="19050" distR="19050">
                  <wp:extent cx="303444" cy="227583"/>
                  <wp:effectExtent b="0" l="0" r="0" t="0"/>
                  <wp:docPr id="43" name="image20.png"/>
                  <a:graphic>
                    <a:graphicData uri="http://schemas.openxmlformats.org/drawingml/2006/picture">
                      <pic:pic>
                        <pic:nvPicPr>
                          <pic:cNvPr id="0" name="image20.png"/>
                          <pic:cNvPicPr preferRelativeResize="0"/>
                        </pic:nvPicPr>
                        <pic:blipFill>
                          <a:blip r:embed="rId51"/>
                          <a:srcRect b="0" l="0" r="0" t="0"/>
                          <a:stretch>
                            <a:fillRect/>
                          </a:stretch>
                        </pic:blipFill>
                        <pic:spPr>
                          <a:xfrm>
                            <a:off x="0" y="0"/>
                            <a:ext cx="303444" cy="22758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Decoupled Adversarial Distillation</w:t>
            </w:r>
            <w:r w:rsidDel="00000000" w:rsidR="00000000" w:rsidRPr="00000000">
              <w:rPr>
                <w:rFonts w:ascii="Google Sans" w:cs="Google Sans" w:eastAsia="Google Sans" w:hAnsi="Google Sans"/>
                <w:color w:val="1f1f1f"/>
                <w:shd w:fill="auto" w:val="clear"/>
                <w:rtl w:val="0"/>
              </w:rPr>
              <w:t xml:space="preserve">: Χρήση διπλού παγκόσμιου "δασκάλου" (καθαρού και αντιπαλικού) για τον πλήρη διαχωρισμό clean και robust χαρακτηριστικών</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FedRBN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8, 41]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Federated Robustness Propagation (FRP)</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shd w:fill="auto" w:val="clear"/>
                <w:rtl w:val="0"/>
              </w:rPr>
              <w:t xml:space="preserve">. Διαχωρισμός παραμέτρων σε βάρη </w:t>
            </w:r>
            <w:r w:rsidDel="00000000" w:rsidR="00000000" w:rsidRPr="00000000">
              <w:rPr>
                <w:rFonts w:ascii="Google Sans" w:cs="Google Sans" w:eastAsia="Google Sans" w:hAnsi="Google Sans"/>
                <w:color w:val="1f1f1f"/>
                <w:shd w:fill="auto" w:val="clear"/>
              </w:rPr>
              <w:drawing>
                <wp:inline distB="19050" distT="19050" distL="19050" distR="19050">
                  <wp:extent cx="85990" cy="225723"/>
                  <wp:effectExtent b="0" l="0" r="0" t="0"/>
                  <wp:docPr id="44" name="image22.png"/>
                  <a:graphic>
                    <a:graphicData uri="http://schemas.openxmlformats.org/drawingml/2006/picture">
                      <pic:pic>
                        <pic:nvPicPr>
                          <pic:cNvPr id="0" name="image22.png"/>
                          <pic:cNvPicPr preferRelativeResize="0"/>
                        </pic:nvPicPr>
                        <pic:blipFill>
                          <a:blip r:embed="rId52"/>
                          <a:srcRect b="0" l="0" r="0" t="0"/>
                          <a:stretch>
                            <a:fillRect/>
                          </a:stretch>
                        </pic:blipFill>
                        <pic:spPr>
                          <a:xfrm>
                            <a:off x="0" y="0"/>
                            <a:ext cx="85990" cy="22572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και Dual Batch-Normalization </w:t>
            </w:r>
            <w:r w:rsidDel="00000000" w:rsidR="00000000" w:rsidRPr="00000000">
              <w:rPr>
                <w:rFonts w:ascii="Google Sans" w:cs="Google Sans" w:eastAsia="Google Sans" w:hAnsi="Google Sans"/>
                <w:color w:val="1f1f1f"/>
                <w:shd w:fill="auto" w:val="clear"/>
              </w:rPr>
              <w:drawing>
                <wp:inline distB="19050" distT="19050" distL="19050" distR="19050">
                  <wp:extent cx="489810" cy="228578"/>
                  <wp:effectExtent b="0" l="0" r="0" t="0"/>
                  <wp:docPr id="45" name="image11.png"/>
                  <a:graphic>
                    <a:graphicData uri="http://schemas.openxmlformats.org/drawingml/2006/picture">
                      <pic:pic>
                        <pic:nvPicPr>
                          <pic:cNvPr id="0" name="image11.png"/>
                          <pic:cNvPicPr preferRelativeResize="0"/>
                        </pic:nvPicPr>
                        <pic:blipFill>
                          <a:blip r:embed="rId53"/>
                          <a:srcRect b="0" l="0" r="0" t="0"/>
                          <a:stretch>
                            <a:fillRect/>
                          </a:stretch>
                        </pic:blipFill>
                        <pic:spPr>
                          <a:xfrm>
                            <a:off x="0" y="0"/>
                            <a:ext cx="489810" cy="228578"/>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Πολύ Καλή</w:t>
            </w:r>
            <w:r w:rsidDel="00000000" w:rsidR="00000000" w:rsidRPr="00000000">
              <w:rPr>
                <w:rFonts w:ascii="Google Sans" w:cs="Google Sans" w:eastAsia="Google Sans" w:hAnsi="Google Sans"/>
                <w:color w:val="1f1f1f"/>
                <w:shd w:fill="auto" w:val="clear"/>
                <w:rtl w:val="0"/>
              </w:rPr>
              <w:t xml:space="preserve">: Τα dual-BN επίπεδα απορροφούν το domain shift των Non-IID δεδομένων</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Wasserstein FRP (W-FRP)</w:t>
            </w:r>
            <w:r w:rsidDel="00000000" w:rsidR="00000000" w:rsidRPr="00000000">
              <w:rPr>
                <w:rFonts w:ascii="Google Sans" w:cs="Google Sans" w:eastAsia="Google Sans" w:hAnsi="Google Sans"/>
                <w:color w:val="1f1f1f"/>
                <w:shd w:fill="auto" w:val="clear"/>
                <w:rtl w:val="0"/>
              </w:rPr>
              <w:t xml:space="preserve">: Χρήση της απόστασης Wasserstein για την προσαρμοστική ανάμειξη των robust BN στατιστικών με βάση τη στατιστική εγγύτητα.</w:t>
            </w:r>
          </w:p>
        </w:tc>
      </w:tr>
    </w:tbl>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Πίνακας 3: Παράμετροι και Σενάρια Αντιμετώπισης Επιθέσεων στο Πλαίσιο "Fed-OCPP-Secure"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Διάνυσμα Επίθεσης (Attack Vector)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OCPP / IoT Χαρακτηριστικό (Feature)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Φυσικός Περιορισμός (Physical Constraint)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Μηχανισμός Άμυνας (Defense Mechanism)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Στόχος Ανίχνευσης (Detection Target)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False Data Injection (FDI)</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Παραποιημένες τιμές MeterValues (SoC, Current)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218733" cy="222551"/>
                  <wp:effectExtent b="0" l="0" r="0" t="0"/>
                  <wp:docPr id="46" name="image21.png"/>
                  <a:graphic>
                    <a:graphicData uri="http://schemas.openxmlformats.org/drawingml/2006/picture">
                      <pic:pic>
                        <pic:nvPicPr>
                          <pic:cNvPr id="0" name="image21.png"/>
                          <pic:cNvPicPr preferRelativeResize="0"/>
                        </pic:nvPicPr>
                        <pic:blipFill>
                          <a:blip r:embed="rId62"/>
                          <a:srcRect b="0" l="0" r="0" t="0"/>
                          <a:stretch>
                            <a:fillRect/>
                          </a:stretch>
                        </pic:blipFill>
                        <pic:spPr>
                          <a:xfrm>
                            <a:off x="0" y="0"/>
                            <a:ext cx="1218733" cy="222551"/>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Physics-Informed Loss (PINN)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 Απόρριψη ενημερώσεων που παραβιάζουν τους νόμους της φυσικής.</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Αποτροπή υπερφόρτωσης μετασχηματιστή ή καταστροφής μπαταρίας</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DoS / OCPPStorm Fuzzing</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12, 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Μη αναμενόμενα payloads, υψηλός ρυθμός BootNotification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Όρια επικοινωνιακού bandwidth edge συσκευών.</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FedRBN-enabled IDS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 Αντιπαλική εκπαίδευση σε επίπεδο δικτυακών ροών.</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Εντοπισμός zero-day ευπαθειών και εξασφάλιση διαθεσιμότητας</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Stealthy Coordinated Backdoor</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36]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Ήπιες, σταδιακές αλλαγές στο προφίλ φόρτισης ChargingProfile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Όρια τάσης </w:t>
            </w:r>
            <w:r w:rsidDel="00000000" w:rsidR="00000000" w:rsidRPr="00000000">
              <w:rPr>
                <w:rFonts w:ascii="Google Sans" w:cs="Google Sans" w:eastAsia="Google Sans" w:hAnsi="Google Sans"/>
                <w:color w:val="1f1f1f"/>
                <w:shd w:fill="auto" w:val="clear"/>
              </w:rPr>
              <w:drawing>
                <wp:inline distB="19050" distT="19050" distL="19050" distR="19050">
                  <wp:extent cx="1476537" cy="223074"/>
                  <wp:effectExtent b="0" l="0" r="0" t="0"/>
                  <wp:docPr id="81" name="image47.png"/>
                  <a:graphic>
                    <a:graphicData uri="http://schemas.openxmlformats.org/drawingml/2006/picture">
                      <pic:pic>
                        <pic:nvPicPr>
                          <pic:cNvPr id="0" name="image47.png"/>
                          <pic:cNvPicPr preferRelativeResize="0"/>
                        </pic:nvPicPr>
                        <pic:blipFill>
                          <a:blip r:embed="rId63"/>
                          <a:srcRect b="0" l="0" r="0" t="0"/>
                          <a:stretch>
                            <a:fillRect/>
                          </a:stretch>
                        </pic:blipFill>
                        <pic:spPr>
                          <a:xfrm>
                            <a:off x="0" y="0"/>
                            <a:ext cx="1476537" cy="22307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OptiGradTrust (6D Fingerprint)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shd w:fill="auto" w:val="clear"/>
                <w:rtl w:val="0"/>
              </w:rPr>
              <w:t xml:space="preserve">: Ανίχνευση κακόβουλων κλίσεων μέσω Shapley Values.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Αποτροπή αργής, συντονισμένης αποσταθεροποίησης της συχνότητας του δικτύου</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Συμπεράσματα</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Η επίτευξη Byzantine ανθεκτικότητας και αντιπαλικής προστασίας σε ομόσπονδα περιβάλλοντα Non-IID δεδομένων απαιτεί τη μετάβαση από απλούς, στατικούς γεωμετρικούς ελέγχους σε δυναμικά, πολυδιάστατα συστήματα αξιολόγησης</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Στρατηγικές όπως ο OptiGradTrust αποδεικνύουν ότι ο συνδυασμός deep generative αναπαραστάσεων (VAE) και θεωρίας παιγνίων (Shapley values) επιτρέπει τον σαφή διαχωρισμό μεταξύ της φυσικής Non-IID απόκλισης και των κακόβουλων επιθέσεων</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Παράλληλα, στο πεδίο της αντιπαλικής εκπαίδευσης, η χρήση του DBFAT και του FedRBN προσφέρει πρακτικές λύσεις για την αντιμετώπιση του client drift και της hardware ετερογένειας των συσκευών IoT</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Για κρίσιμες υποδομές, όπως οι σταθμοί φόρτισης ηλεκτρικών οχημάτων, η βέλτιστη θωράκιση επιτυγχάνεται μέσω του συστηματικού co-design: ο συνδυασμός φυσικών περιορισμών (PINNs) στο φυσικό επίπεδο, η διάδοση ανθεκτικότητας (FedRBN) στο επίπεδο των IoT συσκευών και το robust aggregation (OptiGradTrust) στον server διαμορφώνουν ένα απαραβίαστο, ολιστικό πλαίσιο προστασίας έναντι εξελιγμένων κυβερνοαπειλών</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Manipulating the Byzantine: Optimizing Model Poisoning Attacks and Defenses for Federated Learning - NDSS Symposium, </w:t>
      </w:r>
      <w:hyperlink r:id="rId64">
        <w:r w:rsidDel="00000000" w:rsidR="00000000" w:rsidRPr="00000000">
          <w:rPr>
            <w:rFonts w:ascii="Google Sans" w:cs="Google Sans" w:eastAsia="Google Sans" w:hAnsi="Google Sans"/>
            <w:color w:val="0000ee"/>
            <w:sz w:val="24"/>
            <w:szCs w:val="24"/>
            <w:u w:val="single"/>
            <w:rtl w:val="0"/>
          </w:rPr>
          <w:t xml:space="preserve">https://www.ndss-symposium.org/wp-content/uploads/ndss2021_6C-3_24498_paper.pdf</w:t>
        </w:r>
      </w:hyperlink>
      <w:r w:rsidDel="00000000" w:rsidR="00000000" w:rsidRPr="00000000">
        <w:rPr>
          <w:rtl w:val="0"/>
        </w:rPr>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Anomaly Detection in Electric Vehicle Charging Stations Using Federated Learning - arXiv, </w:t>
      </w:r>
      <w:hyperlink r:id="rId65">
        <w:r w:rsidDel="00000000" w:rsidR="00000000" w:rsidRPr="00000000">
          <w:rPr>
            <w:rFonts w:ascii="Google Sans" w:cs="Google Sans" w:eastAsia="Google Sans" w:hAnsi="Google Sans"/>
            <w:color w:val="0000ee"/>
            <w:sz w:val="24"/>
            <w:szCs w:val="24"/>
            <w:u w:val="single"/>
            <w:rtl w:val="0"/>
          </w:rPr>
          <w:t xml:space="preserve">https://arxiv.org/html/2509.18126v1</w:t>
        </w:r>
      </w:hyperlink>
      <w:r w:rsidDel="00000000" w:rsidR="00000000" w:rsidRPr="00000000">
        <w:rPr>
          <w:rtl w:val="0"/>
        </w:rPr>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Byzantine-robust Federated Learning, </w:t>
      </w:r>
      <w:hyperlink r:id="rId66">
        <w:r w:rsidDel="00000000" w:rsidR="00000000" w:rsidRPr="00000000">
          <w:rPr>
            <w:rFonts w:ascii="Google Sans" w:cs="Google Sans" w:eastAsia="Google Sans" w:hAnsi="Google Sans"/>
            <w:color w:val="0000ee"/>
            <w:sz w:val="24"/>
            <w:szCs w:val="24"/>
            <w:u w:val="single"/>
            <w:rtl w:val="0"/>
          </w:rPr>
          <w:t xml:space="preserve">https://par.nsf.gov/servlets/purl/10650740</w:t>
        </w:r>
      </w:hyperlink>
      <w:r w:rsidDel="00000000" w:rsidR="00000000" w:rsidRPr="00000000">
        <w:rPr>
          <w:rtl w:val="0"/>
        </w:rPr>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Byzantine-Robust Aggregation for Decentralized Federated Learning, </w:t>
      </w:r>
      <w:hyperlink r:id="rId67">
        <w:r w:rsidDel="00000000" w:rsidR="00000000" w:rsidRPr="00000000">
          <w:rPr>
            <w:rFonts w:ascii="Google Sans" w:cs="Google Sans" w:eastAsia="Google Sans" w:hAnsi="Google Sans"/>
            <w:color w:val="0000ee"/>
            <w:sz w:val="24"/>
            <w:szCs w:val="24"/>
            <w:u w:val="single"/>
            <w:rtl w:val="0"/>
          </w:rPr>
          <w:t xml:space="preserve">https://system.wisacad-pub.com/index.php/tcs/article/view/163</w:t>
        </w:r>
      </w:hyperlink>
      <w:r w:rsidDel="00000000" w:rsidR="00000000" w:rsidRPr="00000000">
        <w:rPr>
          <w:rtl w:val="0"/>
        </w:rPr>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ByzSFL: Achieving Byzantine-Robust Secure Federated Learning with Zero-Knowledge Proofs - arXiv, </w:t>
      </w:r>
      <w:hyperlink r:id="rId68">
        <w:r w:rsidDel="00000000" w:rsidR="00000000" w:rsidRPr="00000000">
          <w:rPr>
            <w:rFonts w:ascii="Google Sans" w:cs="Google Sans" w:eastAsia="Google Sans" w:hAnsi="Google Sans"/>
            <w:color w:val="0000ee"/>
            <w:sz w:val="24"/>
            <w:szCs w:val="24"/>
            <w:u w:val="single"/>
            <w:rtl w:val="0"/>
          </w:rPr>
          <w:t xml:space="preserve">https://arxiv.org/html/2501.06953v1</w:t>
        </w:r>
      </w:hyperlink>
      <w:r w:rsidDel="00000000" w:rsidR="00000000" w:rsidRPr="00000000">
        <w:rPr>
          <w:rtl w:val="0"/>
        </w:rPr>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BRAFL: Byzantine-Robust Aggregation Scheme for Federated Learning under Data Heterogeneity | Semantic Scholar, </w:t>
      </w:r>
      <w:hyperlink r:id="rId69">
        <w:r w:rsidDel="00000000" w:rsidR="00000000" w:rsidRPr="00000000">
          <w:rPr>
            <w:rFonts w:ascii="Google Sans" w:cs="Google Sans" w:eastAsia="Google Sans" w:hAnsi="Google Sans"/>
            <w:color w:val="0000ee"/>
            <w:sz w:val="24"/>
            <w:szCs w:val="24"/>
            <w:u w:val="single"/>
            <w:rtl w:val="0"/>
          </w:rPr>
          <w:t xml:space="preserve">https://www.semanticscholar.org/paper/BRAFL%3A-Byzantine-Robust-Aggregation-Scheme-for-Data-Qiu-Liu/3987f74c14e230fc7c6f1be8bc6bbb0bc4b391bb</w:t>
        </w:r>
      </w:hyperlink>
      <w:r w:rsidDel="00000000" w:rsidR="00000000" w:rsidRPr="00000000">
        <w:rPr>
          <w:rtl w:val="0"/>
        </w:rPr>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FLTrust: Byzantine-robust Federated Learning via Trust Bootstrapping, </w:t>
      </w:r>
      <w:hyperlink r:id="rId70">
        <w:r w:rsidDel="00000000" w:rsidR="00000000" w:rsidRPr="00000000">
          <w:rPr>
            <w:rFonts w:ascii="Google Sans" w:cs="Google Sans" w:eastAsia="Google Sans" w:hAnsi="Google Sans"/>
            <w:color w:val="0000ee"/>
            <w:sz w:val="24"/>
            <w:szCs w:val="24"/>
            <w:u w:val="single"/>
            <w:rtl w:val="0"/>
          </w:rPr>
          <w:t xml:space="preserve">https://www.researchgate.net/publication/350051277_FLTrust_Byzantine-robust_Federated_Learning_via_Trust_Bootstrapping</w:t>
        </w:r>
      </w:hyperlink>
      <w:r w:rsidDel="00000000" w:rsidR="00000000" w:rsidRPr="00000000">
        <w:rPr>
          <w:rtl w:val="0"/>
        </w:rPr>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Federated Robustness Propagation: Sharing Adversarial Robustness in Heterogeneous Federated Learning - PMC, </w:t>
      </w:r>
      <w:hyperlink r:id="rId71">
        <w:r w:rsidDel="00000000" w:rsidR="00000000" w:rsidRPr="00000000">
          <w:rPr>
            <w:rFonts w:ascii="Google Sans" w:cs="Google Sans" w:eastAsia="Google Sans" w:hAnsi="Google Sans"/>
            <w:color w:val="0000ee"/>
            <w:sz w:val="24"/>
            <w:szCs w:val="24"/>
            <w:u w:val="single"/>
            <w:rtl w:val="0"/>
          </w:rPr>
          <w:t xml:space="preserve">https://pmc.ncbi.nlm.nih.gov/articles/PMC10577924/</w:t>
        </w:r>
      </w:hyperlink>
      <w:r w:rsidDel="00000000" w:rsidR="00000000" w:rsidRPr="00000000">
        <w:rPr>
          <w:rtl w:val="0"/>
        </w:rPr>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Federated Adversarial Learning: A Framework with Convergence Analysis, </w:t>
      </w:r>
      <w:hyperlink r:id="rId72">
        <w:r w:rsidDel="00000000" w:rsidR="00000000" w:rsidRPr="00000000">
          <w:rPr>
            <w:rFonts w:ascii="Google Sans" w:cs="Google Sans" w:eastAsia="Google Sans" w:hAnsi="Google Sans"/>
            <w:color w:val="0000ee"/>
            <w:sz w:val="24"/>
            <w:szCs w:val="24"/>
            <w:u w:val="single"/>
            <w:rtl w:val="0"/>
          </w:rPr>
          <w:t xml:space="preserve">https://proceedings.mlr.press/v202/li23z/li23z.pdf</w:t>
        </w:r>
      </w:hyperlink>
      <w:r w:rsidDel="00000000" w:rsidR="00000000" w:rsidRPr="00000000">
        <w:rPr>
          <w:rtl w:val="0"/>
        </w:rPr>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Federated Robustness Propagation: Sharing Adversarial Robustness in Heterogeneous Federated Learning | Request PDF - ResearchGate, </w:t>
      </w:r>
      <w:hyperlink r:id="rId73">
        <w:r w:rsidDel="00000000" w:rsidR="00000000" w:rsidRPr="00000000">
          <w:rPr>
            <w:rFonts w:ascii="Google Sans" w:cs="Google Sans" w:eastAsia="Google Sans" w:hAnsi="Google Sans"/>
            <w:color w:val="0000ee"/>
            <w:sz w:val="24"/>
            <w:szCs w:val="24"/>
            <w:u w:val="single"/>
            <w:rtl w:val="0"/>
          </w:rPr>
          <w:t xml:space="preserve">https://www.researchgate.net/publication/371932573_Federated_Robustness_Propagation_Sharing_Adversarial_Robustness_in_Heterogeneous_Federated_Learning</w:t>
        </w:r>
      </w:hyperlink>
      <w:r w:rsidDel="00000000" w:rsidR="00000000" w:rsidRPr="00000000">
        <w:rPr>
          <w:rtl w:val="0"/>
        </w:rPr>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PHANTOM: Physics-Aware Adversarial Attacks against Federated Learning-Coordinated EV Charging Management System, </w:t>
      </w:r>
      <w:hyperlink r:id="rId74">
        <w:r w:rsidDel="00000000" w:rsidR="00000000" w:rsidRPr="00000000">
          <w:rPr>
            <w:rFonts w:ascii="Google Sans" w:cs="Google Sans" w:eastAsia="Google Sans" w:hAnsi="Google Sans"/>
            <w:color w:val="0000ee"/>
            <w:sz w:val="24"/>
            <w:szCs w:val="24"/>
            <w:u w:val="single"/>
            <w:rtl w:val="0"/>
          </w:rPr>
          <w:t xml:space="preserve">https://acyd.fiu.edu/wp-content/uploads/PHANTOM___Physics_Aware_Adversarial_Attacks_on_EVCS__ASIACCS_2026__Archive.pdf</w:t>
        </w:r>
      </w:hyperlink>
      <w:r w:rsidDel="00000000" w:rsidR="00000000" w:rsidRPr="00000000">
        <w:rPr>
          <w:rtl w:val="0"/>
        </w:rPr>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Keywords: - arXiv, </w:t>
      </w:r>
      <w:hyperlink r:id="rId75">
        <w:r w:rsidDel="00000000" w:rsidR="00000000" w:rsidRPr="00000000">
          <w:rPr>
            <w:rFonts w:ascii="Google Sans" w:cs="Google Sans" w:eastAsia="Google Sans" w:hAnsi="Google Sans"/>
            <w:color w:val="0000ee"/>
            <w:sz w:val="24"/>
            <w:szCs w:val="24"/>
            <w:u w:val="single"/>
            <w:rtl w:val="0"/>
          </w:rPr>
          <w:t xml:space="preserve">https://arxiv.org/html/2502.01569v1</w:t>
        </w:r>
      </w:hyperlink>
      <w:r w:rsidDel="00000000" w:rsidR="00000000" w:rsidRPr="00000000">
        <w:rPr>
          <w:rtl w:val="0"/>
        </w:rPr>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Federated detection of open charge point protocol 1.6 cyberattacks - OAE Publishing, </w:t>
      </w:r>
      <w:hyperlink r:id="rId76">
        <w:r w:rsidDel="00000000" w:rsidR="00000000" w:rsidRPr="00000000">
          <w:rPr>
            <w:rFonts w:ascii="Google Sans" w:cs="Google Sans" w:eastAsia="Google Sans" w:hAnsi="Google Sans"/>
            <w:color w:val="0000ee"/>
            <w:sz w:val="24"/>
            <w:szCs w:val="24"/>
            <w:u w:val="single"/>
            <w:rtl w:val="0"/>
          </w:rPr>
          <w:t xml:space="preserve">https://www.oaepublish.com/articles/ces.2025.04</w:t>
        </w:r>
      </w:hyperlink>
      <w:r w:rsidDel="00000000" w:rsidR="00000000" w:rsidRPr="00000000">
        <w:rPr>
          <w:rtl w:val="0"/>
        </w:rPr>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OpenCLAW-Nexus: A Self-Reinforcing Trust Framework for Byzantine-Resilient Decentralized Federated Learning - arXiv, </w:t>
      </w:r>
      <w:hyperlink r:id="rId77">
        <w:r w:rsidDel="00000000" w:rsidR="00000000" w:rsidRPr="00000000">
          <w:rPr>
            <w:rFonts w:ascii="Google Sans" w:cs="Google Sans" w:eastAsia="Google Sans" w:hAnsi="Google Sans"/>
            <w:color w:val="0000ee"/>
            <w:sz w:val="24"/>
            <w:szCs w:val="24"/>
            <w:u w:val="single"/>
            <w:rtl w:val="0"/>
          </w:rPr>
          <w:t xml:space="preserve">https://arxiv.org/html/2605.04091v1</w:t>
        </w:r>
      </w:hyperlink>
      <w:r w:rsidDel="00000000" w:rsidR="00000000" w:rsidRPr="00000000">
        <w:rPr>
          <w:rtl w:val="0"/>
        </w:rPr>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Manipulating the Byzantine: Optimizing Model Poisoning Attacks and Defenses for Federated Learning - Network and Distributed System Security (NDSS) Symposium, </w:t>
      </w:r>
      <w:hyperlink r:id="rId78">
        <w:r w:rsidDel="00000000" w:rsidR="00000000" w:rsidRPr="00000000">
          <w:rPr>
            <w:rFonts w:ascii="Google Sans" w:cs="Google Sans" w:eastAsia="Google Sans" w:hAnsi="Google Sans"/>
            <w:color w:val="0000ee"/>
            <w:sz w:val="24"/>
            <w:szCs w:val="24"/>
            <w:u w:val="single"/>
            <w:rtl w:val="0"/>
          </w:rPr>
          <w:t xml:space="preserve">https://www.ndss-symposium.org/ndss-paper/manipulating-the-byzantine-optimizing-model-poisoning-attacks-and-defenses-for-federated-learning/</w:t>
        </w:r>
      </w:hyperlink>
      <w:r w:rsidDel="00000000" w:rsidR="00000000" w:rsidRPr="00000000">
        <w:rPr>
          <w:rtl w:val="0"/>
        </w:rPr>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FLTrust: Byzantine-robust Federated Learning via Trust Bootstrapping - NDSS Symposium, </w:t>
      </w:r>
      <w:hyperlink r:id="rId79">
        <w:r w:rsidDel="00000000" w:rsidR="00000000" w:rsidRPr="00000000">
          <w:rPr>
            <w:rFonts w:ascii="Google Sans" w:cs="Google Sans" w:eastAsia="Google Sans" w:hAnsi="Google Sans"/>
            <w:color w:val="0000ee"/>
            <w:sz w:val="24"/>
            <w:szCs w:val="24"/>
            <w:u w:val="single"/>
            <w:rtl w:val="0"/>
          </w:rPr>
          <w:t xml:space="preserve">https://www.ndss-symposium.org/ndss-paper/fltrust-byzantine-robust-federated-learning-via-trust-bootstrapping/</w:t>
        </w:r>
      </w:hyperlink>
      <w:r w:rsidDel="00000000" w:rsidR="00000000" w:rsidRPr="00000000">
        <w:rPr>
          <w:rtl w:val="0"/>
        </w:rPr>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Byzantine Machine Learning: MultiKrum and an optimal notion of robustness - arXiv, </w:t>
      </w:r>
      <w:hyperlink r:id="rId80">
        <w:r w:rsidDel="00000000" w:rsidR="00000000" w:rsidRPr="00000000">
          <w:rPr>
            <w:rFonts w:ascii="Google Sans" w:cs="Google Sans" w:eastAsia="Google Sans" w:hAnsi="Google Sans"/>
            <w:color w:val="0000ee"/>
            <w:sz w:val="24"/>
            <w:szCs w:val="24"/>
            <w:u w:val="single"/>
            <w:rtl w:val="0"/>
          </w:rPr>
          <w:t xml:space="preserve">https://arxiv.org/html/2602.03899v1</w:t>
        </w:r>
      </w:hyperlink>
      <w:r w:rsidDel="00000000" w:rsidR="00000000" w:rsidRPr="00000000">
        <w:rPr>
          <w:rtl w:val="0"/>
        </w:rPr>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Model Poisoning Attacks to Byzantine-Robust Federated Learning - USENIX, </w:t>
      </w:r>
      <w:hyperlink r:id="rId81">
        <w:r w:rsidDel="00000000" w:rsidR="00000000" w:rsidRPr="00000000">
          <w:rPr>
            <w:rFonts w:ascii="Google Sans" w:cs="Google Sans" w:eastAsia="Google Sans" w:hAnsi="Google Sans"/>
            <w:color w:val="0000ee"/>
            <w:sz w:val="24"/>
            <w:szCs w:val="24"/>
            <w:u w:val="single"/>
            <w:rtl w:val="0"/>
          </w:rPr>
          <w:t xml:space="preserve">https://www.usenix.org/system/files/sec20summer_fang_prepub.pdf</w:t>
        </w:r>
      </w:hyperlink>
      <w:r w:rsidDel="00000000" w:rsidR="00000000" w:rsidRPr="00000000">
        <w:rPr>
          <w:rtl w:val="0"/>
        </w:rPr>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Multi-Node Attack and Defense Toolkit for Federated Learning: Exploration of Adaptive Aggregation Strategies - Diva-Portal.org, </w:t>
      </w:r>
      <w:hyperlink r:id="rId82">
        <w:r w:rsidDel="00000000" w:rsidR="00000000" w:rsidRPr="00000000">
          <w:rPr>
            <w:rFonts w:ascii="Google Sans" w:cs="Google Sans" w:eastAsia="Google Sans" w:hAnsi="Google Sans"/>
            <w:color w:val="0000ee"/>
            <w:sz w:val="24"/>
            <w:szCs w:val="24"/>
            <w:u w:val="single"/>
            <w:rtl w:val="0"/>
          </w:rPr>
          <w:t xml:space="preserve">https://www.diva-portal.org/smash/get/diva2:1997629/FULLTEXT01.pdf</w:t>
        </w:r>
      </w:hyperlink>
      <w:r w:rsidDel="00000000" w:rsidR="00000000" w:rsidRPr="00000000">
        <w:rPr>
          <w:rtl w:val="0"/>
        </w:rPr>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 and Robust Distributed Learning in High Dimension - Infoscience - EPFL, </w:t>
      </w:r>
      <w:hyperlink r:id="rId83">
        <w:r w:rsidDel="00000000" w:rsidR="00000000" w:rsidRPr="00000000">
          <w:rPr>
            <w:rFonts w:ascii="Google Sans" w:cs="Google Sans" w:eastAsia="Google Sans" w:hAnsi="Google Sans"/>
            <w:color w:val="0000ee"/>
            <w:sz w:val="24"/>
            <w:szCs w:val="24"/>
            <w:u w:val="single"/>
            <w:rtl w:val="0"/>
          </w:rPr>
          <w:t xml:space="preserve">https://infoscience.epfl.ch/bitstreams/f8c223e7-bf72-44c9-b142-5a00fe0e2511/download</w:t>
        </w:r>
      </w:hyperlink>
      <w:r w:rsidDel="00000000" w:rsidR="00000000" w:rsidRPr="00000000">
        <w:rPr>
          <w:rtl w:val="0"/>
        </w:rPr>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AggregaThor: Byzantine Machine Learning via Robust Gradient Aggregation, </w:t>
      </w:r>
      <w:hyperlink r:id="rId84">
        <w:r w:rsidDel="00000000" w:rsidR="00000000" w:rsidRPr="00000000">
          <w:rPr>
            <w:rFonts w:ascii="Google Sans" w:cs="Google Sans" w:eastAsia="Google Sans" w:hAnsi="Google Sans"/>
            <w:color w:val="0000ee"/>
            <w:sz w:val="24"/>
            <w:szCs w:val="24"/>
            <w:u w:val="single"/>
            <w:rtl w:val="0"/>
          </w:rPr>
          <w:t xml:space="preserve">https://mlsys.org/Conferences/2019/doc/2019/54.pdf</w:t>
        </w:r>
      </w:hyperlink>
      <w:r w:rsidDel="00000000" w:rsidR="00000000" w:rsidRPr="00000000">
        <w:rPr>
          <w:rtl w:val="0"/>
        </w:rPr>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Byzantine-Resistant Aggregations with Client Embedding - ACL Anthology, </w:t>
      </w:r>
      <w:hyperlink r:id="rId85">
        <w:r w:rsidDel="00000000" w:rsidR="00000000" w:rsidRPr="00000000">
          <w:rPr>
            <w:rFonts w:ascii="Google Sans" w:cs="Google Sans" w:eastAsia="Google Sans" w:hAnsi="Google Sans"/>
            <w:color w:val="0000ee"/>
            <w:sz w:val="24"/>
            <w:szCs w:val="24"/>
            <w:u w:val="single"/>
            <w:rtl w:val="0"/>
          </w:rPr>
          <w:t xml:space="preserve">https://aclanthology.org/2024.findings-emnlp.339.pdf</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wolf in sheep's clothing: evading robust aggregation in federated learning through in-distribution attacks - Queen's University Belfast, </w:t>
      </w:r>
      <w:hyperlink r:id="rId86">
        <w:r w:rsidDel="00000000" w:rsidR="00000000" w:rsidRPr="00000000">
          <w:rPr>
            <w:rFonts w:ascii="Google Sans" w:cs="Google Sans" w:eastAsia="Google Sans" w:hAnsi="Google Sans"/>
            <w:color w:val="0000ee"/>
            <w:sz w:val="24"/>
            <w:szCs w:val="24"/>
            <w:u w:val="single"/>
            <w:rtl w:val="0"/>
          </w:rPr>
          <w:t xml:space="preserve">https://pure.qub.ac.uk/files/617616383/A_Wolf_In_Sheeps_Clothing_Camera_Ready.pdf</w:t>
        </w:r>
      </w:hyperlink>
      <w:r w:rsidDel="00000000" w:rsidR="00000000" w:rsidRPr="00000000">
        <w:rPr>
          <w:rtl w:val="0"/>
        </w:rPr>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Little Is Enough: Circumventing Defenses For Distributed Learning - arXiv, </w:t>
      </w:r>
      <w:hyperlink r:id="rId87">
        <w:r w:rsidDel="00000000" w:rsidR="00000000" w:rsidRPr="00000000">
          <w:rPr>
            <w:rFonts w:ascii="Google Sans" w:cs="Google Sans" w:eastAsia="Google Sans" w:hAnsi="Google Sans"/>
            <w:color w:val="0000ee"/>
            <w:sz w:val="24"/>
            <w:szCs w:val="24"/>
            <w:u w:val="single"/>
            <w:rtl w:val="0"/>
          </w:rPr>
          <w:t xml:space="preserve">https://arxiv.org/pdf/1902.06156</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Manipulating the Byzantine: Optimizing Model Poisoning Attacks and Defenses for Federated Learning, </w:t>
      </w:r>
      <w:hyperlink r:id="rId88">
        <w:r w:rsidDel="00000000" w:rsidR="00000000" w:rsidRPr="00000000">
          <w:rPr>
            <w:rFonts w:ascii="Google Sans" w:cs="Google Sans" w:eastAsia="Google Sans" w:hAnsi="Google Sans"/>
            <w:color w:val="0000ee"/>
            <w:sz w:val="24"/>
            <w:szCs w:val="24"/>
            <w:u w:val="single"/>
            <w:rtl w:val="0"/>
          </w:rPr>
          <w:t xml:space="preserve">https://people.cs.umass.edu/~amir/papers/NDSS21-model-poisoning.pdf</w:t>
        </w:r>
      </w:hyperlink>
      <w:r w:rsidDel="00000000" w:rsidR="00000000" w:rsidRPr="00000000">
        <w:rPr>
          <w:rtl w:val="0"/>
        </w:rPr>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FedDMC: Efficient and Robust Federated Learning via Detecting Malicious Clients, </w:t>
      </w:r>
      <w:hyperlink r:id="rId89">
        <w:r w:rsidDel="00000000" w:rsidR="00000000" w:rsidRPr="00000000">
          <w:rPr>
            <w:rFonts w:ascii="Google Sans" w:cs="Google Sans" w:eastAsia="Google Sans" w:hAnsi="Google Sans"/>
            <w:color w:val="0000ee"/>
            <w:sz w:val="24"/>
            <w:szCs w:val="24"/>
            <w:u w:val="single"/>
            <w:rtl w:val="0"/>
          </w:rPr>
          <w:t xml:space="preserve">https://www.computer.org/csdl/journal/tq/2024/06/10458320/1V4sIdBu0tW</w:t>
        </w:r>
      </w:hyperlink>
      <w:r w:rsidDel="00000000" w:rsidR="00000000" w:rsidRPr="00000000">
        <w:rPr>
          <w:rtl w:val="0"/>
        </w:rPr>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Parameter Disparities Dissection for Backdoor Defense in Heterogeneous Federated Learning - NIPS, </w:t>
      </w:r>
      <w:hyperlink r:id="rId90">
        <w:r w:rsidDel="00000000" w:rsidR="00000000" w:rsidRPr="00000000">
          <w:rPr>
            <w:rFonts w:ascii="Google Sans" w:cs="Google Sans" w:eastAsia="Google Sans" w:hAnsi="Google Sans"/>
            <w:color w:val="0000ee"/>
            <w:sz w:val="24"/>
            <w:szCs w:val="24"/>
            <w:u w:val="single"/>
            <w:rtl w:val="0"/>
          </w:rPr>
          <w:t xml:space="preserve">https://proceedings.neurips.cc/paper_files/paper/2024/file/db0ee27cb50dd9087b133f6e7d28a90e-Paper-Conference.pdf</w:t>
        </w:r>
      </w:hyperlink>
      <w:r w:rsidDel="00000000" w:rsidR="00000000" w:rsidRPr="00000000">
        <w:rPr>
          <w:rtl w:val="0"/>
        </w:rPr>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Decoupled Contrastive Learning Framework for Backdoor Defense in Federated Learning, </w:t>
      </w:r>
      <w:hyperlink r:id="rId91">
        <w:r w:rsidDel="00000000" w:rsidR="00000000" w:rsidRPr="00000000">
          <w:rPr>
            <w:rFonts w:ascii="Google Sans" w:cs="Google Sans" w:eastAsia="Google Sans" w:hAnsi="Google Sans"/>
            <w:color w:val="0000ee"/>
            <w:sz w:val="24"/>
            <w:szCs w:val="24"/>
            <w:u w:val="single"/>
            <w:rtl w:val="0"/>
          </w:rPr>
          <w:t xml:space="preserve">https://www.mdpi.com/2073-8994/17/9/1398</w:t>
        </w:r>
      </w:hyperlink>
      <w:r w:rsidDel="00000000" w:rsidR="00000000" w:rsidRPr="00000000">
        <w:rPr>
          <w:rtl w:val="0"/>
        </w:rPr>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OptiGradTrust: Byzantine-Robust Federated Learning with Multi-Feature Gradient Analysis and Reinforcement Learning-Based Trust Weighting - arXiv, </w:t>
      </w:r>
      <w:hyperlink r:id="rId92">
        <w:r w:rsidDel="00000000" w:rsidR="00000000" w:rsidRPr="00000000">
          <w:rPr>
            <w:rFonts w:ascii="Google Sans" w:cs="Google Sans" w:eastAsia="Google Sans" w:hAnsi="Google Sans"/>
            <w:color w:val="0000ee"/>
            <w:sz w:val="24"/>
            <w:szCs w:val="24"/>
            <w:u w:val="single"/>
            <w:rtl w:val="0"/>
          </w:rPr>
          <w:t xml:space="preserve">https://arxiv.org/pdf/2507.23638?</w:t>
        </w:r>
      </w:hyperlink>
      <w:r w:rsidDel="00000000" w:rsidR="00000000" w:rsidRPr="00000000">
        <w:rPr>
          <w:rtl w:val="0"/>
        </w:rPr>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CalFAT: Calibrated Federated Adversarial Training with Label Skewness - Semantic Scholar, </w:t>
      </w:r>
      <w:hyperlink r:id="rId93">
        <w:r w:rsidDel="00000000" w:rsidR="00000000" w:rsidRPr="00000000">
          <w:rPr>
            <w:rFonts w:ascii="Google Sans" w:cs="Google Sans" w:eastAsia="Google Sans" w:hAnsi="Google Sans"/>
            <w:color w:val="0000ee"/>
            <w:sz w:val="24"/>
            <w:szCs w:val="24"/>
            <w:u w:val="single"/>
            <w:rtl w:val="0"/>
          </w:rPr>
          <w:t xml:space="preserve">https://www.semanticscholar.org/paper/CalFAT%3A-Calibrated-Federated-Adversarial-Training-Chen-Liu/2e196cbf324c4578426a89880ff6dae09ab16a3a</w:t>
        </w:r>
      </w:hyperlink>
      <w:r w:rsidDel="00000000" w:rsidR="00000000" w:rsidRPr="00000000">
        <w:rPr>
          <w:rtl w:val="0"/>
        </w:rPr>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OptiGradTrust: Byzantine-Robust Federated Learning with Multi-Feature Gradient Analysis and Reinforcement Learning-Based Trust Weighting - ResearchGate, </w:t>
      </w:r>
      <w:hyperlink r:id="rId94">
        <w:r w:rsidDel="00000000" w:rsidR="00000000" w:rsidRPr="00000000">
          <w:rPr>
            <w:rFonts w:ascii="Google Sans" w:cs="Google Sans" w:eastAsia="Google Sans" w:hAnsi="Google Sans"/>
            <w:color w:val="0000ee"/>
            <w:sz w:val="24"/>
            <w:szCs w:val="24"/>
            <w:u w:val="single"/>
            <w:rtl w:val="0"/>
          </w:rPr>
          <w:t xml:space="preserve">https://www.researchgate.net/publication/394174843_OptiGradTrust_Byzantine-Robust_Federated_Learning_with_Multi-Feature_Gradient_Analysis_and_Reinforcement_Learning-Based_Trust_Weighting</w:t>
        </w:r>
      </w:hyperlink>
      <w:r w:rsidDel="00000000" w:rsidR="00000000" w:rsidRPr="00000000">
        <w:rPr>
          <w:rtl w:val="0"/>
        </w:rPr>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[2206.02131] Federated Adversarial Training with Transformers - arXiv, </w:t>
      </w:r>
      <w:hyperlink r:id="rId95">
        <w:r w:rsidDel="00000000" w:rsidR="00000000" w:rsidRPr="00000000">
          <w:rPr>
            <w:rFonts w:ascii="Google Sans" w:cs="Google Sans" w:eastAsia="Google Sans" w:hAnsi="Google Sans"/>
            <w:color w:val="0000ee"/>
            <w:sz w:val="24"/>
            <w:szCs w:val="24"/>
            <w:u w:val="single"/>
            <w:rtl w:val="0"/>
          </w:rPr>
          <w:t xml:space="preserve">https://arxiv.org/abs/2206.02131</w:t>
        </w:r>
      </w:hyperlink>
      <w:r w:rsidDel="00000000" w:rsidR="00000000" w:rsidRPr="00000000">
        <w:rPr>
          <w:rtl w:val="0"/>
        </w:rPr>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[2302.09479] Delving into the Adversarial Robustness of Federated Learning - arXiv, </w:t>
      </w:r>
      <w:hyperlink r:id="rId96">
        <w:r w:rsidDel="00000000" w:rsidR="00000000" w:rsidRPr="00000000">
          <w:rPr>
            <w:rFonts w:ascii="Google Sans" w:cs="Google Sans" w:eastAsia="Google Sans" w:hAnsi="Google Sans"/>
            <w:color w:val="0000ee"/>
            <w:sz w:val="24"/>
            <w:szCs w:val="24"/>
            <w:u w:val="single"/>
            <w:rtl w:val="0"/>
          </w:rPr>
          <w:t xml:space="preserve">https://arxiv.org/abs/2302.09479</w:t>
        </w:r>
      </w:hyperlink>
      <w:r w:rsidDel="00000000" w:rsidR="00000000" w:rsidRPr="00000000">
        <w:rPr>
          <w:rtl w:val="0"/>
        </w:rPr>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Delving into the Adversarial Robustness of Federated Learning, </w:t>
      </w:r>
      <w:hyperlink r:id="rId97">
        <w:r w:rsidDel="00000000" w:rsidR="00000000" w:rsidRPr="00000000">
          <w:rPr>
            <w:rFonts w:ascii="Google Sans" w:cs="Google Sans" w:eastAsia="Google Sans" w:hAnsi="Google Sans"/>
            <w:color w:val="0000ee"/>
            <w:sz w:val="24"/>
            <w:szCs w:val="24"/>
            <w:u w:val="single"/>
            <w:rtl w:val="0"/>
          </w:rPr>
          <w:t xml:space="preserve">https://ojs.aaai.org/index.php/AAAI/article/view/26331/26103</w:t>
        </w:r>
      </w:hyperlink>
      <w:r w:rsidDel="00000000" w:rsidR="00000000" w:rsidRPr="00000000">
        <w:rPr>
          <w:rtl w:val="0"/>
        </w:rPr>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Delving into the Adversarial Robustness of Federated Learning - ResearchGate, </w:t>
      </w:r>
      <w:hyperlink r:id="rId98">
        <w:r w:rsidDel="00000000" w:rsidR="00000000" w:rsidRPr="00000000">
          <w:rPr>
            <w:rFonts w:ascii="Google Sans" w:cs="Google Sans" w:eastAsia="Google Sans" w:hAnsi="Google Sans"/>
            <w:color w:val="0000ee"/>
            <w:sz w:val="24"/>
            <w:szCs w:val="24"/>
            <w:u w:val="single"/>
            <w:rtl w:val="0"/>
          </w:rPr>
          <w:t xml:space="preserve">https://www.researchgate.net/publication/368665577_Delving_into_the_Adversarial_Robustness_of_Federated_Learning</w:t>
        </w:r>
      </w:hyperlink>
      <w:r w:rsidDel="00000000" w:rsidR="00000000" w:rsidRPr="00000000">
        <w:rPr>
          <w:rtl w:val="0"/>
        </w:rPr>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Max-Min Security Game for Coordinated Backdoor Attacks on Federated Learning, </w:t>
      </w:r>
      <w:hyperlink r:id="rId99">
        <w:r w:rsidDel="00000000" w:rsidR="00000000" w:rsidRPr="00000000">
          <w:rPr>
            <w:rFonts w:ascii="Google Sans" w:cs="Google Sans" w:eastAsia="Google Sans" w:hAnsi="Google Sans"/>
            <w:color w:val="0000ee"/>
            <w:sz w:val="24"/>
            <w:szCs w:val="24"/>
            <w:u w:val="single"/>
            <w:rtl w:val="0"/>
          </w:rPr>
          <w:t xml:space="preserve">https://www.computer.org/csdl/proceedings-article/bigdata/2023/10386756/1TUPcPMSx0c</w:t>
        </w:r>
      </w:hyperlink>
      <w:r w:rsidDel="00000000" w:rsidR="00000000" w:rsidRPr="00000000">
        <w:rPr>
          <w:rtl w:val="0"/>
        </w:rPr>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arXiv:2302.09479v1 [cs.LG] 19 Feb 2023, </w:t>
      </w:r>
      <w:hyperlink r:id="rId100">
        <w:r w:rsidDel="00000000" w:rsidR="00000000" w:rsidRPr="00000000">
          <w:rPr>
            <w:rFonts w:ascii="Google Sans" w:cs="Google Sans" w:eastAsia="Google Sans" w:hAnsi="Google Sans"/>
            <w:color w:val="0000ee"/>
            <w:sz w:val="24"/>
            <w:szCs w:val="24"/>
            <w:u w:val="single"/>
            <w:rtl w:val="0"/>
          </w:rPr>
          <w:t xml:space="preserve">https://arxiv.org/pdf/2302.09479</w:t>
        </w:r>
      </w:hyperlink>
      <w:r w:rsidDel="00000000" w:rsidR="00000000" w:rsidRPr="00000000">
        <w:rPr>
          <w:rtl w:val="0"/>
        </w:rPr>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Communication-Efficient Adversarial Federated Learning for Robust Edge Intelligence - arXiv, </w:t>
      </w:r>
      <w:hyperlink r:id="rId101">
        <w:r w:rsidDel="00000000" w:rsidR="00000000" w:rsidRPr="00000000">
          <w:rPr>
            <w:rFonts w:ascii="Google Sans" w:cs="Google Sans" w:eastAsia="Google Sans" w:hAnsi="Google Sans"/>
            <w:color w:val="0000ee"/>
            <w:sz w:val="24"/>
            <w:szCs w:val="24"/>
            <w:u w:val="single"/>
            <w:rtl w:val="0"/>
          </w:rPr>
          <w:t xml:space="preserve">https://arxiv.org/pdf/2501.15257</w:t>
        </w:r>
      </w:hyperlink>
      <w:r w:rsidDel="00000000" w:rsidR="00000000" w:rsidRPr="00000000">
        <w:rPr>
          <w:rtl w:val="0"/>
        </w:rPr>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Pre-trained Model Guided Mixture Knowledge Distillation for Adversarial Federated Learning - arXiv, </w:t>
      </w:r>
      <w:hyperlink r:id="rId102">
        <w:r w:rsidDel="00000000" w:rsidR="00000000" w:rsidRPr="00000000">
          <w:rPr>
            <w:rFonts w:ascii="Google Sans" w:cs="Google Sans" w:eastAsia="Google Sans" w:hAnsi="Google Sans"/>
            <w:color w:val="0000ee"/>
            <w:sz w:val="24"/>
            <w:szCs w:val="24"/>
            <w:u w:val="single"/>
            <w:rtl w:val="0"/>
          </w:rPr>
          <w:t xml:space="preserve">https://arxiv.org/html/2501.15257v1</w:t>
        </w:r>
      </w:hyperlink>
      <w:r w:rsidDel="00000000" w:rsidR="00000000" w:rsidRPr="00000000">
        <w:rPr>
          <w:rtl w:val="0"/>
        </w:rPr>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AD-FL: adversarial defense in federated learning via attention denoising - Taylor &amp; Francis, </w:t>
      </w:r>
      <w:hyperlink r:id="rId103">
        <w:r w:rsidDel="00000000" w:rsidR="00000000" w:rsidRPr="00000000">
          <w:rPr>
            <w:rFonts w:ascii="Google Sans" w:cs="Google Sans" w:eastAsia="Google Sans" w:hAnsi="Google Sans"/>
            <w:color w:val="0000ee"/>
            <w:sz w:val="24"/>
            <w:szCs w:val="24"/>
            <w:u w:val="single"/>
            <w:rtl w:val="0"/>
          </w:rPr>
          <w:t xml:space="preserve">https://www.tandfonline.com/doi/full/10.1080/09540091.2025.2603028</w:t>
        </w:r>
      </w:hyperlink>
      <w:r w:rsidDel="00000000" w:rsidR="00000000" w:rsidRPr="00000000">
        <w:rPr>
          <w:rtl w:val="0"/>
        </w:rPr>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Sharing Adversarial Robustness in Heterogeneous Federated Learning, </w:t>
      </w:r>
      <w:hyperlink r:id="rId104">
        <w:r w:rsidDel="00000000" w:rsidR="00000000" w:rsidRPr="00000000">
          <w:rPr>
            <w:rFonts w:ascii="Google Sans" w:cs="Google Sans" w:eastAsia="Google Sans" w:hAnsi="Google Sans"/>
            <w:color w:val="0000ee"/>
            <w:sz w:val="24"/>
            <w:szCs w:val="24"/>
            <w:u w:val="single"/>
            <w:rtl w:val="0"/>
          </w:rPr>
          <w:t xml:space="preserve">https://ojs.aaai.org/index.php/AAAI/article/view/25955/25727</w:t>
        </w:r>
      </w:hyperlink>
      <w:r w:rsidDel="00000000" w:rsidR="00000000" w:rsidRPr="00000000">
        <w:rPr>
          <w:rtl w:val="0"/>
        </w:rPr>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illidanlab/FedRBN: [AAAI'23] Federated Robustness Propagation, </w:t>
      </w:r>
      <w:hyperlink r:id="rId105">
        <w:r w:rsidDel="00000000" w:rsidR="00000000" w:rsidRPr="00000000">
          <w:rPr>
            <w:rFonts w:ascii="Google Sans" w:cs="Google Sans" w:eastAsia="Google Sans" w:hAnsi="Google Sans"/>
            <w:color w:val="0000ee"/>
            <w:sz w:val="24"/>
            <w:szCs w:val="24"/>
            <w:u w:val="single"/>
            <w:rtl w:val="0"/>
          </w:rPr>
          <w:t xml:space="preserve">https://github.com/illidanlab/FedRBN</w:t>
        </w:r>
      </w:hyperlink>
      <w:r w:rsidDel="00000000" w:rsidR="00000000" w:rsidRPr="00000000">
        <w:rPr>
          <w:rtl w:val="0"/>
        </w:rPr>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Federated Robustness Propagation: Sharing Adversarial Robustness in Federated Learning | OpenReview, </w:t>
      </w:r>
      <w:hyperlink r:id="rId106">
        <w:r w:rsidDel="00000000" w:rsidR="00000000" w:rsidRPr="00000000">
          <w:rPr>
            <w:rFonts w:ascii="Google Sans" w:cs="Google Sans" w:eastAsia="Google Sans" w:hAnsi="Google Sans"/>
            <w:color w:val="0000ee"/>
            <w:sz w:val="24"/>
            <w:szCs w:val="24"/>
            <w:u w:val="single"/>
            <w:rtl w:val="0"/>
          </w:rPr>
          <w:t xml:space="preserve">https://openreview.net/forum?id=3AkuJOgL_X</w:t>
        </w:r>
      </w:hyperlink>
      <w:r w:rsidDel="00000000" w:rsidR="00000000" w:rsidRPr="00000000">
        <w:rPr>
          <w:rtl w:val="0"/>
        </w:rPr>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Federated AI-OCPP Framework for Secure and Scalable EV Charging in Smart Cities, </w:t>
      </w:r>
      <w:hyperlink r:id="rId107">
        <w:r w:rsidDel="00000000" w:rsidR="00000000" w:rsidRPr="00000000">
          <w:rPr>
            <w:rFonts w:ascii="Google Sans" w:cs="Google Sans" w:eastAsia="Google Sans" w:hAnsi="Google Sans"/>
            <w:color w:val="0000ee"/>
            <w:sz w:val="24"/>
            <w:szCs w:val="24"/>
            <w:u w:val="single"/>
            <w:rtl w:val="0"/>
          </w:rPr>
          <w:t xml:space="preserve">https://www.mdpi.com/2413-8851/9/9/363</w:t>
        </w:r>
      </w:hyperlink>
      <w:r w:rsidDel="00000000" w:rsidR="00000000" w:rsidRPr="00000000">
        <w:rPr>
          <w:rtl w:val="0"/>
        </w:rPr>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Federated Detection of Open Charge Point Protocol 1.6 Cyberattacks - ResearchGate, </w:t>
      </w:r>
      <w:hyperlink r:id="rId108">
        <w:r w:rsidDel="00000000" w:rsidR="00000000" w:rsidRPr="00000000">
          <w:rPr>
            <w:rFonts w:ascii="Google Sans" w:cs="Google Sans" w:eastAsia="Google Sans" w:hAnsi="Google Sans"/>
            <w:color w:val="0000ee"/>
            <w:sz w:val="24"/>
            <w:szCs w:val="24"/>
            <w:u w:val="single"/>
            <w:rtl w:val="0"/>
          </w:rPr>
          <w:t xml:space="preserve">https://www.researchgate.net/publication/388685592_Federated_Detection_of_Open_Charge_Point_Protocol_16_Cyberattacks</w:t>
        </w:r>
      </w:hyperlink>
      <w:r w:rsidDel="00000000" w:rsidR="00000000" w:rsidRPr="00000000">
        <w:rPr>
          <w:rtl w:val="0"/>
        </w:rPr>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Faster Adaptive Federated Learning | Request PDF - ResearchGate, </w:t>
      </w:r>
      <w:hyperlink r:id="rId109">
        <w:r w:rsidDel="00000000" w:rsidR="00000000" w:rsidRPr="00000000">
          <w:rPr>
            <w:rFonts w:ascii="Google Sans" w:cs="Google Sans" w:eastAsia="Google Sans" w:hAnsi="Google Sans"/>
            <w:color w:val="0000ee"/>
            <w:sz w:val="24"/>
            <w:szCs w:val="24"/>
            <w:u w:val="single"/>
            <w:rtl w:val="0"/>
          </w:rPr>
          <w:t xml:space="preserve">https://www.researchgate.net/publication/371921722_Faster_Adaptive_Federated_Learning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42" Type="http://schemas.openxmlformats.org/officeDocument/2006/relationships/image" Target="media/image35.png"/><Relationship Id="rId41" Type="http://schemas.openxmlformats.org/officeDocument/2006/relationships/image" Target="media/image8.png"/><Relationship Id="rId44" Type="http://schemas.openxmlformats.org/officeDocument/2006/relationships/image" Target="media/image25.png"/><Relationship Id="rId43" Type="http://schemas.openxmlformats.org/officeDocument/2006/relationships/image" Target="media/image41.png"/><Relationship Id="rId46" Type="http://schemas.openxmlformats.org/officeDocument/2006/relationships/image" Target="media/image23.png"/><Relationship Id="rId45" Type="http://schemas.openxmlformats.org/officeDocument/2006/relationships/image" Target="media/image32.png"/><Relationship Id="rId107" Type="http://schemas.openxmlformats.org/officeDocument/2006/relationships/hyperlink" Target="https://www.mdpi.com/2413-8851/9/9/363" TargetMode="External"/><Relationship Id="rId106" Type="http://schemas.openxmlformats.org/officeDocument/2006/relationships/hyperlink" Target="https://openreview.net/forum?id=3AkuJOgL_X" TargetMode="External"/><Relationship Id="rId105" Type="http://schemas.openxmlformats.org/officeDocument/2006/relationships/hyperlink" Target="https://github.com/illidanlab/FedRBN" TargetMode="External"/><Relationship Id="rId104" Type="http://schemas.openxmlformats.org/officeDocument/2006/relationships/hyperlink" Target="https://ojs.aaai.org/index.php/AAAI/article/view/25955/25727" TargetMode="External"/><Relationship Id="rId109" Type="http://schemas.openxmlformats.org/officeDocument/2006/relationships/hyperlink" Target="https://www.researchgate.net/publication/371921722_Faster_Adaptive_Federated_Learning" TargetMode="External"/><Relationship Id="rId108" Type="http://schemas.openxmlformats.org/officeDocument/2006/relationships/hyperlink" Target="https://www.researchgate.net/publication/388685592_Federated_Detection_of_Open_Charge_Point_Protocol_16_Cyberattacks" TargetMode="External"/><Relationship Id="rId48" Type="http://schemas.openxmlformats.org/officeDocument/2006/relationships/image" Target="media/image18.png"/><Relationship Id="rId47" Type="http://schemas.openxmlformats.org/officeDocument/2006/relationships/image" Target="media/image52.png"/><Relationship Id="rId49" Type="http://schemas.openxmlformats.org/officeDocument/2006/relationships/image" Target="media/image16.png"/><Relationship Id="rId103" Type="http://schemas.openxmlformats.org/officeDocument/2006/relationships/hyperlink" Target="https://www.tandfonline.com/doi/full/10.1080/09540091.2025.2603028" TargetMode="External"/><Relationship Id="rId102" Type="http://schemas.openxmlformats.org/officeDocument/2006/relationships/hyperlink" Target="https://arxiv.org/html/2501.15257v1" TargetMode="External"/><Relationship Id="rId101" Type="http://schemas.openxmlformats.org/officeDocument/2006/relationships/hyperlink" Target="https://arxiv.org/pdf/2501.15257" TargetMode="External"/><Relationship Id="rId100" Type="http://schemas.openxmlformats.org/officeDocument/2006/relationships/hyperlink" Target="https://arxiv.org/pdf/2302.09479" TargetMode="External"/><Relationship Id="rId31" Type="http://schemas.openxmlformats.org/officeDocument/2006/relationships/image" Target="media/image29.png"/><Relationship Id="rId30" Type="http://schemas.openxmlformats.org/officeDocument/2006/relationships/image" Target="media/image10.png"/><Relationship Id="rId33" Type="http://schemas.openxmlformats.org/officeDocument/2006/relationships/image" Target="media/image12.png"/><Relationship Id="rId32" Type="http://schemas.openxmlformats.org/officeDocument/2006/relationships/image" Target="media/image2.png"/><Relationship Id="rId35" Type="http://schemas.openxmlformats.org/officeDocument/2006/relationships/image" Target="media/image17.png"/><Relationship Id="rId34" Type="http://schemas.openxmlformats.org/officeDocument/2006/relationships/image" Target="media/image9.png"/><Relationship Id="rId37" Type="http://schemas.openxmlformats.org/officeDocument/2006/relationships/image" Target="media/image7.png"/><Relationship Id="rId36" Type="http://schemas.openxmlformats.org/officeDocument/2006/relationships/image" Target="media/image6.png"/><Relationship Id="rId39" Type="http://schemas.openxmlformats.org/officeDocument/2006/relationships/image" Target="media/image1.png"/><Relationship Id="rId38" Type="http://schemas.openxmlformats.org/officeDocument/2006/relationships/image" Target="media/image3.png"/><Relationship Id="rId20" Type="http://schemas.openxmlformats.org/officeDocument/2006/relationships/image" Target="media/image49.png"/><Relationship Id="rId22" Type="http://schemas.openxmlformats.org/officeDocument/2006/relationships/image" Target="media/image39.png"/><Relationship Id="rId21" Type="http://schemas.openxmlformats.org/officeDocument/2006/relationships/image" Target="media/image46.png"/><Relationship Id="rId24" Type="http://schemas.openxmlformats.org/officeDocument/2006/relationships/image" Target="media/image42.png"/><Relationship Id="rId23" Type="http://schemas.openxmlformats.org/officeDocument/2006/relationships/image" Target="media/image34.png"/><Relationship Id="rId26" Type="http://schemas.openxmlformats.org/officeDocument/2006/relationships/image" Target="media/image43.png"/><Relationship Id="rId25" Type="http://schemas.openxmlformats.org/officeDocument/2006/relationships/image" Target="media/image30.png"/><Relationship Id="rId28" Type="http://schemas.openxmlformats.org/officeDocument/2006/relationships/image" Target="media/image13.png"/><Relationship Id="rId27" Type="http://schemas.openxmlformats.org/officeDocument/2006/relationships/image" Target="media/image37.png"/><Relationship Id="rId29" Type="http://schemas.openxmlformats.org/officeDocument/2006/relationships/image" Target="media/image4.png"/><Relationship Id="rId95" Type="http://schemas.openxmlformats.org/officeDocument/2006/relationships/hyperlink" Target="https://arxiv.org/abs/2206.02131" TargetMode="External"/><Relationship Id="rId94" Type="http://schemas.openxmlformats.org/officeDocument/2006/relationships/hyperlink" Target="https://www.researchgate.net/publication/394174843_OptiGradTrust_Byzantine-Robust_Federated_Learning_with_Multi-Feature_Gradient_Analysis_and_Reinforcement_Learning-Based_Trust_Weighting" TargetMode="External"/><Relationship Id="rId97" Type="http://schemas.openxmlformats.org/officeDocument/2006/relationships/hyperlink" Target="https://ojs.aaai.org/index.php/AAAI/article/view/26331/26103" TargetMode="External"/><Relationship Id="rId96" Type="http://schemas.openxmlformats.org/officeDocument/2006/relationships/hyperlink" Target="https://arxiv.org/abs/2302.09479" TargetMode="External"/><Relationship Id="rId11" Type="http://schemas.openxmlformats.org/officeDocument/2006/relationships/image" Target="media/image55.png"/><Relationship Id="rId99" Type="http://schemas.openxmlformats.org/officeDocument/2006/relationships/hyperlink" Target="https://www.computer.org/csdl/proceedings-article/bigdata/2023/10386756/1TUPcPMSx0c" TargetMode="External"/><Relationship Id="rId10" Type="http://schemas.openxmlformats.org/officeDocument/2006/relationships/image" Target="media/image40.png"/><Relationship Id="rId98" Type="http://schemas.openxmlformats.org/officeDocument/2006/relationships/hyperlink" Target="https://www.researchgate.net/publication/368665577_Delving_into_the_Adversarial_Robustness_of_Federated_Learning" TargetMode="External"/><Relationship Id="rId13" Type="http://schemas.openxmlformats.org/officeDocument/2006/relationships/image" Target="media/image58.png"/><Relationship Id="rId12" Type="http://schemas.openxmlformats.org/officeDocument/2006/relationships/image" Target="media/image38.png"/><Relationship Id="rId91" Type="http://schemas.openxmlformats.org/officeDocument/2006/relationships/hyperlink" Target="https://www.mdpi.com/2073-8994/17/9/1398" TargetMode="External"/><Relationship Id="rId90" Type="http://schemas.openxmlformats.org/officeDocument/2006/relationships/hyperlink" Target="https://proceedings.neurips.cc/paper_files/paper/2024/file/db0ee27cb50dd9087b133f6e7d28a90e-Paper-Conference.pdf" TargetMode="External"/><Relationship Id="rId93" Type="http://schemas.openxmlformats.org/officeDocument/2006/relationships/hyperlink" Target="https://www.semanticscholar.org/paper/CalFAT%3A-Calibrated-Federated-Adversarial-Training-Chen-Liu/2e196cbf324c4578426a89880ff6dae09ab16a3a" TargetMode="External"/><Relationship Id="rId92" Type="http://schemas.openxmlformats.org/officeDocument/2006/relationships/hyperlink" Target="https://arxiv.org/pdf/2507.23638" TargetMode="External"/><Relationship Id="rId15" Type="http://schemas.openxmlformats.org/officeDocument/2006/relationships/image" Target="media/image44.png"/><Relationship Id="rId14" Type="http://schemas.openxmlformats.org/officeDocument/2006/relationships/image" Target="media/image48.png"/><Relationship Id="rId17" Type="http://schemas.openxmlformats.org/officeDocument/2006/relationships/image" Target="media/image50.png"/><Relationship Id="rId16" Type="http://schemas.openxmlformats.org/officeDocument/2006/relationships/image" Target="media/image54.png"/><Relationship Id="rId19" Type="http://schemas.openxmlformats.org/officeDocument/2006/relationships/image" Target="media/image51.png"/><Relationship Id="rId18" Type="http://schemas.openxmlformats.org/officeDocument/2006/relationships/image" Target="media/image45.png"/><Relationship Id="rId84" Type="http://schemas.openxmlformats.org/officeDocument/2006/relationships/hyperlink" Target="https://mlsys.org/Conferences/2019/doc/2019/54.pdf" TargetMode="External"/><Relationship Id="rId83" Type="http://schemas.openxmlformats.org/officeDocument/2006/relationships/hyperlink" Target="https://infoscience.epfl.ch/bitstreams/f8c223e7-bf72-44c9-b142-5a00fe0e2511/download" TargetMode="External"/><Relationship Id="rId86" Type="http://schemas.openxmlformats.org/officeDocument/2006/relationships/hyperlink" Target="https://pure.qub.ac.uk/files/617616383/A_Wolf_In_Sheeps_Clothing_Camera_Ready.pdf" TargetMode="External"/><Relationship Id="rId85" Type="http://schemas.openxmlformats.org/officeDocument/2006/relationships/hyperlink" Target="https://aclanthology.org/2024.findings-emnlp.339.pdf" TargetMode="External"/><Relationship Id="rId88" Type="http://schemas.openxmlformats.org/officeDocument/2006/relationships/hyperlink" Target="https://people.cs.umass.edu/~amir/papers/NDSS21-model-poisoning.pdf" TargetMode="External"/><Relationship Id="rId87" Type="http://schemas.openxmlformats.org/officeDocument/2006/relationships/hyperlink" Target="https://arxiv.org/pdf/1902.06156" TargetMode="External"/><Relationship Id="rId89" Type="http://schemas.openxmlformats.org/officeDocument/2006/relationships/hyperlink" Target="https://www.computer.org/csdl/journal/tq/2024/06/10458320/1V4sIdBu0tW" TargetMode="External"/><Relationship Id="rId80" Type="http://schemas.openxmlformats.org/officeDocument/2006/relationships/hyperlink" Target="https://arxiv.org/html/2602.03899v1" TargetMode="External"/><Relationship Id="rId82" Type="http://schemas.openxmlformats.org/officeDocument/2006/relationships/hyperlink" Target="https://www.diva-portal.org/smash/get/diva2:1997629/FULLTEXT01.pdf" TargetMode="External"/><Relationship Id="rId81" Type="http://schemas.openxmlformats.org/officeDocument/2006/relationships/hyperlink" Target="https://www.usenix.org/system/files/sec20summer_fang_prepub.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7.png"/><Relationship Id="rId5" Type="http://schemas.openxmlformats.org/officeDocument/2006/relationships/styles" Target="styles.xml"/><Relationship Id="rId6" Type="http://schemas.openxmlformats.org/officeDocument/2006/relationships/image" Target="media/image53.png"/><Relationship Id="rId7" Type="http://schemas.openxmlformats.org/officeDocument/2006/relationships/image" Target="media/image14.png"/><Relationship Id="rId8" Type="http://schemas.openxmlformats.org/officeDocument/2006/relationships/image" Target="media/image28.png"/><Relationship Id="rId73" Type="http://schemas.openxmlformats.org/officeDocument/2006/relationships/hyperlink" Target="https://www.researchgate.net/publication/371932573_Federated_Robustness_Propagation_Sharing_Adversarial_Robustness_in_Heterogeneous_Federated_Learning" TargetMode="External"/><Relationship Id="rId72" Type="http://schemas.openxmlformats.org/officeDocument/2006/relationships/hyperlink" Target="https://proceedings.mlr.press/v202/li23z/li23z.pdf" TargetMode="External"/><Relationship Id="rId75" Type="http://schemas.openxmlformats.org/officeDocument/2006/relationships/hyperlink" Target="https://arxiv.org/html/2502.01569v1" TargetMode="External"/><Relationship Id="rId74" Type="http://schemas.openxmlformats.org/officeDocument/2006/relationships/hyperlink" Target="https://acyd.fiu.edu/wp-content/uploads/PHANTOM___Physics_Aware_Adversarial_Attacks_on_EVCS__ASIACCS_2026__Archive.pdf" TargetMode="External"/><Relationship Id="rId77" Type="http://schemas.openxmlformats.org/officeDocument/2006/relationships/hyperlink" Target="https://arxiv.org/html/2605.04091v1" TargetMode="External"/><Relationship Id="rId76" Type="http://schemas.openxmlformats.org/officeDocument/2006/relationships/hyperlink" Target="https://www.oaepublish.com/articles/ces.2025.04" TargetMode="External"/><Relationship Id="rId79" Type="http://schemas.openxmlformats.org/officeDocument/2006/relationships/hyperlink" Target="https://www.ndss-symposium.org/ndss-paper/fltrust-byzantine-robust-federated-learning-via-trust-bootstrapping/" TargetMode="External"/><Relationship Id="rId78" Type="http://schemas.openxmlformats.org/officeDocument/2006/relationships/hyperlink" Target="https://www.ndss-symposium.org/ndss-paper/manipulating-the-byzantine-optimizing-model-poisoning-attacks-and-defenses-for-federated-learning/" TargetMode="External"/><Relationship Id="rId71" Type="http://schemas.openxmlformats.org/officeDocument/2006/relationships/hyperlink" Target="https://pmc.ncbi.nlm.nih.gov/articles/PMC10577924/" TargetMode="External"/><Relationship Id="rId70" Type="http://schemas.openxmlformats.org/officeDocument/2006/relationships/hyperlink" Target="https://www.researchgate.net/publication/350051277_FLTrust_Byzantine-robust_Federated_Learning_via_Trust_Bootstrapping" TargetMode="External"/><Relationship Id="rId62" Type="http://schemas.openxmlformats.org/officeDocument/2006/relationships/image" Target="media/image21.png"/><Relationship Id="rId61" Type="http://schemas.openxmlformats.org/officeDocument/2006/relationships/image" Target="media/image33.png"/><Relationship Id="rId64" Type="http://schemas.openxmlformats.org/officeDocument/2006/relationships/hyperlink" Target="https://www.ndss-symposium.org/wp-content/uploads/ndss2021_6C-3_24498_paper.pdf" TargetMode="External"/><Relationship Id="rId63" Type="http://schemas.openxmlformats.org/officeDocument/2006/relationships/image" Target="media/image47.png"/><Relationship Id="rId66" Type="http://schemas.openxmlformats.org/officeDocument/2006/relationships/hyperlink" Target="https://par.nsf.gov/servlets/purl/10650740" TargetMode="External"/><Relationship Id="rId65" Type="http://schemas.openxmlformats.org/officeDocument/2006/relationships/hyperlink" Target="https://arxiv.org/html/2509.18126v1" TargetMode="External"/><Relationship Id="rId68" Type="http://schemas.openxmlformats.org/officeDocument/2006/relationships/hyperlink" Target="https://arxiv.org/html/2501.06953v1" TargetMode="External"/><Relationship Id="rId67" Type="http://schemas.openxmlformats.org/officeDocument/2006/relationships/hyperlink" Target="https://system.wisacad-pub.com/index.php/tcs/article/view/163" TargetMode="External"/><Relationship Id="rId60" Type="http://schemas.openxmlformats.org/officeDocument/2006/relationships/image" Target="media/image31.png"/><Relationship Id="rId69" Type="http://schemas.openxmlformats.org/officeDocument/2006/relationships/hyperlink" Target="https://www.semanticscholar.org/paper/BRAFL%3A-Byzantine-Robust-Aggregation-Scheme-for-Data-Qiu-Liu/3987f74c14e230fc7c6f1be8bc6bbb0bc4b391bb" TargetMode="External"/><Relationship Id="rId51" Type="http://schemas.openxmlformats.org/officeDocument/2006/relationships/image" Target="media/image20.png"/><Relationship Id="rId50" Type="http://schemas.openxmlformats.org/officeDocument/2006/relationships/image" Target="media/image15.png"/><Relationship Id="rId53" Type="http://schemas.openxmlformats.org/officeDocument/2006/relationships/image" Target="media/image11.png"/><Relationship Id="rId52" Type="http://schemas.openxmlformats.org/officeDocument/2006/relationships/image" Target="media/image22.png"/><Relationship Id="rId55" Type="http://schemas.openxmlformats.org/officeDocument/2006/relationships/image" Target="media/image56.png"/><Relationship Id="rId54" Type="http://schemas.openxmlformats.org/officeDocument/2006/relationships/image" Target="media/image24.png"/><Relationship Id="rId57" Type="http://schemas.openxmlformats.org/officeDocument/2006/relationships/image" Target="media/image26.png"/><Relationship Id="rId56" Type="http://schemas.openxmlformats.org/officeDocument/2006/relationships/image" Target="media/image19.png"/><Relationship Id="rId59" Type="http://schemas.openxmlformats.org/officeDocument/2006/relationships/image" Target="media/image36.png"/><Relationship Id="rId5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