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  <w:jc w:val="center"/>
      </w:pPr>
      <w:r>
        <w:rPr>
          <w:rFonts w:ascii="Arial" w:hAnsi="Arial"/>
          <w:b/>
          <w:color w:val="102C57"/>
          <w:sz w:val="44"/>
        </w:rPr>
        <w:t>PROIECT DE LICENȚĂ: OptiFleet &amp; GroupLog B2B</w:t>
      </w:r>
    </w:p>
    <w:p>
      <w:pPr>
        <w:spacing w:after="400"/>
        <w:jc w:val="center"/>
      </w:pPr>
      <w:r>
        <w:rPr>
          <w:rFonts w:ascii="Arial" w:hAnsi="Arial"/>
          <w:i/>
          <w:color w:val="35A29F"/>
          <w:sz w:val="24"/>
        </w:rPr>
        <w:t>Platformă B2B Inteligentă de Logistica Rețelei de Aprovizionare, Group-Buying și Alocare Dinamică a Flotei prin AI pentru IMM-uri</w:t>
      </w:r>
    </w:p>
    <w:p>
      <w:pPr>
        <w:spacing w:after="480"/>
        <w:jc w:val="center"/>
      </w:pPr>
      <w:r>
        <w:rPr>
          <w:color w:val="646464"/>
          <w:sz w:val="19"/>
        </w:rPr>
        <w:t>Universitatea Tehnică a Moldovei (UTM) | Facultatea Calculatoare, Informatică și Microelectronică</w:t>
        <w:br/>
        <w:t>Specializarea: Tehnologia Informației | Anul IV</w:t>
      </w:r>
    </w:p>
    <w:p>
      <w:pPr>
        <w:spacing w:before="360" w:after="160"/>
        <w:pBdr>
          <w:bottom w:val="single" w:sz="12" w:space="4" w:color="102C57"/>
        </w:pBdr>
      </w:pPr>
      <w:r>
        <w:rPr>
          <w:rFonts w:ascii="Arial" w:hAnsi="Arial"/>
          <w:b/>
          <w:color w:val="102C57"/>
          <w:sz w:val="36"/>
        </w:rPr>
        <w:t>1. Sinteza Proiectului și Viziunea de Produs</w:t>
      </w:r>
    </w:p>
    <w:p>
      <w:r>
        <w:t>Piața de transport și distribuție pentru Întreprinderile Mici și Mijlocii (IMM) din Republica Moldova și regiune se confruntă cu ineficiențe structurale majore care afectează competitivitatea economică:</w:t>
      </w:r>
    </w:p>
    <w:p>
      <w:pPr>
        <w:pStyle w:val="ListBullet"/>
      </w:pPr>
      <w:r>
        <w:rPr>
          <w:b/>
        </w:rPr>
        <w:t>Comenzi fragmentate de volum mic:</w:t>
      </w:r>
      <w:r>
        <w:t xml:space="preserve"> Micii comercianți plătesc tarif întreg pentru livrări parțiale (LTL - Less Than Truckload), având costuri logistice de până la 3 ori mai mari per unitate decât marile rețele de retail.</w:t>
      </w:r>
    </w:p>
    <w:p>
      <w:pPr>
        <w:pStyle w:val="ListBullet"/>
      </w:pPr>
      <w:r>
        <w:rPr>
          <w:b/>
        </w:rPr>
        <w:t>Vehicule care circulă parțial goale sau fără încărcătură la retur (Deadhead Miles):</w:t>
      </w:r>
      <w:r>
        <w:t xml:space="preserve"> Transportatorii locali suferă de o rată ridicată de spațiu neutilizat, mai ales pe rutele de întoarcere din orașele regionale (ex: Bălți, Cahul, Ungheni înapoi spre Chișinău).</w:t>
      </w:r>
    </w:p>
    <w:p>
      <w:pPr>
        <w:pStyle w:val="ListBullet"/>
      </w:pPr>
      <w:r>
        <w:rPr>
          <w:b/>
        </w:rPr>
        <w:t>Lipsa instrumentelor de planificare predictivă și colaborativă:</w:t>
      </w:r>
      <w:r>
        <w:t xml:space="preserve"> Comunicarea se desfășoară manual (telefon, mesagerie), fără algoritmi de consolidare spațio-temporală a comenzilor sau calcul automat de rute optime.</w:t>
      </w:r>
    </w:p>
    <w:p>
      <w:r>
        <w:rPr>
          <w:b/>
        </w:rPr>
        <w:t xml:space="preserve">Viziunea Proiectului: </w:t>
      </w:r>
      <w:r>
        <w:t>OptiFleet &amp; GroupLog B2B este o platformă cloud de nivel Enterprise ce combină Machine Learning (Clustering spațial &amp; Demand Forecasting), Optimizarea Combinatorie (CVRP &amp; 3D Bin Packing) și Agenți Autonomi AI (LLM / Tool Calling) pentru a transforma logistica izolată într-un sistem ecologic, inteligent și colaborativ.</w:t>
      </w:r>
    </w:p>
    <w:p>
      <w:pPr>
        <w:spacing w:before="360" w:after="160"/>
        <w:pBdr>
          <w:bottom w:val="single" w:sz="12" w:space="4" w:color="102C57"/>
        </w:pBdr>
      </w:pPr>
      <w:r>
        <w:rPr>
          <w:rFonts w:ascii="Arial" w:hAnsi="Arial"/>
          <w:b/>
          <w:color w:val="102C57"/>
          <w:sz w:val="36"/>
        </w:rPr>
        <w:t>2. Arhitectura Conceptuală și Modulele AI</w:t>
      </w:r>
    </w:p>
    <w:p>
      <w:pPr>
        <w:spacing w:before="280" w:after="120"/>
      </w:pPr>
      <w:r>
        <w:rPr>
          <w:rFonts w:ascii="Arial" w:hAnsi="Arial"/>
          <w:b/>
          <w:color w:val="35A29F"/>
          <w:sz w:val="28"/>
        </w:rPr>
        <w:t>Modulul 1: Group-Buying &amp; Spatial Clustering Engine</w:t>
      </w:r>
    </w:p>
    <w:p>
      <w:r>
        <w:t>În loc ca fiecare magazin să plaseze comenzi individuale scumpe, sistemul colectează automat cererile de aprovizionare într-o fereastră temporală configurabilă (ex: 12–24 ore) și le grupează folosind algoritmi de învățare automată neasistată.</w:t>
      </w:r>
    </w:p>
    <w:p>
      <w:pPr>
        <w:pStyle w:val="ListBullet"/>
      </w:pPr>
      <w:r>
        <w:rPr>
          <w:b/>
        </w:rPr>
        <w:t>Algoritm de Clustering Spațial (DBSCAN / HDBSCAN):</w:t>
      </w:r>
      <w:r>
        <w:t xml:space="preserve"> Grupează comenzile pe baza coordonatelor GPS (PostGIS) și a ferestrelor orare de livrare. Spre deosebire de K-Means, DBSCAN identifică clustere de forme arbitrare și elimină valorile izolate (outliers).</w:t>
      </w:r>
    </w:p>
    <w:p>
      <w:pPr>
        <w:pStyle w:val="ListBullet"/>
      </w:pPr>
      <w:r>
        <w:rPr>
          <w:b/>
        </w:rPr>
        <w:t>Predictia Pragului Minim de Comandă (Volume Pricing Forecasting):</w:t>
      </w:r>
      <w:r>
        <w:t xml:space="preserve"> Model bazat pe XGBoost/Prophet care analizează istoricul achizițiilor și trimite notificări predictive către comercianți: 'Dacă mai aștepți 6 ore, există 88% șanse ca alți 2 comercianți să se alăture, scăzând costul de transport cu 22%.'</w:t>
      </w:r>
    </w:p>
    <w:p>
      <w:pPr>
        <w:spacing w:before="280" w:after="120"/>
      </w:pPr>
      <w:r>
        <w:rPr>
          <w:rFonts w:ascii="Arial" w:hAnsi="Arial"/>
          <w:b/>
          <w:color w:val="35A29F"/>
          <w:sz w:val="28"/>
        </w:rPr>
        <w:t>Modulul 2: Dynamic Fleet Relocation &amp; Cross-Docking (Marea Inovație)</w:t>
      </w:r>
    </w:p>
    <w:p>
      <w:r>
        <w:t>Rezolvă problema mașinilor aflate în alte orașe sau care se întorc goale din curse inter-urbane. Când o comandă de grup este constituită într-un oraș regional, sistemul caută vehicule din raza extinsă cu rute compatibile.</w:t>
      </w:r>
    </w:p>
    <w:p>
      <w:pPr>
        <w:pStyle w:val="ListBullet"/>
      </w:pPr>
      <w:r>
        <w:rPr>
          <w:b/>
        </w:rPr>
        <w:t>Spatial KNN (K-Nearest Neighbors) cu PostGIS:</w:t>
      </w:r>
      <w:r>
        <w:t xml:space="preserve"> Interoghează baza de date spațială pentru vehicule libere sau cu capacitate reziduală în orașe vecine.</w:t>
      </w:r>
    </w:p>
    <w:p>
      <w:pPr>
        <w:pStyle w:val="ListBullet"/>
      </w:pPr>
      <w:r>
        <w:rPr>
          <w:b/>
        </w:rPr>
        <w:t>Analiza Costului Marginal de Redirecționare:</w:t>
      </w:r>
      <w:r>
        <w:t xml:space="preserve"> Calculează deviația necesară de la traseu. Dacă ΔCost_Deviație &lt; Cost_Cursă_Standard, sistemul generează automat o propunere avantajoasă pentru transportator.</w:t>
      </w:r>
    </w:p>
    <w:p>
      <w:pPr>
        <w:pStyle w:val="ListBullet"/>
      </w:pPr>
      <w:r>
        <w:rPr>
          <w:b/>
        </w:rPr>
        <w:t>Cross-Docking Automatizat:</w:t>
      </w:r>
      <w:r>
        <w:t xml:space="preserve"> Dacă nu există un camion direct, algoritmul identifică un depozit intermediar (hub logistic) unde încărcătura este combinată eficient.</w:t>
      </w:r>
    </w:p>
    <w:p>
      <w:pPr>
        <w:spacing w:before="280" w:after="120"/>
      </w:pPr>
      <w:r>
        <w:rPr>
          <w:rFonts w:ascii="Arial" w:hAnsi="Arial"/>
          <w:b/>
          <w:color w:val="35A29F"/>
          <w:sz w:val="28"/>
        </w:rPr>
        <w:t>Modulul 3: Optimizarea Rutelor și Încărcării 3D (Google OR-Tools)</w:t>
      </w:r>
    </w:p>
    <w:p>
      <w:pPr>
        <w:pStyle w:val="ListBullet"/>
      </w:pPr>
      <w:r>
        <w:rPr>
          <w:b/>
        </w:rPr>
        <w:t>Capacitated Vehicle Routing Problem (CVRP) cu Time Windows:</w:t>
      </w:r>
      <w:r>
        <w:t xml:space="preserve"> Rezolvă secvența optimă de preluare (pick-up) de la furnizori și distribuție (drop-off) la magazine, minimizând km parcurși și emisiile CO2.</w:t>
      </w:r>
    </w:p>
    <w:p>
      <w:pPr>
        <w:pStyle w:val="ListBullet"/>
      </w:pPr>
      <w:r>
        <w:rPr>
          <w:b/>
        </w:rPr>
        <w:t>3D Bin Packing Problem (Optimizare Spațială în Camion):</w:t>
      </w:r>
      <w:r>
        <w:t xml:space="preserve"> Calculează dispunerea fizică a paleților pe axe (X, Y, Z) în funcție de dimensiuni, restricții de greutate per axă și ordinea de descărcare LIFO (Last In, First Out).</w:t>
      </w:r>
    </w:p>
    <w:p>
      <w:pPr>
        <w:spacing w:before="280" w:after="120"/>
      </w:pPr>
      <w:r>
        <w:rPr>
          <w:rFonts w:ascii="Arial" w:hAnsi="Arial"/>
          <w:b/>
          <w:color w:val="35A29F"/>
          <w:sz w:val="28"/>
        </w:rPr>
        <w:t>Modulul 4: Agent Autonom AI &amp; Copilot Conversațional</w:t>
      </w:r>
    </w:p>
    <w:p>
      <w:pPr>
        <w:pStyle w:val="ListBullet"/>
      </w:pPr>
      <w:r>
        <w:rPr>
          <w:b/>
        </w:rPr>
        <w:t>LLM cu Function Calling (Tool Use):</w:t>
      </w:r>
      <w:r>
        <w:t xml:space="preserve"> Agent AI capabil să execute comenzi de sistem, să caute rute și să trimită notificări proactive către utilizatori.</w:t>
      </w:r>
    </w:p>
    <w:p>
      <w:pPr>
        <w:pStyle w:val="ListBullet"/>
      </w:pPr>
      <w:r>
        <w:rPr>
          <w:b/>
        </w:rPr>
        <w:t>OCR + LLM Document Parsing:</w:t>
      </w:r>
      <w:r>
        <w:t xml:space="preserve"> Procesare automată a facturilor PDF și avizelor de însoțire a mărfii scanate, extragând automat volumul, greutatea și codurile de produs.</w:t>
      </w:r>
    </w:p>
    <w:p>
      <w:pPr>
        <w:spacing w:before="360" w:after="160"/>
        <w:pBdr>
          <w:bottom w:val="single" w:sz="12" w:space="4" w:color="102C57"/>
        </w:pBdr>
      </w:pPr>
      <w:r>
        <w:rPr>
          <w:rFonts w:ascii="Arial" w:hAnsi="Arial"/>
          <w:b/>
          <w:color w:val="102C57"/>
          <w:sz w:val="36"/>
        </w:rPr>
        <w:t>3. Arhitectura Tehnică și Stack Tehnologic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E0E0E0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02C57"/>
          </w:tcPr>
          <w:p>
            <w:r>
              <w:rPr>
                <w:b/>
                <w:color w:val="FFFFFF"/>
              </w:rPr>
              <w:t>Componentă</w:t>
            </w:r>
          </w:p>
        </w:tc>
        <w:tc>
          <w:tcPr>
            <w:tcW w:type="dxa" w:w="3120"/>
            <w:shd w:fill="102C57"/>
          </w:tcPr>
          <w:p>
            <w:r>
              <w:rPr>
                <w:b/>
                <w:color w:val="FFFFFF"/>
              </w:rPr>
              <w:t>Tehnologie / Biblioteca</w:t>
            </w:r>
          </w:p>
        </w:tc>
        <w:tc>
          <w:tcPr>
            <w:tcW w:type="dxa" w:w="3120"/>
            <w:shd w:fill="102C57"/>
          </w:tcPr>
          <w:p>
            <w:r>
              <w:rPr>
                <w:b/>
                <w:color w:val="FFFFFF"/>
              </w:rPr>
              <w:t>Motivul Alegerii &amp; Rolul în Proiect</w:t>
            </w:r>
          </w:p>
        </w:tc>
      </w:tr>
      <w:tr>
        <w:tc>
          <w:tcPr>
            <w:tcW w:type="dxa" w:w="3120"/>
          </w:tcPr>
          <w:p>
            <w:pPr/>
            <w:r>
              <w:t>Frontend UI</w:t>
            </w:r>
          </w:p>
        </w:tc>
        <w:tc>
          <w:tcPr>
            <w:tcW w:type="dxa" w:w="3120"/>
          </w:tcPr>
          <w:p>
            <w:pPr/>
            <w:r>
              <w:t>Next.js 14, React, TailwindCSS</w:t>
            </w:r>
          </w:p>
        </w:tc>
        <w:tc>
          <w:tcPr>
            <w:tcW w:type="dxa" w:w="3120"/>
          </w:tcPr>
          <w:p>
            <w:pPr/>
            <w:r>
              <w:t>Dashboard B2B performant, Server-Side Rendering</w:t>
            </w:r>
          </w:p>
        </w:tc>
      </w:tr>
      <w:tr>
        <w:tc>
          <w:tcPr>
            <w:tcW w:type="dxa" w:w="3120"/>
          </w:tcPr>
          <w:p>
            <w:pPr/>
            <w:r>
              <w:t>Hărți Interactive</w:t>
            </w:r>
          </w:p>
        </w:tc>
        <w:tc>
          <w:tcPr>
            <w:tcW w:type="dxa" w:w="3120"/>
          </w:tcPr>
          <w:p>
            <w:pPr/>
            <w:r>
              <w:t>Mapbox GL JS / Leaflet.js</w:t>
            </w:r>
          </w:p>
        </w:tc>
        <w:tc>
          <w:tcPr>
            <w:tcW w:type="dxa" w:w="3120"/>
          </w:tcPr>
          <w:p>
            <w:pPr/>
            <w:r>
              <w:t>Vizualizarea poligoanelor de cluster și a rutelor live</w:t>
            </w:r>
          </w:p>
        </w:tc>
      </w:tr>
      <w:tr>
        <w:tc>
          <w:tcPr>
            <w:tcW w:type="dxa" w:w="3120"/>
          </w:tcPr>
          <w:p>
            <w:pPr/>
            <w:r>
              <w:t>Backend API Core</w:t>
            </w:r>
          </w:p>
        </w:tc>
        <w:tc>
          <w:tcPr>
            <w:tcW w:type="dxa" w:w="3120"/>
          </w:tcPr>
          <w:p>
            <w:pPr/>
            <w:r>
              <w:t>Python (FastAPI)</w:t>
            </w:r>
          </w:p>
        </w:tc>
        <w:tc>
          <w:tcPr>
            <w:tcW w:type="dxa" w:w="3120"/>
          </w:tcPr>
          <w:p>
            <w:pPr/>
            <w:r>
              <w:t>I/O asincron, integrare nativă cu librării ML/AI</w:t>
            </w:r>
          </w:p>
        </w:tc>
      </w:tr>
      <w:tr>
        <w:tc>
          <w:tcPr>
            <w:tcW w:type="dxa" w:w="3120"/>
          </w:tcPr>
          <w:p>
            <w:pPr/>
            <w:r>
              <w:t>Bază de Date Spațială</w:t>
            </w:r>
          </w:p>
        </w:tc>
        <w:tc>
          <w:tcPr>
            <w:tcW w:type="dxa" w:w="3120"/>
          </w:tcPr>
          <w:p>
            <w:pPr/>
            <w:r>
              <w:t>PostgreSQL + PostGIS</w:t>
            </w:r>
          </w:p>
        </w:tc>
        <w:tc>
          <w:tcPr>
            <w:tcW w:type="dxa" w:w="3120"/>
          </w:tcPr>
          <w:p>
            <w:pPr/>
            <w:r>
              <w:t>Stocarea coordonatelor vectoriale, interogări geografice KNN</w:t>
            </w:r>
          </w:p>
        </w:tc>
      </w:tr>
      <w:tr>
        <w:tc>
          <w:tcPr>
            <w:tcW w:type="dxa" w:w="3120"/>
          </w:tcPr>
          <w:p>
            <w:pPr/>
            <w:r>
              <w:t>AI &amp; Optimizare</w:t>
            </w:r>
          </w:p>
        </w:tc>
        <w:tc>
          <w:tcPr>
            <w:tcW w:type="dxa" w:w="3120"/>
          </w:tcPr>
          <w:p>
            <w:pPr/>
            <w:r>
              <w:t>Scikit-Learn, Google OR-Tools, XGBoost</w:t>
            </w:r>
          </w:p>
        </w:tc>
        <w:tc>
          <w:tcPr>
            <w:tcW w:type="dxa" w:w="3120"/>
          </w:tcPr>
          <w:p>
            <w:pPr/>
            <w:r>
              <w:t>Algoritmi de clustering, VRP, Bin Packing, forecasting</w:t>
            </w:r>
          </w:p>
        </w:tc>
      </w:tr>
      <w:tr>
        <w:tc>
          <w:tcPr>
            <w:tcW w:type="dxa" w:w="3120"/>
          </w:tcPr>
          <w:p>
            <w:pPr/>
            <w:r>
              <w:t>Engine Rutare Graf</w:t>
            </w:r>
          </w:p>
        </w:tc>
        <w:tc>
          <w:tcPr>
            <w:tcW w:type="dxa" w:w="3120"/>
          </w:tcPr>
          <w:p>
            <w:pPr/>
            <w:r>
              <w:t>OSRM (Open Source Routing Machine)</w:t>
            </w:r>
          </w:p>
        </w:tc>
        <w:tc>
          <w:tcPr>
            <w:tcW w:type="dxa" w:w="3120"/>
          </w:tcPr>
          <w:p>
            <w:pPr/>
            <w:r>
              <w:t>Calcul de matrice de distanțe rutiere reale în ms</w:t>
            </w:r>
          </w:p>
        </w:tc>
      </w:tr>
      <w:tr>
        <w:tc>
          <w:tcPr>
            <w:tcW w:type="dxa" w:w="3120"/>
          </w:tcPr>
          <w:p>
            <w:pPr/>
            <w:r>
              <w:t>Real-time Engine</w:t>
            </w:r>
          </w:p>
        </w:tc>
        <w:tc>
          <w:tcPr>
            <w:tcW w:type="dxa" w:w="3120"/>
          </w:tcPr>
          <w:p>
            <w:pPr/>
            <w:r>
              <w:t>Socket.io / WebSockets</w:t>
            </w:r>
          </w:p>
        </w:tc>
        <w:tc>
          <w:tcPr>
            <w:tcW w:type="dxa" w:w="3120"/>
          </w:tcPr>
          <w:p>
            <w:pPr/>
            <w:r>
              <w:t>Actualizări live privind starea mașinilor pe hartă</w:t>
            </w:r>
          </w:p>
        </w:tc>
      </w:tr>
    </w:tbl>
    <w:p>
      <w:pPr>
        <w:spacing w:after="240"/>
      </w:pPr>
    </w:p>
    <w:p>
      <w:pPr>
        <w:spacing w:before="360" w:after="160"/>
        <w:pBdr>
          <w:bottom w:val="single" w:sz="12" w:space="4" w:color="102C57"/>
        </w:pBdr>
      </w:pPr>
      <w:r>
        <w:rPr>
          <w:rFonts w:ascii="Arial" w:hAnsi="Arial"/>
          <w:b/>
          <w:color w:val="102C57"/>
          <w:sz w:val="36"/>
        </w:rPr>
        <w:t>4. Structura Bazei de Date (PostgreSQL + PostGIS)</w:t>
      </w:r>
    </w:p>
    <w:p>
      <w:r>
        <w:t>Schema relațională include suport spațial (SRID 4326) pentru calcul rapid de distanțe geografice:</w:t>
      </w:r>
    </w:p>
    <w:p>
      <w:pPr>
        <w:pStyle w:val="ListBullet"/>
      </w:pPr>
      <w:r>
        <w:rPr>
          <w:b/>
        </w:rPr>
        <w:t xml:space="preserve">Tabela companies: </w:t>
      </w:r>
      <w:r>
        <w:t>id, name, type (SME/Carrier/Supplier), address, location (GEOMETRY Point)</w:t>
      </w:r>
    </w:p>
    <w:p>
      <w:pPr>
        <w:pStyle w:val="ListBullet"/>
      </w:pPr>
      <w:r>
        <w:rPr>
          <w:b/>
        </w:rPr>
        <w:t xml:space="preserve">Tabela orders: </w:t>
      </w:r>
      <w:r>
        <w:t>id, company_id, volume_m3, weight_kg, status, delivery_window_start/end, pickup_loc, dropoff_loc</w:t>
      </w:r>
    </w:p>
    <w:p>
      <w:pPr>
        <w:pStyle w:val="ListBullet"/>
      </w:pPr>
      <w:r>
        <w:rPr>
          <w:b/>
        </w:rPr>
        <w:t xml:space="preserve">Tabela group_buy_clusters: </w:t>
      </w:r>
      <w:r>
        <w:t>id, status, total_volume, total_weight, estimated_discount, route_geometry (GEOMETRY LineString)</w:t>
      </w:r>
    </w:p>
    <w:p>
      <w:pPr>
        <w:pStyle w:val="ListBullet"/>
      </w:pPr>
      <w:r>
        <w:rPr>
          <w:b/>
        </w:rPr>
        <w:t xml:space="preserve">Tabela vehicles: </w:t>
      </w:r>
      <w:r>
        <w:t>id, carrier_id, capacity_m3, max_weight_kg, current_city, status, current_location (GEOMETRY Point)</w:t>
      </w:r>
    </w:p>
    <w:p>
      <w:pPr>
        <w:pStyle w:val="ListBullet"/>
      </w:pPr>
      <w:r>
        <w:rPr>
          <w:b/>
        </w:rPr>
        <w:t xml:space="preserve">Tabela routes: </w:t>
      </w:r>
      <w:r>
        <w:t>id, vehicle_id, cluster_id, waypoints_json, total_distance_km, estimated_time_min, co2_saved_kg</w:t>
      </w:r>
    </w:p>
    <w:p>
      <w:pPr>
        <w:spacing w:before="360" w:after="160"/>
        <w:pBdr>
          <w:bottom w:val="single" w:sz="12" w:space="4" w:color="102C57"/>
        </w:pBdr>
      </w:pPr>
      <w:r>
        <w:rPr>
          <w:rFonts w:ascii="Arial" w:hAnsi="Arial"/>
          <w:b/>
          <w:color w:val="102C57"/>
          <w:sz w:val="36"/>
        </w:rPr>
        <w:t>5. Scenariu Real de Demonstrație și Impact Economic (Studiu de Caz Moldova)</w:t>
      </w:r>
    </w:p>
    <w:p>
      <w:r>
        <w:t>Pentru susținerea licenței la UTM, s-a configurat un scenariu de simulare bazat pe date geografice reale din Republica Moldova:</w:t>
      </w:r>
    </w:p>
    <w:p>
      <w:pPr>
        <w:pStyle w:val="ListBullet"/>
      </w:pPr>
      <w:r>
        <w:rPr>
          <w:b/>
        </w:rPr>
        <w:t>Mici comercianți:</w:t>
      </w:r>
      <w:r>
        <w:t xml:space="preserve"> 15 magazine alimentare de tip boutique localizate în Bălți, Orhei și Ungheni.</w:t>
      </w:r>
    </w:p>
    <w:p>
      <w:pPr>
        <w:pStyle w:val="ListBullet"/>
      </w:pPr>
      <w:r>
        <w:rPr>
          <w:b/>
        </w:rPr>
        <w:t>Furnizori:</w:t>
      </w:r>
      <w:r>
        <w:t xml:space="preserve"> 2 depozite angro principale localizate în Chișinău.</w:t>
      </w:r>
    </w:p>
    <w:p>
      <w:pPr>
        <w:pStyle w:val="ListBullet"/>
      </w:pPr>
      <w:r>
        <w:rPr>
          <w:b/>
        </w:rPr>
        <w:t>Transportatori:</w:t>
      </w:r>
      <w:r>
        <w:t xml:space="preserve"> 3 vehicule disponibile (1 în Chișinău, 1 în tranzit spre Bălți, 1 în Comrat).</w:t>
      </w:r>
    </w:p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E0E0E0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02C57"/>
          </w:tcPr>
          <w:p>
            <w:r>
              <w:rPr>
                <w:b/>
                <w:color w:val="FFFFFF"/>
              </w:rPr>
              <w:t>Indicator / Metrică</w:t>
            </w:r>
          </w:p>
        </w:tc>
        <w:tc>
          <w:tcPr>
            <w:tcW w:type="dxa" w:w="2340"/>
            <w:shd w:fill="102C57"/>
          </w:tcPr>
          <w:p>
            <w:r>
              <w:rPr>
                <w:b/>
                <w:color w:val="FFFFFF"/>
              </w:rPr>
              <w:t>Fără Sistem (Standard)</w:t>
            </w:r>
          </w:p>
        </w:tc>
        <w:tc>
          <w:tcPr>
            <w:tcW w:type="dxa" w:w="2340"/>
            <w:shd w:fill="102C57"/>
          </w:tcPr>
          <w:p>
            <w:r>
              <w:rPr>
                <w:b/>
                <w:color w:val="FFFFFF"/>
              </w:rPr>
              <w:t>Cu Sistemul OptiFleet B2B</w:t>
            </w:r>
          </w:p>
        </w:tc>
        <w:tc>
          <w:tcPr>
            <w:tcW w:type="dxa" w:w="2340"/>
            <w:shd w:fill="102C57"/>
          </w:tcPr>
          <w:p>
            <w:r>
              <w:rPr>
                <w:b/>
                <w:color w:val="FFFFFF"/>
              </w:rPr>
              <w:t>Îmbunătățire %</w:t>
            </w:r>
          </w:p>
        </w:tc>
      </w:tr>
      <w:tr>
        <w:tc>
          <w:tcPr>
            <w:tcW w:type="dxa" w:w="2340"/>
          </w:tcPr>
          <w:p>
            <w:r>
              <w:t>Număr Curse Executate</w:t>
            </w:r>
          </w:p>
        </w:tc>
        <w:tc>
          <w:tcPr>
            <w:tcW w:type="dxa" w:w="2340"/>
          </w:tcPr>
          <w:p>
            <w:r>
              <w:t>15 curse individuale</w:t>
            </w:r>
          </w:p>
        </w:tc>
        <w:tc>
          <w:tcPr>
            <w:tcW w:type="dxa" w:w="2340"/>
          </w:tcPr>
          <w:p>
            <w:r>
              <w:t>3 curse de grupaj</w:t>
            </w:r>
          </w:p>
        </w:tc>
        <w:tc>
          <w:tcPr>
            <w:tcW w:type="dxa" w:w="2340"/>
          </w:tcPr>
          <w:p>
            <w:r>
              <w:rPr>
                <w:b/>
              </w:rPr>
              <w:t>-80% curse</w:t>
            </w:r>
          </w:p>
        </w:tc>
      </w:tr>
      <w:tr>
        <w:tc>
          <w:tcPr>
            <w:tcW w:type="dxa" w:w="2340"/>
          </w:tcPr>
          <w:p>
            <w:r>
              <w:t>Grad Mediu Ocupare Camion</w:t>
            </w:r>
          </w:p>
        </w:tc>
        <w:tc>
          <w:tcPr>
            <w:tcW w:type="dxa" w:w="2340"/>
          </w:tcPr>
          <w:p>
            <w:r>
              <w:t>~35%</w:t>
            </w:r>
          </w:p>
        </w:tc>
        <w:tc>
          <w:tcPr>
            <w:tcW w:type="dxa" w:w="2340"/>
          </w:tcPr>
          <w:p>
            <w:r>
              <w:t>88%</w:t>
            </w:r>
          </w:p>
        </w:tc>
        <w:tc>
          <w:tcPr>
            <w:tcW w:type="dxa" w:w="2340"/>
          </w:tcPr>
          <w:p>
            <w:r>
              <w:rPr>
                <w:b/>
              </w:rPr>
              <w:t>+151% eficientizare</w:t>
            </w:r>
          </w:p>
        </w:tc>
      </w:tr>
      <w:tr>
        <w:tc>
          <w:tcPr>
            <w:tcW w:type="dxa" w:w="2340"/>
          </w:tcPr>
          <w:p>
            <w:r>
              <w:t>Km Parcurși în Gol (Deadhead)</w:t>
            </w:r>
          </w:p>
        </w:tc>
        <w:tc>
          <w:tcPr>
            <w:tcW w:type="dxa" w:w="2340"/>
          </w:tcPr>
          <w:p>
            <w:r>
              <w:t>420 km</w:t>
            </w:r>
          </w:p>
        </w:tc>
        <w:tc>
          <w:tcPr>
            <w:tcW w:type="dxa" w:w="2340"/>
          </w:tcPr>
          <w:p>
            <w:r>
              <w:t>65 km</w:t>
            </w:r>
          </w:p>
        </w:tc>
        <w:tc>
          <w:tcPr>
            <w:tcW w:type="dxa" w:w="2340"/>
          </w:tcPr>
          <w:p>
            <w:r>
              <w:rPr>
                <w:b/>
              </w:rPr>
              <w:t>-84.5% km risipiți</w:t>
            </w:r>
          </w:p>
        </w:tc>
      </w:tr>
      <w:tr>
        <w:tc>
          <w:tcPr>
            <w:tcW w:type="dxa" w:w="2340"/>
          </w:tcPr>
          <w:p>
            <w:r>
              <w:t>Cost Mediu Transport / Magazin</w:t>
            </w:r>
          </w:p>
        </w:tc>
        <w:tc>
          <w:tcPr>
            <w:tcW w:type="dxa" w:w="2340"/>
          </w:tcPr>
          <w:p>
            <w:r>
              <w:t>1200 MDL</w:t>
            </w:r>
          </w:p>
        </w:tc>
        <w:tc>
          <w:tcPr>
            <w:tcW w:type="dxa" w:w="2340"/>
          </w:tcPr>
          <w:p>
            <w:r>
              <w:t>450 MDL</w:t>
            </w:r>
          </w:p>
        </w:tc>
        <w:tc>
          <w:tcPr>
            <w:tcW w:type="dxa" w:w="2340"/>
          </w:tcPr>
          <w:p>
            <w:r>
              <w:rPr>
                <w:b/>
              </w:rPr>
              <w:t>-62.5% reducere cost</w:t>
            </w:r>
          </w:p>
        </w:tc>
      </w:tr>
      <w:tr>
        <w:tc>
          <w:tcPr>
            <w:tcW w:type="dxa" w:w="2340"/>
          </w:tcPr>
          <w:p>
            <w:r>
              <w:t>Emisii CO2 Estimate</w:t>
            </w:r>
          </w:p>
        </w:tc>
        <w:tc>
          <w:tcPr>
            <w:tcW w:type="dxa" w:w="2340"/>
          </w:tcPr>
          <w:p>
            <w:r>
              <w:t>~380 kg CO2</w:t>
            </w:r>
          </w:p>
        </w:tc>
        <w:tc>
          <w:tcPr>
            <w:tcW w:type="dxa" w:w="2340"/>
          </w:tcPr>
          <w:p>
            <w:r>
              <w:t>~110 kg CO2</w:t>
            </w:r>
          </w:p>
        </w:tc>
        <w:tc>
          <w:tcPr>
            <w:tcW w:type="dxa" w:w="2340"/>
          </w:tcPr>
          <w:p>
            <w:r>
              <w:rPr>
                <w:b/>
              </w:rPr>
              <w:t>-71% impact mediu</w:t>
            </w:r>
          </w:p>
        </w:tc>
      </w:tr>
    </w:tbl>
    <w:p>
      <w:pPr>
        <w:spacing w:after="240"/>
      </w:pPr>
    </w:p>
    <w:p>
      <w:pPr>
        <w:spacing w:before="360" w:after="160"/>
        <w:pBdr>
          <w:bottom w:val="single" w:sz="12" w:space="4" w:color="102C57"/>
        </w:pBdr>
      </w:pPr>
      <w:r>
        <w:rPr>
          <w:rFonts w:ascii="Arial" w:hAnsi="Arial"/>
          <w:b/>
          <w:color w:val="102C57"/>
          <w:sz w:val="36"/>
        </w:rPr>
        <w:t>6. Plan de Implementare Etapizat (4 Luni)</w:t>
      </w:r>
    </w:p>
    <w:p>
      <w:r>
        <w:rPr>
          <w:b/>
          <w:color w:val="35A29F"/>
        </w:rPr>
        <w:t xml:space="preserve">Luna 1: Design &amp; Infrastructure Setup: </w:t>
      </w:r>
      <w:r>
        <w:t>Proiectarea bazei de date PostGIS, configurarea API-ului FastAPI, integrarea serviciilor de hărți (Mapbox &amp; OSRM) și definirea modelelor de date.</w:t>
      </w:r>
    </w:p>
    <w:p>
      <w:r>
        <w:rPr>
          <w:b/>
          <w:color w:val="35A29F"/>
        </w:rPr>
        <w:t xml:space="preserve">Luna 2: Core ML &amp; Clustering Engine: </w:t>
      </w:r>
      <w:r>
        <w:t>Implementarea algoritmului de clustering spațial DBSCAN, a modelului de predicție a prețurilor (XGBoost) și a modulului de Group-Buying.</w:t>
      </w:r>
    </w:p>
    <w:p>
      <w:r>
        <w:rPr>
          <w:b/>
          <w:color w:val="35A29F"/>
        </w:rPr>
        <w:t xml:space="preserve">Luna 3: Optimization &amp; Fleet Relocation: </w:t>
      </w:r>
      <w:r>
        <w:t>Integrarea Google OR-Tools pentru VRP multi-stop, algoritmul 3D Bin Packing și logica de potrivire a vehiculelor inter-orașe (KNN + Cost marginal).</w:t>
      </w:r>
    </w:p>
    <w:p>
      <w:r>
        <w:rPr>
          <w:b/>
          <w:color w:val="35A29F"/>
        </w:rPr>
        <w:t xml:space="preserve">Luna 4: AI Copilot, UI Dashboard &amp; Testing: </w:t>
      </w:r>
      <w:r>
        <w:t>Implementarea agentului conversațional AI (LLM / OCR), finalizarea interfeței Next.js/Tailwind, rularea simulărilor pe dataset-ul din Moldova și redactarea tezei de licență.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Arial" w:hAnsi="Arial"/>
      <w:color w:val="32323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