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9AE1D" w14:textId="1AF5CE47" w:rsidR="006920FD" w:rsidRPr="00823B29" w:rsidRDefault="00CC3FD3" w:rsidP="006920FD">
      <w:pPr>
        <w:jc w:val="both"/>
        <w:rPr>
          <w:rFonts w:ascii="Times New Roman" w:hAnsi="Times New Roman" w:cs="Times New Roman"/>
          <w:color w:val="FF0000"/>
          <w:lang w:val="en-US"/>
        </w:rPr>
      </w:pPr>
      <w:r>
        <w:rPr>
          <w:rFonts w:ascii="Times New Roman" w:hAnsi="Times New Roman" w:cs="Times New Roman"/>
          <w:color w:val="FF0000"/>
          <w:lang w:val="en-US"/>
        </w:rPr>
        <w:t>Supplementary Material – D</w:t>
      </w:r>
      <w:r w:rsidR="006920FD" w:rsidRPr="00823B29">
        <w:rPr>
          <w:rFonts w:ascii="Times New Roman" w:hAnsi="Times New Roman" w:cs="Times New Roman"/>
          <w:color w:val="FF0000"/>
          <w:lang w:val="en-US"/>
        </w:rPr>
        <w:t xml:space="preserve">: Descriptive </w:t>
      </w:r>
      <w:r w:rsidR="00F12DE1">
        <w:rPr>
          <w:rFonts w:ascii="Times New Roman" w:hAnsi="Times New Roman" w:cs="Times New Roman"/>
          <w:color w:val="FF0000"/>
          <w:lang w:val="en-US"/>
        </w:rPr>
        <w:t>S</w:t>
      </w:r>
      <w:r w:rsidR="006920FD" w:rsidRPr="00823B29">
        <w:rPr>
          <w:rFonts w:ascii="Times New Roman" w:hAnsi="Times New Roman" w:cs="Times New Roman"/>
          <w:color w:val="FF0000"/>
          <w:lang w:val="en-US"/>
        </w:rPr>
        <w:t xml:space="preserve">tatistics and </w:t>
      </w:r>
      <w:r w:rsidR="00F12DE1">
        <w:rPr>
          <w:rFonts w:ascii="Times New Roman" w:hAnsi="Times New Roman" w:cs="Times New Roman"/>
          <w:color w:val="FF0000"/>
          <w:lang w:val="en-US"/>
        </w:rPr>
        <w:t>C</w:t>
      </w:r>
      <w:r w:rsidR="006920FD" w:rsidRPr="00823B29">
        <w:rPr>
          <w:rFonts w:ascii="Times New Roman" w:hAnsi="Times New Roman" w:cs="Times New Roman"/>
          <w:color w:val="FF0000"/>
          <w:lang w:val="en-US"/>
        </w:rPr>
        <w:t xml:space="preserve">orrelation </w:t>
      </w:r>
      <w:r w:rsidR="00F12DE1">
        <w:rPr>
          <w:rFonts w:ascii="Times New Roman" w:hAnsi="Times New Roman" w:cs="Times New Roman"/>
          <w:color w:val="FF0000"/>
          <w:lang w:val="en-US"/>
        </w:rPr>
        <w:t>A</w:t>
      </w:r>
      <w:r w:rsidR="006920FD" w:rsidRPr="00823B29">
        <w:rPr>
          <w:rFonts w:ascii="Times New Roman" w:hAnsi="Times New Roman" w:cs="Times New Roman"/>
          <w:color w:val="FF0000"/>
          <w:lang w:val="en-US"/>
        </w:rPr>
        <w:t>nalysis</w:t>
      </w:r>
    </w:p>
    <w:p w14:paraId="7BE97FF2" w14:textId="77777777" w:rsidR="003E1E29" w:rsidRPr="00B664AE" w:rsidRDefault="003E1E29" w:rsidP="003E1E29">
      <w:pPr>
        <w:spacing w:after="0"/>
        <w:ind w:firstLine="709"/>
        <w:jc w:val="both"/>
        <w:rPr>
          <w:rFonts w:ascii="Times New Roman" w:hAnsi="Times New Roman" w:cs="Times New Roman"/>
          <w:color w:val="FF0000"/>
          <w:lang w:val="en-US"/>
        </w:rPr>
      </w:pPr>
      <w:r w:rsidRPr="00B664AE">
        <w:rPr>
          <w:rFonts w:ascii="Times New Roman" w:hAnsi="Times New Roman" w:cs="Times New Roman"/>
          <w:color w:val="FF0000"/>
          <w:lang w:val="en-US"/>
        </w:rPr>
        <w:t>From a statistical point of view, in order to gain insights related to the data trends, a descriptive statistical analysis was performed against each variable under consideration. Specific Key statistical indicators were taken into account, such as the mean, median, and standard deviation, by their computation providing a better understanding of the data distribution whilst also increasing the comprehension about how accessibility and other services vary across Bucharest's districts.</w:t>
      </w:r>
    </w:p>
    <w:p w14:paraId="47DE5489" w14:textId="77777777" w:rsidR="003E1E29" w:rsidRPr="00B664AE" w:rsidRDefault="003E1E29" w:rsidP="003E1E29">
      <w:pPr>
        <w:spacing w:after="0"/>
        <w:ind w:firstLine="709"/>
        <w:jc w:val="both"/>
        <w:rPr>
          <w:rFonts w:ascii="Times New Roman" w:hAnsi="Times New Roman" w:cs="Times New Roman"/>
          <w:color w:val="FF0000"/>
          <w:lang w:val="en-US"/>
        </w:rPr>
      </w:pPr>
      <w:r w:rsidRPr="00B664AE">
        <w:rPr>
          <w:rFonts w:ascii="Times New Roman" w:hAnsi="Times New Roman" w:cs="Times New Roman"/>
          <w:color w:val="FF0000"/>
          <w:lang w:val="en-US"/>
        </w:rPr>
        <w:t xml:space="preserve">More than this, the </w:t>
      </w:r>
      <w:r w:rsidRPr="00B664AE">
        <w:rPr>
          <w:rFonts w:ascii="Times New Roman" w:hAnsi="Times New Roman" w:cs="Times New Roman"/>
          <w:i/>
          <w:iCs/>
          <w:color w:val="FF0000"/>
          <w:lang w:val="en-US"/>
        </w:rPr>
        <w:t>&lt;&lt;seaborn&gt;&gt;</w:t>
      </w:r>
      <w:r w:rsidRPr="00B664AE">
        <w:rPr>
          <w:rFonts w:ascii="Times New Roman" w:hAnsi="Times New Roman" w:cs="Times New Roman"/>
          <w:color w:val="FF0000"/>
          <w:lang w:val="en-US"/>
        </w:rPr>
        <w:t xml:space="preserve"> library was used in order to explore the relationships between the selected variables for walkability and </w:t>
      </w:r>
      <w:proofErr w:type="spellStart"/>
      <w:r w:rsidRPr="00B664AE">
        <w:rPr>
          <w:rFonts w:ascii="Times New Roman" w:hAnsi="Times New Roman" w:cs="Times New Roman"/>
          <w:color w:val="FF0000"/>
          <w:lang w:val="en-US"/>
        </w:rPr>
        <w:t>bikeability</w:t>
      </w:r>
      <w:proofErr w:type="spellEnd"/>
      <w:r w:rsidRPr="00B664AE">
        <w:rPr>
          <w:rFonts w:ascii="Times New Roman" w:hAnsi="Times New Roman" w:cs="Times New Roman"/>
          <w:color w:val="FF0000"/>
          <w:lang w:val="en-US"/>
        </w:rPr>
        <w:t>, possible only with the help of correlation matrices.</w:t>
      </w:r>
    </w:p>
    <w:p w14:paraId="375DDBB8" w14:textId="77777777" w:rsidR="003E1E29" w:rsidRPr="00B664AE" w:rsidRDefault="003E1E29" w:rsidP="003E1E29">
      <w:pPr>
        <w:spacing w:after="0"/>
        <w:jc w:val="both"/>
        <w:rPr>
          <w:rFonts w:ascii="Times New Roman" w:hAnsi="Times New Roman" w:cs="Times New Roman"/>
          <w:color w:val="FF0000"/>
          <w:lang w:val="en-US"/>
        </w:rPr>
      </w:pPr>
      <w:r w:rsidRPr="00B664AE">
        <w:rPr>
          <w:rFonts w:ascii="Times New Roman" w:hAnsi="Times New Roman" w:cs="Times New Roman"/>
          <w:color w:val="FF0000"/>
          <w:lang w:val="en-US"/>
        </w:rPr>
        <w:t xml:space="preserve">Following this, a geospatial analysis of accessibility was conducted. The </w:t>
      </w:r>
      <w:r w:rsidRPr="00B664AE">
        <w:rPr>
          <w:rFonts w:ascii="Times New Roman" w:hAnsi="Times New Roman" w:cs="Times New Roman"/>
          <w:i/>
          <w:iCs/>
          <w:color w:val="FF0000"/>
          <w:lang w:val="en-US"/>
        </w:rPr>
        <w:t>&lt;&lt;</w:t>
      </w:r>
      <w:proofErr w:type="spellStart"/>
      <w:r w:rsidRPr="00B664AE">
        <w:rPr>
          <w:rFonts w:ascii="Times New Roman" w:hAnsi="Times New Roman" w:cs="Times New Roman"/>
          <w:i/>
          <w:iCs/>
          <w:color w:val="FF0000"/>
          <w:lang w:val="en-US"/>
        </w:rPr>
        <w:t>geopandas</w:t>
      </w:r>
      <w:proofErr w:type="spellEnd"/>
      <w:r w:rsidRPr="00B664AE">
        <w:rPr>
          <w:rFonts w:ascii="Times New Roman" w:hAnsi="Times New Roman" w:cs="Times New Roman"/>
          <w:i/>
          <w:iCs/>
          <w:color w:val="FF0000"/>
          <w:lang w:val="en-US"/>
        </w:rPr>
        <w:t xml:space="preserve">&gt;&gt; </w:t>
      </w:r>
      <w:r w:rsidRPr="00B664AE">
        <w:rPr>
          <w:rFonts w:ascii="Times New Roman" w:hAnsi="Times New Roman" w:cs="Times New Roman"/>
          <w:color w:val="FF0000"/>
          <w:lang w:val="en-US"/>
        </w:rPr>
        <w:t>library was utilized to visualize the average accessibility—both by foot and bicycle—across Bucharest's districts. Data were categorized into time intervals (e.g., 0–5 minutes, 5–10 minutes, 10–15 minutes), allowing for the identification of areas with high or low accessibility. The resulting maps provided a clear visualization of the spatial distribution of accessibility over time.</w:t>
      </w:r>
    </w:p>
    <w:p w14:paraId="2967530A" w14:textId="77777777" w:rsidR="003E1E29" w:rsidRDefault="003E1E29" w:rsidP="006920FD">
      <w:pPr>
        <w:pStyle w:val="MDPI31text"/>
        <w:spacing w:line="240" w:lineRule="auto"/>
        <w:rPr>
          <w:rFonts w:ascii="Times New Roman" w:hAnsi="Times New Roman"/>
          <w:color w:val="FF0000"/>
          <w:sz w:val="22"/>
        </w:rPr>
      </w:pPr>
    </w:p>
    <w:p w14:paraId="3E49623C" w14:textId="68C00406" w:rsidR="006920FD" w:rsidRPr="00FF5C1C" w:rsidRDefault="00287C0C" w:rsidP="006920FD">
      <w:pPr>
        <w:pStyle w:val="MDPI31text"/>
        <w:spacing w:line="240" w:lineRule="auto"/>
        <w:rPr>
          <w:rFonts w:ascii="Times New Roman" w:hAnsi="Times New Roman"/>
          <w:color w:val="FF0000"/>
          <w:sz w:val="22"/>
        </w:rPr>
      </w:pPr>
      <w:r w:rsidRPr="00FF5C1C">
        <w:rPr>
          <w:rFonts w:ascii="Times New Roman" w:hAnsi="Times New Roman"/>
          <w:color w:val="FF0000"/>
          <w:sz w:val="22"/>
        </w:rPr>
        <w:t xml:space="preserve">Summary of the information in </w:t>
      </w:r>
      <w:r w:rsidR="00347587" w:rsidRPr="00FF5C1C">
        <w:rPr>
          <w:rFonts w:ascii="Times New Roman" w:hAnsi="Times New Roman"/>
          <w:color w:val="FF0000"/>
          <w:sz w:val="22"/>
        </w:rPr>
        <w:t>Table A.1.</w:t>
      </w:r>
      <w:r w:rsidRPr="00FF5C1C">
        <w:rPr>
          <w:rFonts w:ascii="Times New Roman" w:hAnsi="Times New Roman"/>
          <w:color w:val="FF0000"/>
          <w:sz w:val="22"/>
        </w:rPr>
        <w:t>:</w:t>
      </w:r>
    </w:p>
    <w:p w14:paraId="2DE577F2" w14:textId="77777777" w:rsidR="00BA2588" w:rsidRPr="00FF5C1C" w:rsidRDefault="00BA2588" w:rsidP="00287C0C">
      <w:pPr>
        <w:pStyle w:val="MDPI31text"/>
        <w:numPr>
          <w:ilvl w:val="0"/>
          <w:numId w:val="20"/>
        </w:numPr>
        <w:rPr>
          <w:rFonts w:ascii="Times New Roman" w:hAnsi="Times New Roman"/>
          <w:color w:val="FF0000"/>
          <w:sz w:val="22"/>
        </w:rPr>
      </w:pPr>
      <w:proofErr w:type="spellStart"/>
      <w:r w:rsidRPr="00FF5C1C">
        <w:rPr>
          <w:rFonts w:ascii="Times New Roman" w:hAnsi="Times New Roman"/>
          <w:color w:val="FF0000"/>
          <w:sz w:val="22"/>
          <w:lang w:val="ro-RO"/>
        </w:rPr>
        <w:t>High</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mean</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values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with</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regards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to</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variables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such</w:t>
      </w:r>
      <w:proofErr w:type="spellEnd"/>
      <w:r w:rsidRPr="00FF5C1C">
        <w:rPr>
          <w:rFonts w:ascii="Times New Roman" w:hAnsi="Times New Roman"/>
          <w:color w:val="FF0000"/>
          <w:sz w:val="22"/>
          <w:lang w:val="ro-RO"/>
        </w:rPr>
        <w:t xml:space="preserve"> as CEF (cultural </w:t>
      </w:r>
      <w:proofErr w:type="spellStart"/>
      <w:r w:rsidRPr="00FF5C1C">
        <w:rPr>
          <w:rFonts w:ascii="Times New Roman" w:hAnsi="Times New Roman"/>
          <w:color w:val="FF0000"/>
          <w:sz w:val="22"/>
          <w:lang w:val="ro-RO"/>
        </w:rPr>
        <w:t>activities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and</w:t>
      </w:r>
      <w:proofErr w:type="spellEnd"/>
      <w:r w:rsidRPr="00FF5C1C">
        <w:rPr>
          <w:rFonts w:ascii="Times New Roman" w:hAnsi="Times New Roman"/>
          <w:color w:val="FF0000"/>
          <w:sz w:val="22"/>
          <w:lang w:val="ro-RO"/>
        </w:rPr>
        <w:t xml:space="preserve"> LF (</w:t>
      </w:r>
      <w:proofErr w:type="spellStart"/>
      <w:r w:rsidRPr="00FF5C1C">
        <w:rPr>
          <w:rFonts w:ascii="Times New Roman" w:hAnsi="Times New Roman"/>
          <w:color w:val="FF0000"/>
          <w:sz w:val="22"/>
          <w:lang w:val="ro-RO"/>
        </w:rPr>
        <w:t>educational</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institutions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suggest</w:t>
      </w:r>
      <w:proofErr w:type="spellEnd"/>
      <w:r w:rsidRPr="00FF5C1C">
        <w:rPr>
          <w:rFonts w:ascii="Times New Roman" w:hAnsi="Times New Roman"/>
          <w:color w:val="FF0000"/>
          <w:sz w:val="22"/>
          <w:lang w:val="ro-RO"/>
        </w:rPr>
        <w:t xml:space="preserve"> a </w:t>
      </w:r>
      <w:proofErr w:type="spellStart"/>
      <w:r w:rsidRPr="00FF5C1C">
        <w:rPr>
          <w:rFonts w:ascii="Times New Roman" w:hAnsi="Times New Roman"/>
          <w:color w:val="FF0000"/>
          <w:sz w:val="22"/>
          <w:lang w:val="ro-RO"/>
        </w:rPr>
        <w:t>good</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accessibility</w:t>
      </w:r>
      <w:proofErr w:type="spellEnd"/>
      <w:r w:rsidRPr="00FF5C1C">
        <w:rPr>
          <w:rFonts w:ascii="Times New Roman" w:hAnsi="Times New Roman"/>
          <w:color w:val="FF0000"/>
          <w:sz w:val="22"/>
          <w:lang w:val="ro-RO"/>
        </w:rPr>
        <w:t xml:space="preserve"> in </w:t>
      </w:r>
      <w:proofErr w:type="spellStart"/>
      <w:r w:rsidRPr="00FF5C1C">
        <w:rPr>
          <w:rFonts w:ascii="Times New Roman" w:hAnsi="Times New Roman"/>
          <w:color w:val="FF0000"/>
          <w:sz w:val="22"/>
          <w:lang w:val="ro-RO"/>
        </w:rPr>
        <w:t>most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areas</w:t>
      </w:r>
      <w:proofErr w:type="spellEnd"/>
      <w:r w:rsidRPr="00FF5C1C">
        <w:rPr>
          <w:rFonts w:ascii="Times New Roman" w:hAnsi="Times New Roman"/>
          <w:color w:val="FF0000"/>
          <w:sz w:val="22"/>
          <w:lang w:val="ro-RO"/>
        </w:rPr>
        <w:t xml:space="preserve"> </w:t>
      </w:r>
    </w:p>
    <w:p w14:paraId="796A617B" w14:textId="77777777" w:rsidR="00BA2588" w:rsidRPr="00FF5C1C" w:rsidRDefault="00BA2588" w:rsidP="00287C0C">
      <w:pPr>
        <w:pStyle w:val="MDPI31text"/>
        <w:numPr>
          <w:ilvl w:val="0"/>
          <w:numId w:val="20"/>
        </w:numPr>
        <w:rPr>
          <w:rFonts w:ascii="Times New Roman" w:hAnsi="Times New Roman"/>
          <w:color w:val="FF0000"/>
          <w:sz w:val="22"/>
        </w:rPr>
      </w:pPr>
      <w:proofErr w:type="spellStart"/>
      <w:r w:rsidRPr="00FF5C1C">
        <w:rPr>
          <w:rFonts w:ascii="Times New Roman" w:hAnsi="Times New Roman"/>
          <w:color w:val="FF0000"/>
          <w:sz w:val="22"/>
          <w:lang w:val="ro-RO"/>
        </w:rPr>
        <w:t>Lower</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mean</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values</w:t>
      </w:r>
      <w:proofErr w:type="spellEnd"/>
      <w:r w:rsidRPr="00FF5C1C">
        <w:rPr>
          <w:rFonts w:ascii="Times New Roman" w:hAnsi="Times New Roman"/>
          <w:color w:val="FF0000"/>
          <w:sz w:val="22"/>
          <w:lang w:val="ro-RO"/>
        </w:rPr>
        <w:t xml:space="preserve"> for </w:t>
      </w:r>
      <w:proofErr w:type="spellStart"/>
      <w:r w:rsidRPr="00FF5C1C">
        <w:rPr>
          <w:rFonts w:ascii="Times New Roman" w:hAnsi="Times New Roman"/>
          <w:color w:val="FF0000"/>
          <w:sz w:val="22"/>
          <w:lang w:val="ro-RO"/>
        </w:rPr>
        <w:t>variables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like</w:t>
      </w:r>
      <w:proofErr w:type="spellEnd"/>
      <w:r w:rsidRPr="00FF5C1C">
        <w:rPr>
          <w:rFonts w:ascii="Times New Roman" w:hAnsi="Times New Roman"/>
          <w:color w:val="FF0000"/>
          <w:sz w:val="22"/>
          <w:lang w:val="ro-RO"/>
        </w:rPr>
        <w:t xml:space="preserve"> CMAF (</w:t>
      </w:r>
      <w:proofErr w:type="spellStart"/>
      <w:r w:rsidRPr="00FF5C1C">
        <w:rPr>
          <w:rFonts w:ascii="Times New Roman" w:hAnsi="Times New Roman"/>
          <w:color w:val="FF0000"/>
          <w:sz w:val="22"/>
          <w:lang w:val="ro-RO"/>
        </w:rPr>
        <w:t>transportation</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hubs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and</w:t>
      </w:r>
      <w:proofErr w:type="spellEnd"/>
      <w:r w:rsidRPr="00FF5C1C">
        <w:rPr>
          <w:rFonts w:ascii="Times New Roman" w:hAnsi="Times New Roman"/>
          <w:color w:val="FF0000"/>
          <w:sz w:val="22"/>
          <w:lang w:val="ro-RO"/>
        </w:rPr>
        <w:t xml:space="preserve"> SPF (</w:t>
      </w:r>
      <w:proofErr w:type="spellStart"/>
      <w:r w:rsidRPr="00FF5C1C">
        <w:rPr>
          <w:rFonts w:ascii="Times New Roman" w:hAnsi="Times New Roman"/>
          <w:color w:val="FF0000"/>
          <w:sz w:val="22"/>
          <w:lang w:val="ro-RO"/>
        </w:rPr>
        <w:t>food</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supply</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sources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highlight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less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accessibility</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to</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these</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facilities</w:t>
      </w:r>
      <w:proofErr w:type="spellEnd"/>
      <w:r w:rsidRPr="00FF5C1C">
        <w:rPr>
          <w:rFonts w:ascii="Times New Roman" w:hAnsi="Times New Roman"/>
          <w:color w:val="FF0000"/>
          <w:sz w:val="22"/>
          <w:lang w:val="ro-RO"/>
        </w:rPr>
        <w:t xml:space="preserve"> on </w:t>
      </w:r>
      <w:proofErr w:type="spellStart"/>
      <w:r w:rsidRPr="00FF5C1C">
        <w:rPr>
          <w:rFonts w:ascii="Times New Roman" w:hAnsi="Times New Roman"/>
          <w:color w:val="FF0000"/>
          <w:sz w:val="22"/>
          <w:lang w:val="ro-RO"/>
        </w:rPr>
        <w:t>foot</w:t>
      </w:r>
      <w:proofErr w:type="spellEnd"/>
      <w:r w:rsidRPr="00FF5C1C">
        <w:rPr>
          <w:rFonts w:ascii="Times New Roman" w:hAnsi="Times New Roman"/>
          <w:color w:val="FF0000"/>
          <w:sz w:val="22"/>
          <w:lang w:val="ro-RO"/>
        </w:rPr>
        <w:t>.</w:t>
      </w:r>
    </w:p>
    <w:p w14:paraId="38E99797" w14:textId="77777777" w:rsidR="00BA2588" w:rsidRPr="00FF5C1C" w:rsidRDefault="00BA2588" w:rsidP="00287C0C">
      <w:pPr>
        <w:pStyle w:val="MDPI31text"/>
        <w:numPr>
          <w:ilvl w:val="0"/>
          <w:numId w:val="20"/>
        </w:numPr>
        <w:rPr>
          <w:rFonts w:ascii="Times New Roman" w:hAnsi="Times New Roman"/>
          <w:color w:val="FF0000"/>
          <w:sz w:val="22"/>
        </w:rPr>
      </w:pPr>
      <w:proofErr w:type="spellStart"/>
      <w:r w:rsidRPr="00FF5C1C">
        <w:rPr>
          <w:rFonts w:ascii="Times New Roman" w:hAnsi="Times New Roman"/>
          <w:color w:val="FF0000"/>
          <w:sz w:val="22"/>
          <w:lang w:val="ro-RO"/>
        </w:rPr>
        <w:t>High</w:t>
      </w:r>
      <w:proofErr w:type="spellEnd"/>
      <w:r w:rsidRPr="00FF5C1C">
        <w:rPr>
          <w:rFonts w:ascii="Times New Roman" w:hAnsi="Times New Roman"/>
          <w:color w:val="FF0000"/>
          <w:sz w:val="22"/>
          <w:lang w:val="ro-RO"/>
        </w:rPr>
        <w:t xml:space="preserve"> standard </w:t>
      </w:r>
      <w:proofErr w:type="spellStart"/>
      <w:r w:rsidRPr="00FF5C1C">
        <w:rPr>
          <w:rFonts w:ascii="Times New Roman" w:hAnsi="Times New Roman"/>
          <w:color w:val="FF0000"/>
          <w:sz w:val="22"/>
          <w:lang w:val="ro-RO"/>
        </w:rPr>
        <w:t>deviations</w:t>
      </w:r>
      <w:proofErr w:type="spellEnd"/>
      <w:r w:rsidRPr="00FF5C1C">
        <w:rPr>
          <w:rFonts w:ascii="Times New Roman" w:hAnsi="Times New Roman"/>
          <w:color w:val="FF0000"/>
          <w:sz w:val="22"/>
          <w:lang w:val="ro-RO"/>
        </w:rPr>
        <w:t xml:space="preserve"> for </w:t>
      </w:r>
      <w:proofErr w:type="spellStart"/>
      <w:r w:rsidRPr="00FF5C1C">
        <w:rPr>
          <w:rFonts w:ascii="Times New Roman" w:hAnsi="Times New Roman"/>
          <w:color w:val="FF0000"/>
          <w:sz w:val="22"/>
          <w:lang w:val="ro-RO"/>
        </w:rPr>
        <w:t>variables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like</w:t>
      </w:r>
      <w:proofErr w:type="spellEnd"/>
      <w:r w:rsidRPr="00FF5C1C">
        <w:rPr>
          <w:rFonts w:ascii="Times New Roman" w:hAnsi="Times New Roman"/>
          <w:color w:val="FF0000"/>
          <w:sz w:val="22"/>
          <w:lang w:val="ro-RO"/>
        </w:rPr>
        <w:t xml:space="preserve"> EWF (</w:t>
      </w:r>
      <w:proofErr w:type="spellStart"/>
      <w:r w:rsidRPr="00FF5C1C">
        <w:rPr>
          <w:rFonts w:ascii="Times New Roman" w:hAnsi="Times New Roman"/>
          <w:color w:val="FF0000"/>
          <w:sz w:val="22"/>
          <w:lang w:val="ro-RO"/>
        </w:rPr>
        <w:t>restaurants</w:t>
      </w:r>
      <w:proofErr w:type="spellEnd"/>
      <w:r w:rsidRPr="00FF5C1C">
        <w:rPr>
          <w:rFonts w:ascii="Times New Roman" w:hAnsi="Times New Roman"/>
          <w:color w:val="FF0000"/>
          <w:sz w:val="22"/>
          <w:lang w:val="ro-RO"/>
        </w:rPr>
        <w:t xml:space="preserve">, 16.97 </w:t>
      </w:r>
      <w:proofErr w:type="spellStart"/>
      <w:r w:rsidRPr="00FF5C1C">
        <w:rPr>
          <w:rFonts w:ascii="Times New Roman" w:hAnsi="Times New Roman"/>
          <w:color w:val="FF0000"/>
          <w:sz w:val="22"/>
          <w:lang w:val="ro-RO"/>
        </w:rPr>
        <w:t>minutes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and</w:t>
      </w:r>
      <w:proofErr w:type="spellEnd"/>
      <w:r w:rsidRPr="00FF5C1C">
        <w:rPr>
          <w:rFonts w:ascii="Times New Roman" w:hAnsi="Times New Roman"/>
          <w:color w:val="FF0000"/>
          <w:sz w:val="22"/>
          <w:lang w:val="ro-RO"/>
        </w:rPr>
        <w:t xml:space="preserve"> LF (</w:t>
      </w:r>
      <w:proofErr w:type="spellStart"/>
      <w:r w:rsidRPr="00FF5C1C">
        <w:rPr>
          <w:rFonts w:ascii="Times New Roman" w:hAnsi="Times New Roman"/>
          <w:color w:val="FF0000"/>
          <w:sz w:val="22"/>
          <w:lang w:val="ro-RO"/>
        </w:rPr>
        <w:t>educational</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institutions</w:t>
      </w:r>
      <w:proofErr w:type="spellEnd"/>
      <w:r w:rsidRPr="00FF5C1C">
        <w:rPr>
          <w:rFonts w:ascii="Times New Roman" w:hAnsi="Times New Roman"/>
          <w:color w:val="FF0000"/>
          <w:sz w:val="22"/>
          <w:lang w:val="ro-RO"/>
        </w:rPr>
        <w:t xml:space="preserve">, 15.13 </w:t>
      </w:r>
      <w:proofErr w:type="spellStart"/>
      <w:r w:rsidRPr="00FF5C1C">
        <w:rPr>
          <w:rFonts w:ascii="Times New Roman" w:hAnsi="Times New Roman"/>
          <w:color w:val="FF0000"/>
          <w:sz w:val="22"/>
          <w:lang w:val="ro-RO"/>
        </w:rPr>
        <w:t>minutes</w:t>
      </w:r>
      <w:proofErr w:type="spellEnd"/>
      <w:r w:rsidRPr="00FF5C1C">
        <w:rPr>
          <w:rFonts w:ascii="Times New Roman" w:hAnsi="Times New Roman"/>
          <w:color w:val="FF0000"/>
          <w:sz w:val="22"/>
          <w:lang w:val="ro-RO"/>
        </w:rPr>
        <w:t xml:space="preserve">) reflect </w:t>
      </w:r>
      <w:proofErr w:type="spellStart"/>
      <w:r w:rsidRPr="00FF5C1C">
        <w:rPr>
          <w:rFonts w:ascii="Times New Roman" w:hAnsi="Times New Roman"/>
          <w:color w:val="FF0000"/>
          <w:sz w:val="22"/>
          <w:lang w:val="ro-RO"/>
        </w:rPr>
        <w:t>the</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presence</w:t>
      </w:r>
      <w:proofErr w:type="spellEnd"/>
      <w:r w:rsidRPr="00FF5C1C">
        <w:rPr>
          <w:rFonts w:ascii="Times New Roman" w:hAnsi="Times New Roman"/>
          <w:color w:val="FF0000"/>
          <w:sz w:val="22"/>
          <w:lang w:val="ro-RO"/>
        </w:rPr>
        <w:t xml:space="preserve"> of a </w:t>
      </w:r>
      <w:proofErr w:type="spellStart"/>
      <w:r w:rsidRPr="00FF5C1C">
        <w:rPr>
          <w:rFonts w:ascii="Times New Roman" w:hAnsi="Times New Roman"/>
          <w:color w:val="FF0000"/>
          <w:sz w:val="22"/>
          <w:lang w:val="ro-RO"/>
        </w:rPr>
        <w:t>significant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variability</w:t>
      </w:r>
      <w:proofErr w:type="spellEnd"/>
      <w:r w:rsidRPr="00FF5C1C">
        <w:rPr>
          <w:rFonts w:ascii="Times New Roman" w:hAnsi="Times New Roman"/>
          <w:color w:val="FF0000"/>
          <w:sz w:val="22"/>
          <w:lang w:val="ro-RO"/>
        </w:rPr>
        <w:t xml:space="preserve"> in </w:t>
      </w:r>
      <w:proofErr w:type="spellStart"/>
      <w:r w:rsidRPr="00FF5C1C">
        <w:rPr>
          <w:rFonts w:ascii="Times New Roman" w:hAnsi="Times New Roman"/>
          <w:color w:val="FF0000"/>
          <w:sz w:val="22"/>
          <w:lang w:val="ro-RO"/>
        </w:rPr>
        <w:t>accessibility</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across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areas</w:t>
      </w:r>
      <w:proofErr w:type="spellEnd"/>
      <w:r w:rsidRPr="00FF5C1C">
        <w:rPr>
          <w:rFonts w:ascii="Times New Roman" w:hAnsi="Times New Roman"/>
          <w:color w:val="FF0000"/>
          <w:sz w:val="22"/>
          <w:lang w:val="ro-RO"/>
        </w:rPr>
        <w:t>.</w:t>
      </w:r>
    </w:p>
    <w:p w14:paraId="72381CCB" w14:textId="77777777" w:rsidR="00BA2588" w:rsidRPr="00FF5C1C" w:rsidRDefault="00BA2588" w:rsidP="00287C0C">
      <w:pPr>
        <w:pStyle w:val="MDPI31text"/>
        <w:numPr>
          <w:ilvl w:val="0"/>
          <w:numId w:val="20"/>
        </w:numPr>
        <w:spacing w:line="240" w:lineRule="auto"/>
        <w:rPr>
          <w:rFonts w:ascii="Times New Roman" w:hAnsi="Times New Roman"/>
          <w:color w:val="FF0000"/>
          <w:sz w:val="22"/>
        </w:rPr>
      </w:pPr>
      <w:proofErr w:type="spellStart"/>
      <w:r w:rsidRPr="00FF5C1C">
        <w:rPr>
          <w:rFonts w:ascii="Times New Roman" w:hAnsi="Times New Roman"/>
          <w:color w:val="FF0000"/>
          <w:sz w:val="22"/>
          <w:lang w:val="ro-RO"/>
        </w:rPr>
        <w:t>Very</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low</w:t>
      </w:r>
      <w:proofErr w:type="spellEnd"/>
      <w:r w:rsidRPr="00FF5C1C">
        <w:rPr>
          <w:rFonts w:ascii="Times New Roman" w:hAnsi="Times New Roman"/>
          <w:color w:val="FF0000"/>
          <w:sz w:val="22"/>
          <w:lang w:val="ro-RO"/>
        </w:rPr>
        <w:t xml:space="preserve"> minimum </w:t>
      </w:r>
      <w:proofErr w:type="spellStart"/>
      <w:r w:rsidRPr="00FF5C1C">
        <w:rPr>
          <w:rFonts w:ascii="Times New Roman" w:hAnsi="Times New Roman"/>
          <w:color w:val="FF0000"/>
          <w:sz w:val="22"/>
          <w:lang w:val="ro-RO"/>
        </w:rPr>
        <w:t>values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sensibly</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close</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to</w:t>
      </w:r>
      <w:proofErr w:type="spellEnd"/>
      <w:r w:rsidRPr="00FF5C1C">
        <w:rPr>
          <w:rFonts w:ascii="Times New Roman" w:hAnsi="Times New Roman"/>
          <w:color w:val="FF0000"/>
          <w:sz w:val="22"/>
          <w:lang w:val="ro-RO"/>
        </w:rPr>
        <w:t xml:space="preserve"> zero, </w:t>
      </w:r>
      <w:proofErr w:type="spellStart"/>
      <w:r w:rsidRPr="00FF5C1C">
        <w:rPr>
          <w:rFonts w:ascii="Times New Roman" w:hAnsi="Times New Roman"/>
          <w:color w:val="FF0000"/>
          <w:sz w:val="22"/>
          <w:lang w:val="ro-RO"/>
        </w:rPr>
        <w:t>explain</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regions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that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either</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have</w:t>
      </w:r>
      <w:proofErr w:type="spellEnd"/>
      <w:r w:rsidRPr="00FF5C1C">
        <w:rPr>
          <w:rFonts w:ascii="Times New Roman" w:hAnsi="Times New Roman"/>
          <w:color w:val="FF0000"/>
          <w:sz w:val="22"/>
          <w:lang w:val="ro-RO"/>
        </w:rPr>
        <w:t xml:space="preserve"> limited </w:t>
      </w:r>
      <w:proofErr w:type="spellStart"/>
      <w:r w:rsidRPr="00FF5C1C">
        <w:rPr>
          <w:rFonts w:ascii="Times New Roman" w:hAnsi="Times New Roman"/>
          <w:color w:val="FF0000"/>
          <w:sz w:val="22"/>
          <w:lang w:val="ro-RO"/>
        </w:rPr>
        <w:t>access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facilities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such</w:t>
      </w:r>
      <w:proofErr w:type="spellEnd"/>
      <w:r w:rsidRPr="00FF5C1C">
        <w:rPr>
          <w:rFonts w:ascii="Times New Roman" w:hAnsi="Times New Roman"/>
          <w:color w:val="FF0000"/>
          <w:sz w:val="22"/>
          <w:lang w:val="ro-RO"/>
        </w:rPr>
        <w:t xml:space="preserve"> as SSF or SF, or do </w:t>
      </w:r>
      <w:proofErr w:type="spellStart"/>
      <w:r w:rsidRPr="00FF5C1C">
        <w:rPr>
          <w:rFonts w:ascii="Times New Roman" w:hAnsi="Times New Roman"/>
          <w:color w:val="FF0000"/>
          <w:sz w:val="22"/>
          <w:lang w:val="ro-RO"/>
        </w:rPr>
        <w:t>not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benefit</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from</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these</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access</w:t>
      </w:r>
      <w:proofErr w:type="spellEnd"/>
      <w:r w:rsidRPr="00FF5C1C">
        <w:rPr>
          <w:rFonts w:ascii="Times New Roman" w:hAnsi="Times New Roman"/>
          <w:color w:val="FF0000"/>
          <w:sz w:val="22"/>
          <w:lang w:val="ro-RO"/>
        </w:rPr>
        <w:t xml:space="preserve"> </w:t>
      </w:r>
      <w:proofErr w:type="spellStart"/>
      <w:r w:rsidRPr="00FF5C1C">
        <w:rPr>
          <w:rFonts w:ascii="Times New Roman" w:hAnsi="Times New Roman"/>
          <w:color w:val="FF0000"/>
          <w:sz w:val="22"/>
          <w:lang w:val="ro-RO"/>
        </w:rPr>
        <w:t>facilities</w:t>
      </w:r>
      <w:proofErr w:type="spellEnd"/>
      <w:r w:rsidRPr="00FF5C1C">
        <w:rPr>
          <w:rFonts w:ascii="Times New Roman" w:hAnsi="Times New Roman"/>
          <w:color w:val="FF0000"/>
          <w:sz w:val="22"/>
          <w:lang w:val="ro-RO"/>
        </w:rPr>
        <w:t xml:space="preserve"> at </w:t>
      </w:r>
      <w:proofErr w:type="spellStart"/>
      <w:r w:rsidRPr="00FF5C1C">
        <w:rPr>
          <w:rFonts w:ascii="Times New Roman" w:hAnsi="Times New Roman"/>
          <w:color w:val="FF0000"/>
          <w:sz w:val="22"/>
          <w:lang w:val="ro-RO"/>
        </w:rPr>
        <w:t>all</w:t>
      </w:r>
      <w:proofErr w:type="spellEnd"/>
    </w:p>
    <w:p w14:paraId="14BA2BF6" w14:textId="6DB58656" w:rsidR="00287C0C" w:rsidRPr="00FF5C1C" w:rsidRDefault="00287C0C" w:rsidP="00287C0C">
      <w:pPr>
        <w:pStyle w:val="MDPI31text"/>
        <w:numPr>
          <w:ilvl w:val="0"/>
          <w:numId w:val="20"/>
        </w:numPr>
        <w:spacing w:line="240" w:lineRule="auto"/>
        <w:rPr>
          <w:rFonts w:ascii="Times New Roman" w:hAnsi="Times New Roman"/>
          <w:color w:val="FF0000"/>
          <w:sz w:val="22"/>
        </w:rPr>
      </w:pPr>
      <w:r w:rsidRPr="00FF5C1C">
        <w:rPr>
          <w:rFonts w:ascii="Times New Roman" w:hAnsi="Times New Roman"/>
          <w:color w:val="FF0000"/>
          <w:sz w:val="22"/>
        </w:rPr>
        <w:t>Median values, such as CEF’s 26.94 minutes, show that at least half of the city's areas have relatively good access to cultural activities.</w:t>
      </w:r>
    </w:p>
    <w:p w14:paraId="204A5E28" w14:textId="77777777" w:rsidR="006920FD" w:rsidRPr="00823B29" w:rsidRDefault="006920FD" w:rsidP="006920FD">
      <w:pPr>
        <w:pStyle w:val="MDPI31text"/>
        <w:spacing w:line="240" w:lineRule="auto"/>
        <w:rPr>
          <w:rFonts w:ascii="Times New Roman" w:hAnsi="Times New Roman"/>
          <w:color w:val="0070C0"/>
          <w:sz w:val="22"/>
        </w:rPr>
      </w:pPr>
    </w:p>
    <w:p w14:paraId="600AED83" w14:textId="7552F87B" w:rsidR="006920FD" w:rsidRPr="00823B29" w:rsidRDefault="006920FD" w:rsidP="006920FD">
      <w:pPr>
        <w:pStyle w:val="Caption"/>
        <w:rPr>
          <w:rFonts w:ascii="Times New Roman" w:hAnsi="Times New Roman" w:cs="Times New Roman"/>
          <w:lang w:val="en-US"/>
        </w:rPr>
      </w:pPr>
      <w:bookmarkStart w:id="0" w:name="_Ref175339926"/>
      <w:r w:rsidRPr="00823B29">
        <w:rPr>
          <w:lang w:val="en-US"/>
        </w:rPr>
        <w:t xml:space="preserve">Table </w:t>
      </w:r>
      <w:r w:rsidR="00347587" w:rsidRPr="00823B29">
        <w:rPr>
          <w:lang w:val="en-US"/>
        </w:rPr>
        <w:t>A.</w:t>
      </w:r>
      <w:r w:rsidR="00287C0C" w:rsidRPr="00823B29">
        <w:rPr>
          <w:noProof/>
          <w:lang w:val="en-US"/>
        </w:rPr>
        <w:t>1</w:t>
      </w:r>
      <w:bookmarkEnd w:id="0"/>
      <w:r w:rsidRPr="00823B29">
        <w:rPr>
          <w:lang w:val="en-US"/>
        </w:rPr>
        <w:t xml:space="preserve">. </w:t>
      </w:r>
      <w:r w:rsidRPr="00823B29">
        <w:rPr>
          <w:rFonts w:ascii="Times New Roman" w:hAnsi="Times New Roman" w:cs="Times New Roman"/>
          <w:lang w:val="en-US"/>
        </w:rPr>
        <w:t>Summary statistics for the considered variables – on foot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4"/>
        <w:gridCol w:w="1124"/>
        <w:gridCol w:w="1124"/>
        <w:gridCol w:w="1115"/>
        <w:gridCol w:w="1124"/>
        <w:gridCol w:w="1138"/>
        <w:gridCol w:w="1124"/>
        <w:gridCol w:w="1133"/>
      </w:tblGrid>
      <w:tr w:rsidR="006920FD" w:rsidRPr="00823B29" w14:paraId="72AB3A18" w14:textId="77777777" w:rsidTr="00BA2588">
        <w:tc>
          <w:tcPr>
            <w:tcW w:w="1144" w:type="dxa"/>
            <w:tcBorders>
              <w:right w:val="single" w:sz="4" w:space="0" w:color="auto"/>
            </w:tcBorders>
          </w:tcPr>
          <w:p w14:paraId="1E469149" w14:textId="77777777" w:rsidR="006920FD" w:rsidRPr="00823B29" w:rsidRDefault="006920FD" w:rsidP="00BA2588">
            <w:r w:rsidRPr="00823B29">
              <w:t>Variable</w:t>
            </w:r>
          </w:p>
        </w:tc>
        <w:tc>
          <w:tcPr>
            <w:tcW w:w="1124" w:type="dxa"/>
            <w:tcBorders>
              <w:left w:val="single" w:sz="4" w:space="0" w:color="auto"/>
            </w:tcBorders>
          </w:tcPr>
          <w:p w14:paraId="14405711" w14:textId="77777777" w:rsidR="006920FD" w:rsidRPr="00823B29" w:rsidRDefault="006920FD" w:rsidP="00BA2588">
            <w:r w:rsidRPr="00823B29">
              <w:t>Mean</w:t>
            </w:r>
          </w:p>
        </w:tc>
        <w:tc>
          <w:tcPr>
            <w:tcW w:w="1124" w:type="dxa"/>
          </w:tcPr>
          <w:p w14:paraId="0358EDD6" w14:textId="77777777" w:rsidR="006920FD" w:rsidRPr="00823B29" w:rsidRDefault="006920FD" w:rsidP="00BA2588">
            <w:r w:rsidRPr="00823B29">
              <w:t>Std. dev.</w:t>
            </w:r>
          </w:p>
        </w:tc>
        <w:tc>
          <w:tcPr>
            <w:tcW w:w="1115" w:type="dxa"/>
          </w:tcPr>
          <w:p w14:paraId="05A8E93C" w14:textId="77777777" w:rsidR="006920FD" w:rsidRPr="00823B29" w:rsidRDefault="006920FD" w:rsidP="00BA2588">
            <w:r w:rsidRPr="00823B29">
              <w:t>Min</w:t>
            </w:r>
          </w:p>
        </w:tc>
        <w:tc>
          <w:tcPr>
            <w:tcW w:w="1124" w:type="dxa"/>
          </w:tcPr>
          <w:p w14:paraId="3C086901" w14:textId="77777777" w:rsidR="006920FD" w:rsidRPr="00823B29" w:rsidRDefault="006920FD" w:rsidP="00BA2588">
            <w:r w:rsidRPr="00823B29">
              <w:t>Q1</w:t>
            </w:r>
          </w:p>
        </w:tc>
        <w:tc>
          <w:tcPr>
            <w:tcW w:w="1138" w:type="dxa"/>
          </w:tcPr>
          <w:p w14:paraId="29B12CC6" w14:textId="77777777" w:rsidR="006920FD" w:rsidRPr="00823B29" w:rsidRDefault="006920FD" w:rsidP="00BA2588">
            <w:r w:rsidRPr="00823B29">
              <w:t>Median</w:t>
            </w:r>
          </w:p>
        </w:tc>
        <w:tc>
          <w:tcPr>
            <w:tcW w:w="1124" w:type="dxa"/>
          </w:tcPr>
          <w:p w14:paraId="0D0F6081" w14:textId="77777777" w:rsidR="006920FD" w:rsidRPr="00823B29" w:rsidRDefault="006920FD" w:rsidP="00BA2588">
            <w:r w:rsidRPr="00823B29">
              <w:t>Q3</w:t>
            </w:r>
          </w:p>
        </w:tc>
        <w:tc>
          <w:tcPr>
            <w:tcW w:w="1133" w:type="dxa"/>
          </w:tcPr>
          <w:p w14:paraId="21F5EDA9" w14:textId="77777777" w:rsidR="006920FD" w:rsidRPr="00823B29" w:rsidRDefault="006920FD" w:rsidP="00BA2588">
            <w:r w:rsidRPr="00823B29">
              <w:t>Max</w:t>
            </w:r>
          </w:p>
        </w:tc>
      </w:tr>
      <w:tr w:rsidR="006920FD" w:rsidRPr="00823B29" w14:paraId="32264C4A" w14:textId="77777777" w:rsidTr="00BA2588">
        <w:tc>
          <w:tcPr>
            <w:tcW w:w="1144" w:type="dxa"/>
            <w:tcBorders>
              <w:right w:val="single" w:sz="4" w:space="0" w:color="auto"/>
            </w:tcBorders>
          </w:tcPr>
          <w:p w14:paraId="2DE0926C" w14:textId="77777777" w:rsidR="006920FD" w:rsidRPr="00823B29" w:rsidRDefault="006920FD" w:rsidP="00BA2588">
            <w:r w:rsidRPr="00823B29">
              <w:t>AAF</w:t>
            </w:r>
          </w:p>
        </w:tc>
        <w:tc>
          <w:tcPr>
            <w:tcW w:w="1124" w:type="dxa"/>
            <w:tcBorders>
              <w:left w:val="single" w:sz="4" w:space="0" w:color="auto"/>
            </w:tcBorders>
            <w:vAlign w:val="bottom"/>
          </w:tcPr>
          <w:p w14:paraId="1B5DFBB3" w14:textId="77777777" w:rsidR="006920FD" w:rsidRPr="00823B29" w:rsidRDefault="006920FD" w:rsidP="00BA2588">
            <w:r w:rsidRPr="00823B29">
              <w:rPr>
                <w:color w:val="000000"/>
              </w:rPr>
              <w:t>17.30</w:t>
            </w:r>
          </w:p>
        </w:tc>
        <w:tc>
          <w:tcPr>
            <w:tcW w:w="1124" w:type="dxa"/>
            <w:vAlign w:val="bottom"/>
          </w:tcPr>
          <w:p w14:paraId="7F8DB9EC" w14:textId="77777777" w:rsidR="006920FD" w:rsidRPr="00823B29" w:rsidRDefault="006920FD" w:rsidP="00BA2588">
            <w:r w:rsidRPr="00823B29">
              <w:rPr>
                <w:color w:val="000000"/>
              </w:rPr>
              <w:t>13.02</w:t>
            </w:r>
          </w:p>
        </w:tc>
        <w:tc>
          <w:tcPr>
            <w:tcW w:w="1115" w:type="dxa"/>
            <w:vAlign w:val="bottom"/>
          </w:tcPr>
          <w:p w14:paraId="7B227FE7" w14:textId="77777777" w:rsidR="006920FD" w:rsidRPr="00823B29" w:rsidRDefault="006920FD" w:rsidP="00BA2588">
            <w:r w:rsidRPr="00823B29">
              <w:rPr>
                <w:color w:val="000000"/>
              </w:rPr>
              <w:t>3.51</w:t>
            </w:r>
          </w:p>
        </w:tc>
        <w:tc>
          <w:tcPr>
            <w:tcW w:w="1124" w:type="dxa"/>
            <w:vAlign w:val="bottom"/>
          </w:tcPr>
          <w:p w14:paraId="7591B3C8" w14:textId="77777777" w:rsidR="006920FD" w:rsidRPr="00823B29" w:rsidRDefault="006920FD" w:rsidP="00BA2588">
            <w:r w:rsidRPr="00823B29">
              <w:rPr>
                <w:color w:val="000000"/>
              </w:rPr>
              <w:t>8.16</w:t>
            </w:r>
          </w:p>
        </w:tc>
        <w:tc>
          <w:tcPr>
            <w:tcW w:w="1138" w:type="dxa"/>
            <w:vAlign w:val="bottom"/>
          </w:tcPr>
          <w:p w14:paraId="71AAEB07" w14:textId="77777777" w:rsidR="006920FD" w:rsidRPr="00823B29" w:rsidRDefault="006920FD" w:rsidP="00BA2588">
            <w:r w:rsidRPr="00823B29">
              <w:rPr>
                <w:color w:val="000000"/>
              </w:rPr>
              <w:t>13.54</w:t>
            </w:r>
          </w:p>
        </w:tc>
        <w:tc>
          <w:tcPr>
            <w:tcW w:w="1124" w:type="dxa"/>
            <w:vAlign w:val="bottom"/>
          </w:tcPr>
          <w:p w14:paraId="4507509F" w14:textId="77777777" w:rsidR="006920FD" w:rsidRPr="00823B29" w:rsidRDefault="006920FD" w:rsidP="00BA2588">
            <w:r w:rsidRPr="00823B29">
              <w:rPr>
                <w:color w:val="000000"/>
              </w:rPr>
              <w:t>22.84</w:t>
            </w:r>
          </w:p>
        </w:tc>
        <w:tc>
          <w:tcPr>
            <w:tcW w:w="1133" w:type="dxa"/>
            <w:vAlign w:val="bottom"/>
          </w:tcPr>
          <w:p w14:paraId="44ACBEF3" w14:textId="77777777" w:rsidR="006920FD" w:rsidRPr="00823B29" w:rsidRDefault="006920FD" w:rsidP="00BA2588">
            <w:r w:rsidRPr="00823B29">
              <w:rPr>
                <w:color w:val="000000"/>
              </w:rPr>
              <w:t>131.26</w:t>
            </w:r>
          </w:p>
        </w:tc>
      </w:tr>
      <w:tr w:rsidR="006920FD" w:rsidRPr="00823B29" w14:paraId="3D24BB64" w14:textId="77777777" w:rsidTr="00BA2588">
        <w:tc>
          <w:tcPr>
            <w:tcW w:w="1144" w:type="dxa"/>
            <w:tcBorders>
              <w:right w:val="single" w:sz="4" w:space="0" w:color="auto"/>
            </w:tcBorders>
          </w:tcPr>
          <w:p w14:paraId="02498ED3" w14:textId="77777777" w:rsidR="006920FD" w:rsidRPr="00823B29" w:rsidRDefault="006920FD" w:rsidP="00BA2588">
            <w:r w:rsidRPr="00823B29">
              <w:t>CEF</w:t>
            </w:r>
          </w:p>
        </w:tc>
        <w:tc>
          <w:tcPr>
            <w:tcW w:w="1124" w:type="dxa"/>
            <w:tcBorders>
              <w:left w:val="single" w:sz="4" w:space="0" w:color="auto"/>
            </w:tcBorders>
            <w:vAlign w:val="bottom"/>
          </w:tcPr>
          <w:p w14:paraId="5AF8E342" w14:textId="77777777" w:rsidR="006920FD" w:rsidRPr="00823B29" w:rsidRDefault="006920FD" w:rsidP="00BA2588">
            <w:r w:rsidRPr="00823B29">
              <w:rPr>
                <w:color w:val="000000"/>
              </w:rPr>
              <w:t>30.07</w:t>
            </w:r>
          </w:p>
        </w:tc>
        <w:tc>
          <w:tcPr>
            <w:tcW w:w="1124" w:type="dxa"/>
            <w:vAlign w:val="bottom"/>
          </w:tcPr>
          <w:p w14:paraId="19333412" w14:textId="77777777" w:rsidR="006920FD" w:rsidRPr="00823B29" w:rsidRDefault="006920FD" w:rsidP="00BA2588">
            <w:r w:rsidRPr="00823B29">
              <w:rPr>
                <w:color w:val="000000"/>
              </w:rPr>
              <w:t>18.44</w:t>
            </w:r>
          </w:p>
        </w:tc>
        <w:tc>
          <w:tcPr>
            <w:tcW w:w="1115" w:type="dxa"/>
            <w:vAlign w:val="bottom"/>
          </w:tcPr>
          <w:p w14:paraId="5C615FE4" w14:textId="77777777" w:rsidR="006920FD" w:rsidRPr="00823B29" w:rsidRDefault="006920FD" w:rsidP="00BA2588">
            <w:r w:rsidRPr="00823B29">
              <w:rPr>
                <w:color w:val="000000"/>
              </w:rPr>
              <w:t>1.36</w:t>
            </w:r>
          </w:p>
        </w:tc>
        <w:tc>
          <w:tcPr>
            <w:tcW w:w="1124" w:type="dxa"/>
            <w:vAlign w:val="bottom"/>
          </w:tcPr>
          <w:p w14:paraId="1EA8A75D" w14:textId="77777777" w:rsidR="006920FD" w:rsidRPr="00823B29" w:rsidRDefault="006920FD" w:rsidP="00BA2588">
            <w:r w:rsidRPr="00823B29">
              <w:rPr>
                <w:color w:val="000000"/>
              </w:rPr>
              <w:t>15.65</w:t>
            </w:r>
          </w:p>
        </w:tc>
        <w:tc>
          <w:tcPr>
            <w:tcW w:w="1138" w:type="dxa"/>
            <w:vAlign w:val="bottom"/>
          </w:tcPr>
          <w:p w14:paraId="47296617" w14:textId="77777777" w:rsidR="006920FD" w:rsidRPr="00823B29" w:rsidRDefault="006920FD" w:rsidP="00BA2588">
            <w:r w:rsidRPr="00823B29">
              <w:rPr>
                <w:color w:val="000000"/>
              </w:rPr>
              <w:t>26.94</w:t>
            </w:r>
          </w:p>
        </w:tc>
        <w:tc>
          <w:tcPr>
            <w:tcW w:w="1124" w:type="dxa"/>
            <w:vAlign w:val="bottom"/>
          </w:tcPr>
          <w:p w14:paraId="1A3E48E4" w14:textId="77777777" w:rsidR="006920FD" w:rsidRPr="00823B29" w:rsidRDefault="006920FD" w:rsidP="00BA2588">
            <w:r w:rsidRPr="00823B29">
              <w:rPr>
                <w:color w:val="000000"/>
              </w:rPr>
              <w:t>41.34</w:t>
            </w:r>
          </w:p>
        </w:tc>
        <w:tc>
          <w:tcPr>
            <w:tcW w:w="1133" w:type="dxa"/>
            <w:vAlign w:val="bottom"/>
          </w:tcPr>
          <w:p w14:paraId="627EFFB5" w14:textId="77777777" w:rsidR="006920FD" w:rsidRPr="00823B29" w:rsidRDefault="006920FD" w:rsidP="00BA2588">
            <w:r w:rsidRPr="00823B29">
              <w:rPr>
                <w:color w:val="000000"/>
              </w:rPr>
              <w:t>127.25</w:t>
            </w:r>
          </w:p>
        </w:tc>
      </w:tr>
      <w:tr w:rsidR="006920FD" w:rsidRPr="00823B29" w14:paraId="5C653228" w14:textId="77777777" w:rsidTr="00BA2588">
        <w:tc>
          <w:tcPr>
            <w:tcW w:w="1144" w:type="dxa"/>
            <w:tcBorders>
              <w:right w:val="single" w:sz="4" w:space="0" w:color="auto"/>
            </w:tcBorders>
          </w:tcPr>
          <w:p w14:paraId="4535AFBD" w14:textId="77777777" w:rsidR="006920FD" w:rsidRPr="00823B29" w:rsidRDefault="006920FD" w:rsidP="00BA2588">
            <w:r w:rsidRPr="00823B29">
              <w:t>LF</w:t>
            </w:r>
          </w:p>
        </w:tc>
        <w:tc>
          <w:tcPr>
            <w:tcW w:w="1124" w:type="dxa"/>
            <w:tcBorders>
              <w:left w:val="single" w:sz="4" w:space="0" w:color="auto"/>
            </w:tcBorders>
            <w:vAlign w:val="bottom"/>
          </w:tcPr>
          <w:p w14:paraId="37A3B948" w14:textId="77777777" w:rsidR="006920FD" w:rsidRPr="00823B29" w:rsidRDefault="006920FD" w:rsidP="00BA2588">
            <w:r w:rsidRPr="00823B29">
              <w:rPr>
                <w:color w:val="000000"/>
              </w:rPr>
              <w:t>19.91</w:t>
            </w:r>
          </w:p>
        </w:tc>
        <w:tc>
          <w:tcPr>
            <w:tcW w:w="1124" w:type="dxa"/>
            <w:vAlign w:val="bottom"/>
          </w:tcPr>
          <w:p w14:paraId="1F07CDE9" w14:textId="77777777" w:rsidR="006920FD" w:rsidRPr="00823B29" w:rsidRDefault="006920FD" w:rsidP="00BA2588">
            <w:r w:rsidRPr="00823B29">
              <w:rPr>
                <w:color w:val="000000"/>
              </w:rPr>
              <w:t>15.13</w:t>
            </w:r>
          </w:p>
        </w:tc>
        <w:tc>
          <w:tcPr>
            <w:tcW w:w="1115" w:type="dxa"/>
            <w:vAlign w:val="bottom"/>
          </w:tcPr>
          <w:p w14:paraId="09731374" w14:textId="77777777" w:rsidR="006920FD" w:rsidRPr="00823B29" w:rsidRDefault="006920FD" w:rsidP="00BA2588">
            <w:r w:rsidRPr="00823B29">
              <w:rPr>
                <w:color w:val="000000"/>
              </w:rPr>
              <w:t>2.44</w:t>
            </w:r>
          </w:p>
        </w:tc>
        <w:tc>
          <w:tcPr>
            <w:tcW w:w="1124" w:type="dxa"/>
            <w:vAlign w:val="bottom"/>
          </w:tcPr>
          <w:p w14:paraId="1EBDF846" w14:textId="77777777" w:rsidR="006920FD" w:rsidRPr="00823B29" w:rsidRDefault="006920FD" w:rsidP="00BA2588">
            <w:r w:rsidRPr="00823B29">
              <w:rPr>
                <w:color w:val="000000"/>
              </w:rPr>
              <w:t>9.36</w:t>
            </w:r>
          </w:p>
        </w:tc>
        <w:tc>
          <w:tcPr>
            <w:tcW w:w="1138" w:type="dxa"/>
            <w:vAlign w:val="bottom"/>
          </w:tcPr>
          <w:p w14:paraId="78EA5291" w14:textId="77777777" w:rsidR="006920FD" w:rsidRPr="00823B29" w:rsidRDefault="006920FD" w:rsidP="00BA2588">
            <w:r w:rsidRPr="00823B29">
              <w:rPr>
                <w:color w:val="000000"/>
              </w:rPr>
              <w:t>14.9</w:t>
            </w:r>
          </w:p>
        </w:tc>
        <w:tc>
          <w:tcPr>
            <w:tcW w:w="1124" w:type="dxa"/>
            <w:vAlign w:val="bottom"/>
          </w:tcPr>
          <w:p w14:paraId="506E8D45" w14:textId="77777777" w:rsidR="006920FD" w:rsidRPr="00823B29" w:rsidRDefault="006920FD" w:rsidP="00BA2588">
            <w:r w:rsidRPr="00823B29">
              <w:rPr>
                <w:color w:val="000000"/>
              </w:rPr>
              <w:t>26.17</w:t>
            </w:r>
          </w:p>
        </w:tc>
        <w:tc>
          <w:tcPr>
            <w:tcW w:w="1133" w:type="dxa"/>
            <w:vAlign w:val="bottom"/>
          </w:tcPr>
          <w:p w14:paraId="3C2E6F00" w14:textId="77777777" w:rsidR="006920FD" w:rsidRPr="00823B29" w:rsidRDefault="006920FD" w:rsidP="00BA2588">
            <w:r w:rsidRPr="00823B29">
              <w:rPr>
                <w:color w:val="000000"/>
              </w:rPr>
              <w:t>144.97</w:t>
            </w:r>
          </w:p>
        </w:tc>
      </w:tr>
      <w:tr w:rsidR="006920FD" w:rsidRPr="00823B29" w14:paraId="3D979769" w14:textId="77777777" w:rsidTr="00BA2588">
        <w:tc>
          <w:tcPr>
            <w:tcW w:w="1144" w:type="dxa"/>
            <w:tcBorders>
              <w:right w:val="single" w:sz="4" w:space="0" w:color="auto"/>
            </w:tcBorders>
          </w:tcPr>
          <w:p w14:paraId="31421C99" w14:textId="77777777" w:rsidR="006920FD" w:rsidRPr="00823B29" w:rsidRDefault="006920FD" w:rsidP="00BA2588">
            <w:r w:rsidRPr="00823B29">
              <w:t>CF</w:t>
            </w:r>
          </w:p>
        </w:tc>
        <w:tc>
          <w:tcPr>
            <w:tcW w:w="1124" w:type="dxa"/>
            <w:tcBorders>
              <w:left w:val="single" w:sz="4" w:space="0" w:color="auto"/>
            </w:tcBorders>
            <w:vAlign w:val="bottom"/>
          </w:tcPr>
          <w:p w14:paraId="504FDAEB" w14:textId="77777777" w:rsidR="006920FD" w:rsidRPr="00823B29" w:rsidRDefault="006920FD" w:rsidP="00BA2588">
            <w:r w:rsidRPr="00823B29">
              <w:rPr>
                <w:color w:val="000000"/>
              </w:rPr>
              <w:t>19.03</w:t>
            </w:r>
          </w:p>
        </w:tc>
        <w:tc>
          <w:tcPr>
            <w:tcW w:w="1124" w:type="dxa"/>
            <w:vAlign w:val="bottom"/>
          </w:tcPr>
          <w:p w14:paraId="228E5233" w14:textId="77777777" w:rsidR="006920FD" w:rsidRPr="00823B29" w:rsidRDefault="006920FD" w:rsidP="00BA2588">
            <w:r w:rsidRPr="00823B29">
              <w:rPr>
                <w:color w:val="000000"/>
              </w:rPr>
              <w:t>16.09</w:t>
            </w:r>
          </w:p>
        </w:tc>
        <w:tc>
          <w:tcPr>
            <w:tcW w:w="1115" w:type="dxa"/>
            <w:vAlign w:val="bottom"/>
          </w:tcPr>
          <w:p w14:paraId="48F4266C" w14:textId="77777777" w:rsidR="006920FD" w:rsidRPr="00823B29" w:rsidRDefault="006920FD" w:rsidP="00BA2588">
            <w:r w:rsidRPr="00823B29">
              <w:rPr>
                <w:color w:val="000000"/>
              </w:rPr>
              <w:t>0.81</w:t>
            </w:r>
          </w:p>
        </w:tc>
        <w:tc>
          <w:tcPr>
            <w:tcW w:w="1124" w:type="dxa"/>
            <w:vAlign w:val="bottom"/>
          </w:tcPr>
          <w:p w14:paraId="5972EA67" w14:textId="77777777" w:rsidR="006920FD" w:rsidRPr="00823B29" w:rsidRDefault="006920FD" w:rsidP="00BA2588">
            <w:r w:rsidRPr="00823B29">
              <w:rPr>
                <w:color w:val="000000"/>
              </w:rPr>
              <w:t>7.55</w:t>
            </w:r>
          </w:p>
        </w:tc>
        <w:tc>
          <w:tcPr>
            <w:tcW w:w="1138" w:type="dxa"/>
            <w:vAlign w:val="bottom"/>
          </w:tcPr>
          <w:p w14:paraId="28976436" w14:textId="77777777" w:rsidR="006920FD" w:rsidRPr="00823B29" w:rsidRDefault="006920FD" w:rsidP="00BA2588">
            <w:r w:rsidRPr="00823B29">
              <w:rPr>
                <w:color w:val="000000"/>
              </w:rPr>
              <w:t>14.23</w:t>
            </w:r>
          </w:p>
        </w:tc>
        <w:tc>
          <w:tcPr>
            <w:tcW w:w="1124" w:type="dxa"/>
            <w:vAlign w:val="bottom"/>
          </w:tcPr>
          <w:p w14:paraId="52EC2995" w14:textId="77777777" w:rsidR="006920FD" w:rsidRPr="00823B29" w:rsidRDefault="006920FD" w:rsidP="00BA2588">
            <w:r w:rsidRPr="00823B29">
              <w:rPr>
                <w:color w:val="000000"/>
              </w:rPr>
              <w:t>25.91</w:t>
            </w:r>
          </w:p>
        </w:tc>
        <w:tc>
          <w:tcPr>
            <w:tcW w:w="1133" w:type="dxa"/>
            <w:vAlign w:val="bottom"/>
          </w:tcPr>
          <w:p w14:paraId="49041B49" w14:textId="77777777" w:rsidR="006920FD" w:rsidRPr="00823B29" w:rsidRDefault="006920FD" w:rsidP="00BA2588">
            <w:r w:rsidRPr="00823B29">
              <w:rPr>
                <w:color w:val="000000"/>
              </w:rPr>
              <w:t>123.58</w:t>
            </w:r>
          </w:p>
        </w:tc>
      </w:tr>
      <w:tr w:rsidR="006920FD" w:rsidRPr="00823B29" w14:paraId="32E8D265" w14:textId="77777777" w:rsidTr="00BA2588">
        <w:tc>
          <w:tcPr>
            <w:tcW w:w="1144" w:type="dxa"/>
            <w:tcBorders>
              <w:right w:val="single" w:sz="4" w:space="0" w:color="auto"/>
            </w:tcBorders>
          </w:tcPr>
          <w:p w14:paraId="7B987374" w14:textId="77777777" w:rsidR="006920FD" w:rsidRPr="00823B29" w:rsidRDefault="006920FD" w:rsidP="00BA2588">
            <w:r w:rsidRPr="00823B29">
              <w:t>ARF</w:t>
            </w:r>
          </w:p>
        </w:tc>
        <w:tc>
          <w:tcPr>
            <w:tcW w:w="1124" w:type="dxa"/>
            <w:tcBorders>
              <w:left w:val="single" w:sz="4" w:space="0" w:color="auto"/>
            </w:tcBorders>
            <w:vAlign w:val="bottom"/>
          </w:tcPr>
          <w:p w14:paraId="229220F4" w14:textId="77777777" w:rsidR="006920FD" w:rsidRPr="00823B29" w:rsidRDefault="006920FD" w:rsidP="00BA2588">
            <w:r w:rsidRPr="00823B29">
              <w:rPr>
                <w:color w:val="000000"/>
              </w:rPr>
              <w:t>14.93</w:t>
            </w:r>
          </w:p>
        </w:tc>
        <w:tc>
          <w:tcPr>
            <w:tcW w:w="1124" w:type="dxa"/>
            <w:vAlign w:val="bottom"/>
          </w:tcPr>
          <w:p w14:paraId="5B06F533" w14:textId="77777777" w:rsidR="006920FD" w:rsidRPr="00823B29" w:rsidRDefault="006920FD" w:rsidP="00BA2588">
            <w:r w:rsidRPr="00823B29">
              <w:rPr>
                <w:color w:val="000000"/>
              </w:rPr>
              <w:t>15.27</w:t>
            </w:r>
          </w:p>
        </w:tc>
        <w:tc>
          <w:tcPr>
            <w:tcW w:w="1115" w:type="dxa"/>
            <w:vAlign w:val="bottom"/>
          </w:tcPr>
          <w:p w14:paraId="34F98716" w14:textId="77777777" w:rsidR="006920FD" w:rsidRPr="00823B29" w:rsidRDefault="006920FD" w:rsidP="00BA2588">
            <w:r w:rsidRPr="00823B29">
              <w:rPr>
                <w:color w:val="000000"/>
              </w:rPr>
              <w:t>0.79</w:t>
            </w:r>
          </w:p>
        </w:tc>
        <w:tc>
          <w:tcPr>
            <w:tcW w:w="1124" w:type="dxa"/>
            <w:vAlign w:val="bottom"/>
          </w:tcPr>
          <w:p w14:paraId="63C01D7F" w14:textId="77777777" w:rsidR="006920FD" w:rsidRPr="00823B29" w:rsidRDefault="006920FD" w:rsidP="00BA2588">
            <w:r w:rsidRPr="00823B29">
              <w:rPr>
                <w:color w:val="000000"/>
              </w:rPr>
              <w:t>6.24</w:t>
            </w:r>
          </w:p>
        </w:tc>
        <w:tc>
          <w:tcPr>
            <w:tcW w:w="1138" w:type="dxa"/>
            <w:vAlign w:val="bottom"/>
          </w:tcPr>
          <w:p w14:paraId="5C388E6A" w14:textId="77777777" w:rsidR="006920FD" w:rsidRPr="00823B29" w:rsidRDefault="006920FD" w:rsidP="00BA2588">
            <w:r w:rsidRPr="00823B29">
              <w:rPr>
                <w:color w:val="000000"/>
              </w:rPr>
              <w:t>10.44</w:t>
            </w:r>
          </w:p>
        </w:tc>
        <w:tc>
          <w:tcPr>
            <w:tcW w:w="1124" w:type="dxa"/>
            <w:vAlign w:val="bottom"/>
          </w:tcPr>
          <w:p w14:paraId="00BC6D53" w14:textId="77777777" w:rsidR="006920FD" w:rsidRPr="00823B29" w:rsidRDefault="006920FD" w:rsidP="00BA2588">
            <w:r w:rsidRPr="00823B29">
              <w:rPr>
                <w:color w:val="000000"/>
              </w:rPr>
              <w:t>18.91</w:t>
            </w:r>
          </w:p>
        </w:tc>
        <w:tc>
          <w:tcPr>
            <w:tcW w:w="1133" w:type="dxa"/>
            <w:vAlign w:val="bottom"/>
          </w:tcPr>
          <w:p w14:paraId="57BAC372" w14:textId="77777777" w:rsidR="006920FD" w:rsidRPr="00823B29" w:rsidRDefault="006920FD" w:rsidP="00BA2588">
            <w:r w:rsidRPr="00823B29">
              <w:rPr>
                <w:color w:val="000000"/>
              </w:rPr>
              <w:t>142.43</w:t>
            </w:r>
          </w:p>
        </w:tc>
      </w:tr>
      <w:tr w:rsidR="006920FD" w:rsidRPr="00823B29" w14:paraId="5B5CDCF9" w14:textId="77777777" w:rsidTr="00BA2588">
        <w:tc>
          <w:tcPr>
            <w:tcW w:w="1144" w:type="dxa"/>
            <w:tcBorders>
              <w:right w:val="single" w:sz="4" w:space="0" w:color="auto"/>
            </w:tcBorders>
          </w:tcPr>
          <w:p w14:paraId="28DC33CD" w14:textId="77777777" w:rsidR="006920FD" w:rsidRPr="00823B29" w:rsidRDefault="006920FD" w:rsidP="00BA2588">
            <w:r w:rsidRPr="00823B29">
              <w:t>SF</w:t>
            </w:r>
          </w:p>
        </w:tc>
        <w:tc>
          <w:tcPr>
            <w:tcW w:w="1124" w:type="dxa"/>
            <w:tcBorders>
              <w:left w:val="single" w:sz="4" w:space="0" w:color="auto"/>
            </w:tcBorders>
            <w:vAlign w:val="bottom"/>
          </w:tcPr>
          <w:p w14:paraId="22BC0169" w14:textId="77777777" w:rsidR="006920FD" w:rsidRPr="00823B29" w:rsidRDefault="006920FD" w:rsidP="00BA2588">
            <w:r w:rsidRPr="00823B29">
              <w:rPr>
                <w:color w:val="000000"/>
              </w:rPr>
              <w:t>18.24</w:t>
            </w:r>
          </w:p>
        </w:tc>
        <w:tc>
          <w:tcPr>
            <w:tcW w:w="1124" w:type="dxa"/>
            <w:vAlign w:val="bottom"/>
          </w:tcPr>
          <w:p w14:paraId="218EECFE" w14:textId="77777777" w:rsidR="006920FD" w:rsidRPr="00823B29" w:rsidRDefault="006920FD" w:rsidP="00BA2588">
            <w:r w:rsidRPr="00823B29">
              <w:rPr>
                <w:color w:val="000000"/>
              </w:rPr>
              <w:t>13.48</w:t>
            </w:r>
          </w:p>
        </w:tc>
        <w:tc>
          <w:tcPr>
            <w:tcW w:w="1115" w:type="dxa"/>
            <w:vAlign w:val="bottom"/>
          </w:tcPr>
          <w:p w14:paraId="03268992" w14:textId="77777777" w:rsidR="006920FD" w:rsidRPr="00823B29" w:rsidRDefault="006920FD" w:rsidP="00BA2588">
            <w:r w:rsidRPr="00823B29">
              <w:rPr>
                <w:color w:val="000000"/>
              </w:rPr>
              <w:t>0.62</w:t>
            </w:r>
          </w:p>
        </w:tc>
        <w:tc>
          <w:tcPr>
            <w:tcW w:w="1124" w:type="dxa"/>
            <w:vAlign w:val="bottom"/>
          </w:tcPr>
          <w:p w14:paraId="7878497A" w14:textId="77777777" w:rsidR="006920FD" w:rsidRPr="00823B29" w:rsidRDefault="006920FD" w:rsidP="00BA2588">
            <w:r w:rsidRPr="00823B29">
              <w:rPr>
                <w:color w:val="000000"/>
              </w:rPr>
              <w:t>10</w:t>
            </w:r>
          </w:p>
        </w:tc>
        <w:tc>
          <w:tcPr>
            <w:tcW w:w="1138" w:type="dxa"/>
            <w:vAlign w:val="bottom"/>
          </w:tcPr>
          <w:p w14:paraId="39A7CA4E" w14:textId="77777777" w:rsidR="006920FD" w:rsidRPr="00823B29" w:rsidRDefault="006920FD" w:rsidP="00BA2588">
            <w:r w:rsidRPr="00823B29">
              <w:rPr>
                <w:color w:val="000000"/>
              </w:rPr>
              <w:t>14.2</w:t>
            </w:r>
          </w:p>
        </w:tc>
        <w:tc>
          <w:tcPr>
            <w:tcW w:w="1124" w:type="dxa"/>
            <w:vAlign w:val="bottom"/>
          </w:tcPr>
          <w:p w14:paraId="7508DBFD" w14:textId="77777777" w:rsidR="006920FD" w:rsidRPr="00823B29" w:rsidRDefault="006920FD" w:rsidP="00BA2588">
            <w:r w:rsidRPr="00823B29">
              <w:rPr>
                <w:color w:val="000000"/>
              </w:rPr>
              <w:t>23.27</w:t>
            </w:r>
          </w:p>
        </w:tc>
        <w:tc>
          <w:tcPr>
            <w:tcW w:w="1133" w:type="dxa"/>
            <w:vAlign w:val="bottom"/>
          </w:tcPr>
          <w:p w14:paraId="6FEC67F4" w14:textId="77777777" w:rsidR="006920FD" w:rsidRPr="00823B29" w:rsidRDefault="006920FD" w:rsidP="00BA2588">
            <w:r w:rsidRPr="00823B29">
              <w:rPr>
                <w:color w:val="000000"/>
              </w:rPr>
              <w:t>144.43</w:t>
            </w:r>
          </w:p>
        </w:tc>
      </w:tr>
      <w:tr w:rsidR="006920FD" w:rsidRPr="00823B29" w14:paraId="2EF55F13" w14:textId="77777777" w:rsidTr="00BA2588">
        <w:tc>
          <w:tcPr>
            <w:tcW w:w="1144" w:type="dxa"/>
            <w:tcBorders>
              <w:right w:val="single" w:sz="4" w:space="0" w:color="auto"/>
            </w:tcBorders>
          </w:tcPr>
          <w:p w14:paraId="14961480" w14:textId="77777777" w:rsidR="006920FD" w:rsidRPr="00823B29" w:rsidRDefault="006920FD" w:rsidP="00BA2588">
            <w:r w:rsidRPr="00823B29">
              <w:t>EWF</w:t>
            </w:r>
          </w:p>
        </w:tc>
        <w:tc>
          <w:tcPr>
            <w:tcW w:w="1124" w:type="dxa"/>
            <w:tcBorders>
              <w:left w:val="single" w:sz="4" w:space="0" w:color="auto"/>
            </w:tcBorders>
            <w:vAlign w:val="bottom"/>
          </w:tcPr>
          <w:p w14:paraId="5C9D3662" w14:textId="77777777" w:rsidR="006920FD" w:rsidRPr="00823B29" w:rsidRDefault="006920FD" w:rsidP="00BA2588">
            <w:r w:rsidRPr="00823B29">
              <w:rPr>
                <w:color w:val="000000"/>
              </w:rPr>
              <w:t>18.16</w:t>
            </w:r>
          </w:p>
        </w:tc>
        <w:tc>
          <w:tcPr>
            <w:tcW w:w="1124" w:type="dxa"/>
            <w:vAlign w:val="bottom"/>
          </w:tcPr>
          <w:p w14:paraId="163C3D2C" w14:textId="77777777" w:rsidR="006920FD" w:rsidRPr="00823B29" w:rsidRDefault="006920FD" w:rsidP="00BA2588">
            <w:r w:rsidRPr="00823B29">
              <w:rPr>
                <w:color w:val="000000"/>
              </w:rPr>
              <w:t>16.97</w:t>
            </w:r>
          </w:p>
        </w:tc>
        <w:tc>
          <w:tcPr>
            <w:tcW w:w="1115" w:type="dxa"/>
            <w:vAlign w:val="bottom"/>
          </w:tcPr>
          <w:p w14:paraId="20038638" w14:textId="77777777" w:rsidR="006920FD" w:rsidRPr="00823B29" w:rsidRDefault="006920FD" w:rsidP="00BA2588">
            <w:r w:rsidRPr="00823B29">
              <w:rPr>
                <w:color w:val="000000"/>
              </w:rPr>
              <w:t>0.85</w:t>
            </w:r>
          </w:p>
        </w:tc>
        <w:tc>
          <w:tcPr>
            <w:tcW w:w="1124" w:type="dxa"/>
            <w:vAlign w:val="bottom"/>
          </w:tcPr>
          <w:p w14:paraId="4240E5E4" w14:textId="77777777" w:rsidR="006920FD" w:rsidRPr="00823B29" w:rsidRDefault="006920FD" w:rsidP="00BA2588">
            <w:r w:rsidRPr="00823B29">
              <w:rPr>
                <w:color w:val="000000"/>
              </w:rPr>
              <w:t>7.26</w:t>
            </w:r>
          </w:p>
        </w:tc>
        <w:tc>
          <w:tcPr>
            <w:tcW w:w="1138" w:type="dxa"/>
            <w:vAlign w:val="bottom"/>
          </w:tcPr>
          <w:p w14:paraId="4EC0239C" w14:textId="77777777" w:rsidR="006920FD" w:rsidRPr="00823B29" w:rsidRDefault="006920FD" w:rsidP="00BA2588">
            <w:r w:rsidRPr="00823B29">
              <w:rPr>
                <w:color w:val="000000"/>
              </w:rPr>
              <w:t>13.02</w:t>
            </w:r>
          </w:p>
        </w:tc>
        <w:tc>
          <w:tcPr>
            <w:tcW w:w="1124" w:type="dxa"/>
            <w:vAlign w:val="bottom"/>
          </w:tcPr>
          <w:p w14:paraId="3C22F1F6" w14:textId="77777777" w:rsidR="006920FD" w:rsidRPr="00823B29" w:rsidRDefault="006920FD" w:rsidP="00BA2588">
            <w:r w:rsidRPr="00823B29">
              <w:rPr>
                <w:color w:val="000000"/>
              </w:rPr>
              <w:t>23.9</w:t>
            </w:r>
          </w:p>
        </w:tc>
        <w:tc>
          <w:tcPr>
            <w:tcW w:w="1133" w:type="dxa"/>
            <w:vAlign w:val="bottom"/>
          </w:tcPr>
          <w:p w14:paraId="23A93F7D" w14:textId="77777777" w:rsidR="006920FD" w:rsidRPr="00823B29" w:rsidRDefault="006920FD" w:rsidP="00BA2588">
            <w:r w:rsidRPr="00823B29">
              <w:rPr>
                <w:color w:val="000000"/>
              </w:rPr>
              <w:t>134.49</w:t>
            </w:r>
          </w:p>
        </w:tc>
      </w:tr>
      <w:tr w:rsidR="006920FD" w:rsidRPr="00823B29" w14:paraId="65A3AC30" w14:textId="77777777" w:rsidTr="00BA2588">
        <w:tc>
          <w:tcPr>
            <w:tcW w:w="1144" w:type="dxa"/>
            <w:tcBorders>
              <w:right w:val="single" w:sz="4" w:space="0" w:color="auto"/>
            </w:tcBorders>
          </w:tcPr>
          <w:p w14:paraId="164D2C61" w14:textId="77777777" w:rsidR="006920FD" w:rsidRPr="00823B29" w:rsidRDefault="006920FD" w:rsidP="00BA2588">
            <w:r w:rsidRPr="00823B29">
              <w:t>SSF</w:t>
            </w:r>
          </w:p>
        </w:tc>
        <w:tc>
          <w:tcPr>
            <w:tcW w:w="1124" w:type="dxa"/>
            <w:tcBorders>
              <w:left w:val="single" w:sz="4" w:space="0" w:color="auto"/>
            </w:tcBorders>
            <w:vAlign w:val="bottom"/>
          </w:tcPr>
          <w:p w14:paraId="29AC3BDD" w14:textId="77777777" w:rsidR="006920FD" w:rsidRPr="00823B29" w:rsidRDefault="006920FD" w:rsidP="00BA2588">
            <w:r w:rsidRPr="00823B29">
              <w:rPr>
                <w:color w:val="000000"/>
              </w:rPr>
              <w:t>14.58</w:t>
            </w:r>
          </w:p>
        </w:tc>
        <w:tc>
          <w:tcPr>
            <w:tcW w:w="1124" w:type="dxa"/>
            <w:vAlign w:val="bottom"/>
          </w:tcPr>
          <w:p w14:paraId="4F8150B8" w14:textId="77777777" w:rsidR="006920FD" w:rsidRPr="00823B29" w:rsidRDefault="006920FD" w:rsidP="00BA2588">
            <w:r w:rsidRPr="00823B29">
              <w:rPr>
                <w:color w:val="000000"/>
              </w:rPr>
              <w:t>12.65</w:t>
            </w:r>
          </w:p>
        </w:tc>
        <w:tc>
          <w:tcPr>
            <w:tcW w:w="1115" w:type="dxa"/>
            <w:vAlign w:val="bottom"/>
          </w:tcPr>
          <w:p w14:paraId="2F028EF7" w14:textId="77777777" w:rsidR="006920FD" w:rsidRPr="00823B29" w:rsidRDefault="006920FD" w:rsidP="00BA2588">
            <w:r w:rsidRPr="00823B29">
              <w:rPr>
                <w:color w:val="000000"/>
              </w:rPr>
              <w:t>1.17</w:t>
            </w:r>
          </w:p>
        </w:tc>
        <w:tc>
          <w:tcPr>
            <w:tcW w:w="1124" w:type="dxa"/>
            <w:vAlign w:val="bottom"/>
          </w:tcPr>
          <w:p w14:paraId="103377B2" w14:textId="77777777" w:rsidR="006920FD" w:rsidRPr="00823B29" w:rsidRDefault="006920FD" w:rsidP="00BA2588">
            <w:r w:rsidRPr="00823B29">
              <w:rPr>
                <w:color w:val="000000"/>
              </w:rPr>
              <w:t>6.21</w:t>
            </w:r>
          </w:p>
        </w:tc>
        <w:tc>
          <w:tcPr>
            <w:tcW w:w="1138" w:type="dxa"/>
            <w:vAlign w:val="bottom"/>
          </w:tcPr>
          <w:p w14:paraId="2183929A" w14:textId="77777777" w:rsidR="006920FD" w:rsidRPr="00823B29" w:rsidRDefault="006920FD" w:rsidP="00BA2588">
            <w:r w:rsidRPr="00823B29">
              <w:rPr>
                <w:color w:val="000000"/>
              </w:rPr>
              <w:t>10.3</w:t>
            </w:r>
          </w:p>
        </w:tc>
        <w:tc>
          <w:tcPr>
            <w:tcW w:w="1124" w:type="dxa"/>
            <w:vAlign w:val="bottom"/>
          </w:tcPr>
          <w:p w14:paraId="4F9BD47E" w14:textId="77777777" w:rsidR="006920FD" w:rsidRPr="00823B29" w:rsidRDefault="006920FD" w:rsidP="00BA2588">
            <w:r w:rsidRPr="00823B29">
              <w:rPr>
                <w:color w:val="000000"/>
              </w:rPr>
              <w:t>19.77</w:t>
            </w:r>
          </w:p>
        </w:tc>
        <w:tc>
          <w:tcPr>
            <w:tcW w:w="1133" w:type="dxa"/>
            <w:vAlign w:val="bottom"/>
          </w:tcPr>
          <w:p w14:paraId="2833C89B" w14:textId="77777777" w:rsidR="006920FD" w:rsidRPr="00823B29" w:rsidRDefault="006920FD" w:rsidP="00BA2588">
            <w:r w:rsidRPr="00823B29">
              <w:rPr>
                <w:color w:val="000000"/>
              </w:rPr>
              <w:t>120.55</w:t>
            </w:r>
          </w:p>
        </w:tc>
      </w:tr>
      <w:tr w:rsidR="006920FD" w:rsidRPr="00823B29" w14:paraId="5908A21E" w14:textId="77777777" w:rsidTr="00BA2588">
        <w:tc>
          <w:tcPr>
            <w:tcW w:w="1144" w:type="dxa"/>
            <w:tcBorders>
              <w:right w:val="single" w:sz="4" w:space="0" w:color="auto"/>
            </w:tcBorders>
          </w:tcPr>
          <w:p w14:paraId="53118B06" w14:textId="77777777" w:rsidR="006920FD" w:rsidRPr="00823B29" w:rsidRDefault="006920FD" w:rsidP="00BA2588">
            <w:r w:rsidRPr="00823B29">
              <w:t>SPF</w:t>
            </w:r>
          </w:p>
        </w:tc>
        <w:tc>
          <w:tcPr>
            <w:tcW w:w="1124" w:type="dxa"/>
            <w:tcBorders>
              <w:left w:val="single" w:sz="4" w:space="0" w:color="auto"/>
            </w:tcBorders>
            <w:vAlign w:val="bottom"/>
          </w:tcPr>
          <w:p w14:paraId="630F39FF" w14:textId="77777777" w:rsidR="006920FD" w:rsidRPr="00823B29" w:rsidRDefault="006920FD" w:rsidP="00BA2588">
            <w:r w:rsidRPr="00823B29">
              <w:rPr>
                <w:color w:val="000000"/>
              </w:rPr>
              <w:t>11.36</w:t>
            </w:r>
          </w:p>
        </w:tc>
        <w:tc>
          <w:tcPr>
            <w:tcW w:w="1124" w:type="dxa"/>
            <w:vAlign w:val="bottom"/>
          </w:tcPr>
          <w:p w14:paraId="5A30DD27" w14:textId="77777777" w:rsidR="006920FD" w:rsidRPr="00823B29" w:rsidRDefault="006920FD" w:rsidP="00BA2588">
            <w:r w:rsidRPr="00823B29">
              <w:rPr>
                <w:color w:val="000000"/>
              </w:rPr>
              <w:t>10.69</w:t>
            </w:r>
          </w:p>
        </w:tc>
        <w:tc>
          <w:tcPr>
            <w:tcW w:w="1115" w:type="dxa"/>
            <w:vAlign w:val="bottom"/>
          </w:tcPr>
          <w:p w14:paraId="1FA10221" w14:textId="77777777" w:rsidR="006920FD" w:rsidRPr="00823B29" w:rsidRDefault="006920FD" w:rsidP="00BA2588">
            <w:r w:rsidRPr="00823B29">
              <w:rPr>
                <w:color w:val="000000"/>
              </w:rPr>
              <w:t>0.77</w:t>
            </w:r>
          </w:p>
        </w:tc>
        <w:tc>
          <w:tcPr>
            <w:tcW w:w="1124" w:type="dxa"/>
            <w:vAlign w:val="bottom"/>
          </w:tcPr>
          <w:p w14:paraId="7EDB611C" w14:textId="77777777" w:rsidR="006920FD" w:rsidRPr="00823B29" w:rsidRDefault="006920FD" w:rsidP="00BA2588">
            <w:r w:rsidRPr="00823B29">
              <w:rPr>
                <w:color w:val="000000"/>
              </w:rPr>
              <w:t>5.14</w:t>
            </w:r>
          </w:p>
        </w:tc>
        <w:tc>
          <w:tcPr>
            <w:tcW w:w="1138" w:type="dxa"/>
            <w:vAlign w:val="bottom"/>
          </w:tcPr>
          <w:p w14:paraId="4129670F" w14:textId="77777777" w:rsidR="006920FD" w:rsidRPr="00823B29" w:rsidRDefault="006920FD" w:rsidP="00BA2588">
            <w:r w:rsidRPr="00823B29">
              <w:rPr>
                <w:color w:val="000000"/>
              </w:rPr>
              <w:t>8.5</w:t>
            </w:r>
          </w:p>
        </w:tc>
        <w:tc>
          <w:tcPr>
            <w:tcW w:w="1124" w:type="dxa"/>
            <w:vAlign w:val="bottom"/>
          </w:tcPr>
          <w:p w14:paraId="6C6375E6" w14:textId="77777777" w:rsidR="006920FD" w:rsidRPr="00823B29" w:rsidRDefault="006920FD" w:rsidP="00BA2588">
            <w:r w:rsidRPr="00823B29">
              <w:rPr>
                <w:color w:val="000000"/>
              </w:rPr>
              <w:t>14.52</w:t>
            </w:r>
          </w:p>
        </w:tc>
        <w:tc>
          <w:tcPr>
            <w:tcW w:w="1133" w:type="dxa"/>
            <w:vAlign w:val="bottom"/>
          </w:tcPr>
          <w:p w14:paraId="3EAEF563" w14:textId="77777777" w:rsidR="006920FD" w:rsidRPr="00823B29" w:rsidRDefault="006920FD" w:rsidP="00BA2588">
            <w:r w:rsidRPr="00823B29">
              <w:rPr>
                <w:color w:val="000000"/>
              </w:rPr>
              <w:t>128.94</w:t>
            </w:r>
          </w:p>
        </w:tc>
      </w:tr>
      <w:tr w:rsidR="006920FD" w:rsidRPr="00823B29" w14:paraId="6D686C14" w14:textId="77777777" w:rsidTr="00BA2588">
        <w:tc>
          <w:tcPr>
            <w:tcW w:w="1144" w:type="dxa"/>
            <w:tcBorders>
              <w:right w:val="single" w:sz="4" w:space="0" w:color="auto"/>
            </w:tcBorders>
          </w:tcPr>
          <w:p w14:paraId="3B4039DB" w14:textId="77777777" w:rsidR="006920FD" w:rsidRPr="00823B29" w:rsidRDefault="006920FD" w:rsidP="00BA2588">
            <w:r w:rsidRPr="00823B29">
              <w:t>CMAF</w:t>
            </w:r>
          </w:p>
        </w:tc>
        <w:tc>
          <w:tcPr>
            <w:tcW w:w="1124" w:type="dxa"/>
            <w:tcBorders>
              <w:left w:val="single" w:sz="4" w:space="0" w:color="auto"/>
            </w:tcBorders>
            <w:vAlign w:val="bottom"/>
          </w:tcPr>
          <w:p w14:paraId="29F8620C" w14:textId="77777777" w:rsidR="006920FD" w:rsidRPr="00823B29" w:rsidRDefault="006920FD" w:rsidP="00BA2588">
            <w:r w:rsidRPr="00823B29">
              <w:rPr>
                <w:color w:val="000000"/>
              </w:rPr>
              <w:t>9.41</w:t>
            </w:r>
          </w:p>
        </w:tc>
        <w:tc>
          <w:tcPr>
            <w:tcW w:w="1124" w:type="dxa"/>
            <w:vAlign w:val="bottom"/>
          </w:tcPr>
          <w:p w14:paraId="38D637E2" w14:textId="77777777" w:rsidR="006920FD" w:rsidRPr="00823B29" w:rsidRDefault="006920FD" w:rsidP="00BA2588">
            <w:r w:rsidRPr="00823B29">
              <w:rPr>
                <w:color w:val="000000"/>
              </w:rPr>
              <w:t>11.57</w:t>
            </w:r>
          </w:p>
        </w:tc>
        <w:tc>
          <w:tcPr>
            <w:tcW w:w="1115" w:type="dxa"/>
            <w:vAlign w:val="bottom"/>
          </w:tcPr>
          <w:p w14:paraId="0D2AA48F" w14:textId="77777777" w:rsidR="006920FD" w:rsidRPr="00823B29" w:rsidRDefault="006920FD" w:rsidP="00BA2588">
            <w:r w:rsidRPr="00823B29">
              <w:rPr>
                <w:color w:val="000000"/>
              </w:rPr>
              <w:t>0.59</w:t>
            </w:r>
          </w:p>
        </w:tc>
        <w:tc>
          <w:tcPr>
            <w:tcW w:w="1124" w:type="dxa"/>
            <w:vAlign w:val="bottom"/>
          </w:tcPr>
          <w:p w14:paraId="37F7B20E" w14:textId="77777777" w:rsidR="006920FD" w:rsidRPr="00823B29" w:rsidRDefault="006920FD" w:rsidP="00BA2588">
            <w:r w:rsidRPr="00823B29">
              <w:rPr>
                <w:color w:val="000000"/>
              </w:rPr>
              <w:t>3.84</w:t>
            </w:r>
          </w:p>
        </w:tc>
        <w:tc>
          <w:tcPr>
            <w:tcW w:w="1138" w:type="dxa"/>
            <w:vAlign w:val="bottom"/>
          </w:tcPr>
          <w:p w14:paraId="34768E17" w14:textId="77777777" w:rsidR="006920FD" w:rsidRPr="00823B29" w:rsidRDefault="006920FD" w:rsidP="00BA2588">
            <w:r w:rsidRPr="00823B29">
              <w:rPr>
                <w:color w:val="000000"/>
              </w:rPr>
              <w:t>5.97</w:t>
            </w:r>
          </w:p>
        </w:tc>
        <w:tc>
          <w:tcPr>
            <w:tcW w:w="1124" w:type="dxa"/>
            <w:vAlign w:val="bottom"/>
          </w:tcPr>
          <w:p w14:paraId="4335DB60" w14:textId="77777777" w:rsidR="006920FD" w:rsidRPr="00823B29" w:rsidRDefault="006920FD" w:rsidP="00BA2588">
            <w:r w:rsidRPr="00823B29">
              <w:rPr>
                <w:color w:val="000000"/>
              </w:rPr>
              <w:t>10.7</w:t>
            </w:r>
          </w:p>
        </w:tc>
        <w:tc>
          <w:tcPr>
            <w:tcW w:w="1133" w:type="dxa"/>
            <w:vAlign w:val="bottom"/>
          </w:tcPr>
          <w:p w14:paraId="042DD59C" w14:textId="77777777" w:rsidR="006920FD" w:rsidRPr="00823B29" w:rsidRDefault="006920FD" w:rsidP="00BA2588">
            <w:r w:rsidRPr="00823B29">
              <w:rPr>
                <w:color w:val="000000"/>
              </w:rPr>
              <w:t>117.92</w:t>
            </w:r>
          </w:p>
        </w:tc>
      </w:tr>
    </w:tbl>
    <w:p w14:paraId="6DF88DCA" w14:textId="77777777" w:rsidR="00347587" w:rsidRPr="00823B29" w:rsidRDefault="00347587" w:rsidP="00347587">
      <w:pPr>
        <w:pStyle w:val="MDPI31text"/>
        <w:spacing w:line="240" w:lineRule="auto"/>
        <w:rPr>
          <w:rFonts w:ascii="Times New Roman" w:hAnsi="Times New Roman"/>
          <w:color w:val="auto"/>
          <w:sz w:val="22"/>
        </w:rPr>
      </w:pPr>
    </w:p>
    <w:p w14:paraId="75669AA7" w14:textId="71D78C8C" w:rsidR="00347587" w:rsidRPr="00FF5C1C" w:rsidRDefault="00347587" w:rsidP="00347587">
      <w:pPr>
        <w:pStyle w:val="MDPI31text"/>
        <w:spacing w:line="240" w:lineRule="auto"/>
        <w:rPr>
          <w:rFonts w:ascii="Times New Roman" w:hAnsi="Times New Roman"/>
          <w:color w:val="FF0000"/>
          <w:sz w:val="22"/>
        </w:rPr>
      </w:pPr>
      <w:r w:rsidRPr="00FF5C1C">
        <w:rPr>
          <w:rFonts w:ascii="Times New Roman" w:hAnsi="Times New Roman"/>
          <w:color w:val="FF0000"/>
          <w:sz w:val="22"/>
        </w:rPr>
        <w:t>Summary of the information in Table A.2.:</w:t>
      </w:r>
    </w:p>
    <w:p w14:paraId="769F4EB5" w14:textId="77777777" w:rsidR="00BA2588" w:rsidRPr="00FF5C1C" w:rsidRDefault="00BA2588" w:rsidP="00347587">
      <w:pPr>
        <w:pStyle w:val="Caption"/>
        <w:numPr>
          <w:ilvl w:val="0"/>
          <w:numId w:val="21"/>
        </w:numPr>
        <w:spacing w:after="0"/>
        <w:ind w:left="851" w:hanging="357"/>
        <w:jc w:val="both"/>
        <w:rPr>
          <w:rFonts w:ascii="Times New Roman" w:hAnsi="Times New Roman" w:cs="Times New Roman"/>
          <w:i w:val="0"/>
          <w:iCs w:val="0"/>
          <w:color w:val="FF0000"/>
          <w:sz w:val="22"/>
          <w:szCs w:val="22"/>
          <w:lang w:val="en-US"/>
        </w:rPr>
      </w:pPr>
      <w:proofErr w:type="spellStart"/>
      <w:r w:rsidRPr="00FF5C1C">
        <w:rPr>
          <w:rFonts w:ascii="Times New Roman" w:hAnsi="Times New Roman" w:cs="Times New Roman"/>
          <w:i w:val="0"/>
          <w:iCs w:val="0"/>
          <w:color w:val="FF0000"/>
          <w:sz w:val="22"/>
          <w:szCs w:val="22"/>
        </w:rPr>
        <w:t>Lower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mean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values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with</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regards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bicycle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compared</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walking</w:t>
      </w:r>
      <w:proofErr w:type="spellEnd"/>
      <w:r w:rsidRPr="00FF5C1C">
        <w:rPr>
          <w:rFonts w:ascii="Times New Roman" w:hAnsi="Times New Roman" w:cs="Times New Roman"/>
          <w:i w:val="0"/>
          <w:iCs w:val="0"/>
          <w:color w:val="FF0000"/>
          <w:sz w:val="22"/>
          <w:szCs w:val="22"/>
        </w:rPr>
        <w:t xml:space="preserve"> , </w:t>
      </w:r>
      <w:proofErr w:type="spellStart"/>
      <w:r w:rsidRPr="00FF5C1C">
        <w:rPr>
          <w:rFonts w:ascii="Times New Roman" w:hAnsi="Times New Roman" w:cs="Times New Roman"/>
          <w:i w:val="0"/>
          <w:iCs w:val="0"/>
          <w:color w:val="FF0000"/>
          <w:sz w:val="22"/>
          <w:szCs w:val="22"/>
        </w:rPr>
        <w:t>suggest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existence</w:t>
      </w:r>
      <w:proofErr w:type="spellEnd"/>
      <w:r w:rsidRPr="00FF5C1C">
        <w:rPr>
          <w:rFonts w:ascii="Times New Roman" w:hAnsi="Times New Roman" w:cs="Times New Roman"/>
          <w:i w:val="0"/>
          <w:iCs w:val="0"/>
          <w:color w:val="FF0000"/>
          <w:sz w:val="22"/>
          <w:szCs w:val="22"/>
        </w:rPr>
        <w:t xml:space="preserve"> of a </w:t>
      </w:r>
      <w:proofErr w:type="spellStart"/>
      <w:r w:rsidRPr="00FF5C1C">
        <w:rPr>
          <w:rFonts w:ascii="Times New Roman" w:hAnsi="Times New Roman" w:cs="Times New Roman"/>
          <w:i w:val="0"/>
          <w:iCs w:val="0"/>
          <w:color w:val="FF0000"/>
          <w:sz w:val="22"/>
          <w:szCs w:val="22"/>
        </w:rPr>
        <w:t>greater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distances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facilities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yet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wider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coverage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using</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bicycles</w:t>
      </w:r>
      <w:proofErr w:type="spellEnd"/>
      <w:r w:rsidRPr="00FF5C1C">
        <w:rPr>
          <w:rFonts w:ascii="Times New Roman" w:hAnsi="Times New Roman" w:cs="Times New Roman"/>
          <w:i w:val="0"/>
          <w:iCs w:val="0"/>
          <w:color w:val="FF0000"/>
          <w:sz w:val="22"/>
          <w:szCs w:val="22"/>
        </w:rPr>
        <w:t xml:space="preserve"> (e.g., CEB </w:t>
      </w:r>
      <w:proofErr w:type="spellStart"/>
      <w:r w:rsidRPr="00FF5C1C">
        <w:rPr>
          <w:rFonts w:ascii="Times New Roman" w:hAnsi="Times New Roman" w:cs="Times New Roman"/>
          <w:i w:val="0"/>
          <w:iCs w:val="0"/>
          <w:color w:val="FF0000"/>
          <w:sz w:val="22"/>
          <w:szCs w:val="22"/>
        </w:rPr>
        <w:t>mean</w:t>
      </w:r>
      <w:proofErr w:type="spellEnd"/>
      <w:r w:rsidRPr="00FF5C1C">
        <w:rPr>
          <w:rFonts w:ascii="Times New Roman" w:hAnsi="Times New Roman" w:cs="Times New Roman"/>
          <w:i w:val="0"/>
          <w:iCs w:val="0"/>
          <w:color w:val="FF0000"/>
          <w:sz w:val="22"/>
          <w:szCs w:val="22"/>
        </w:rPr>
        <w:t xml:space="preserve"> of 12.32 </w:t>
      </w:r>
      <w:proofErr w:type="spellStart"/>
      <w:r w:rsidRPr="00FF5C1C">
        <w:rPr>
          <w:rFonts w:ascii="Times New Roman" w:hAnsi="Times New Roman" w:cs="Times New Roman"/>
          <w:i w:val="0"/>
          <w:iCs w:val="0"/>
          <w:color w:val="FF0000"/>
          <w:sz w:val="22"/>
          <w:szCs w:val="22"/>
        </w:rPr>
        <w:t>minutes</w:t>
      </w:r>
      <w:proofErr w:type="spellEnd"/>
      <w:r w:rsidRPr="00FF5C1C">
        <w:rPr>
          <w:rFonts w:ascii="Times New Roman" w:hAnsi="Times New Roman" w:cs="Times New Roman"/>
          <w:i w:val="0"/>
          <w:iCs w:val="0"/>
          <w:color w:val="FF0000"/>
          <w:sz w:val="22"/>
          <w:szCs w:val="22"/>
        </w:rPr>
        <w:t xml:space="preserve"> for cultural </w:t>
      </w:r>
      <w:proofErr w:type="spellStart"/>
      <w:r w:rsidRPr="00FF5C1C">
        <w:rPr>
          <w:rFonts w:ascii="Times New Roman" w:hAnsi="Times New Roman" w:cs="Times New Roman"/>
          <w:i w:val="0"/>
          <w:iCs w:val="0"/>
          <w:color w:val="FF0000"/>
          <w:sz w:val="22"/>
          <w:szCs w:val="22"/>
        </w:rPr>
        <w:t>activities</w:t>
      </w:r>
      <w:proofErr w:type="spellEnd"/>
      <w:r w:rsidRPr="00FF5C1C">
        <w:rPr>
          <w:rFonts w:ascii="Times New Roman" w:hAnsi="Times New Roman" w:cs="Times New Roman"/>
          <w:i w:val="0"/>
          <w:iCs w:val="0"/>
          <w:color w:val="FF0000"/>
          <w:sz w:val="22"/>
          <w:szCs w:val="22"/>
        </w:rPr>
        <w:t>).</w:t>
      </w:r>
    </w:p>
    <w:p w14:paraId="3A82FBF7" w14:textId="77777777" w:rsidR="00BA2588" w:rsidRPr="00FF5C1C" w:rsidRDefault="00BA2588" w:rsidP="00347587">
      <w:pPr>
        <w:pStyle w:val="Caption"/>
        <w:numPr>
          <w:ilvl w:val="0"/>
          <w:numId w:val="21"/>
        </w:numPr>
        <w:spacing w:after="0"/>
        <w:ind w:left="851" w:hanging="357"/>
        <w:jc w:val="both"/>
        <w:rPr>
          <w:rFonts w:ascii="Times New Roman" w:hAnsi="Times New Roman" w:cs="Times New Roman"/>
          <w:i w:val="0"/>
          <w:iCs w:val="0"/>
          <w:color w:val="FF0000"/>
          <w:sz w:val="22"/>
          <w:szCs w:val="22"/>
          <w:lang w:val="en-US"/>
        </w:rPr>
      </w:pPr>
      <w:proofErr w:type="spellStart"/>
      <w:r w:rsidRPr="00FF5C1C">
        <w:rPr>
          <w:rFonts w:ascii="Times New Roman" w:hAnsi="Times New Roman" w:cs="Times New Roman"/>
          <w:i w:val="0"/>
          <w:iCs w:val="0"/>
          <w:color w:val="FF0000"/>
          <w:sz w:val="22"/>
          <w:szCs w:val="22"/>
        </w:rPr>
        <w:t>High</w:t>
      </w:r>
      <w:proofErr w:type="spellEnd"/>
      <w:r w:rsidRPr="00FF5C1C">
        <w:rPr>
          <w:rFonts w:ascii="Times New Roman" w:hAnsi="Times New Roman" w:cs="Times New Roman"/>
          <w:i w:val="0"/>
          <w:iCs w:val="0"/>
          <w:color w:val="FF0000"/>
          <w:sz w:val="22"/>
          <w:szCs w:val="22"/>
        </w:rPr>
        <w:t xml:space="preserve"> standard </w:t>
      </w:r>
      <w:proofErr w:type="spellStart"/>
      <w:r w:rsidRPr="00FF5C1C">
        <w:rPr>
          <w:rFonts w:ascii="Times New Roman" w:hAnsi="Times New Roman" w:cs="Times New Roman"/>
          <w:i w:val="0"/>
          <w:iCs w:val="0"/>
          <w:color w:val="FF0000"/>
          <w:sz w:val="22"/>
          <w:szCs w:val="22"/>
        </w:rPr>
        <w:t>deviation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values</w:t>
      </w:r>
      <w:proofErr w:type="spellEnd"/>
      <w:r w:rsidRPr="00FF5C1C">
        <w:rPr>
          <w:rFonts w:ascii="Times New Roman" w:hAnsi="Times New Roman" w:cs="Times New Roman"/>
          <w:i w:val="0"/>
          <w:iCs w:val="0"/>
          <w:color w:val="FF0000"/>
          <w:sz w:val="22"/>
          <w:szCs w:val="22"/>
        </w:rPr>
        <w:t xml:space="preserve"> indicate </w:t>
      </w:r>
      <w:proofErr w:type="spellStart"/>
      <w:r w:rsidRPr="00FF5C1C">
        <w:rPr>
          <w:rFonts w:ascii="Times New Roman" w:hAnsi="Times New Roman" w:cs="Times New Roman"/>
          <w:i w:val="0"/>
          <w:iCs w:val="0"/>
          <w:color w:val="FF0000"/>
          <w:sz w:val="22"/>
          <w:szCs w:val="22"/>
        </w:rPr>
        <w:t>significant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variability</w:t>
      </w:r>
      <w:proofErr w:type="spellEnd"/>
      <w:r w:rsidRPr="00FF5C1C">
        <w:rPr>
          <w:rFonts w:ascii="Times New Roman" w:hAnsi="Times New Roman" w:cs="Times New Roman"/>
          <w:i w:val="0"/>
          <w:iCs w:val="0"/>
          <w:color w:val="FF0000"/>
          <w:sz w:val="22"/>
          <w:szCs w:val="22"/>
        </w:rPr>
        <w:t xml:space="preserve"> in </w:t>
      </w:r>
      <w:proofErr w:type="spellStart"/>
      <w:r w:rsidRPr="00FF5C1C">
        <w:rPr>
          <w:rFonts w:ascii="Times New Roman" w:hAnsi="Times New Roman" w:cs="Times New Roman"/>
          <w:i w:val="0"/>
          <w:iCs w:val="0"/>
          <w:color w:val="FF0000"/>
          <w:sz w:val="22"/>
          <w:szCs w:val="22"/>
        </w:rPr>
        <w:t>accessibility</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with</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some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areas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having</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much</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better</w:t>
      </w:r>
      <w:proofErr w:type="spellEnd"/>
      <w:r w:rsidRPr="00FF5C1C">
        <w:rPr>
          <w:rFonts w:ascii="Times New Roman" w:hAnsi="Times New Roman" w:cs="Times New Roman"/>
          <w:i w:val="0"/>
          <w:iCs w:val="0"/>
          <w:color w:val="FF0000"/>
          <w:sz w:val="22"/>
          <w:szCs w:val="22"/>
        </w:rPr>
        <w:t xml:space="preserve"> or </w:t>
      </w:r>
      <w:proofErr w:type="spellStart"/>
      <w:r w:rsidRPr="00FF5C1C">
        <w:rPr>
          <w:rFonts w:ascii="Times New Roman" w:hAnsi="Times New Roman" w:cs="Times New Roman"/>
          <w:i w:val="0"/>
          <w:iCs w:val="0"/>
          <w:color w:val="FF0000"/>
          <w:sz w:val="22"/>
          <w:szCs w:val="22"/>
        </w:rPr>
        <w:t>worse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w:t>
      </w:r>
      <w:proofErr w:type="spellEnd"/>
      <w:r w:rsidRPr="00FF5C1C">
        <w:rPr>
          <w:rFonts w:ascii="Times New Roman" w:hAnsi="Times New Roman" w:cs="Times New Roman"/>
          <w:i w:val="0"/>
          <w:iCs w:val="0"/>
          <w:color w:val="FF0000"/>
          <w:sz w:val="22"/>
          <w:szCs w:val="22"/>
        </w:rPr>
        <w:t xml:space="preserve"> (e.g., EWB standard </w:t>
      </w:r>
      <w:proofErr w:type="spellStart"/>
      <w:r w:rsidRPr="00FF5C1C">
        <w:rPr>
          <w:rFonts w:ascii="Times New Roman" w:hAnsi="Times New Roman" w:cs="Times New Roman"/>
          <w:i w:val="0"/>
          <w:iCs w:val="0"/>
          <w:color w:val="FF0000"/>
          <w:sz w:val="22"/>
          <w:szCs w:val="22"/>
        </w:rPr>
        <w:t>deviation</w:t>
      </w:r>
      <w:proofErr w:type="spellEnd"/>
      <w:r w:rsidRPr="00FF5C1C">
        <w:rPr>
          <w:rFonts w:ascii="Times New Roman" w:hAnsi="Times New Roman" w:cs="Times New Roman"/>
          <w:i w:val="0"/>
          <w:iCs w:val="0"/>
          <w:color w:val="FF0000"/>
          <w:sz w:val="22"/>
          <w:szCs w:val="22"/>
        </w:rPr>
        <w:t xml:space="preserve"> of 6.50 for </w:t>
      </w:r>
      <w:proofErr w:type="spellStart"/>
      <w:r w:rsidRPr="00FF5C1C">
        <w:rPr>
          <w:rFonts w:ascii="Times New Roman" w:hAnsi="Times New Roman" w:cs="Times New Roman"/>
          <w:i w:val="0"/>
          <w:iCs w:val="0"/>
          <w:color w:val="FF0000"/>
          <w:sz w:val="22"/>
          <w:szCs w:val="22"/>
        </w:rPr>
        <w:t>restaurants</w:t>
      </w:r>
      <w:proofErr w:type="spellEnd"/>
      <w:r w:rsidRPr="00FF5C1C">
        <w:rPr>
          <w:rFonts w:ascii="Times New Roman" w:hAnsi="Times New Roman" w:cs="Times New Roman"/>
          <w:i w:val="0"/>
          <w:iCs w:val="0"/>
          <w:color w:val="FF0000"/>
          <w:sz w:val="22"/>
          <w:szCs w:val="22"/>
        </w:rPr>
        <w:t>).</w:t>
      </w:r>
    </w:p>
    <w:p w14:paraId="5013BDAB" w14:textId="77777777" w:rsidR="00BA2588" w:rsidRPr="00FF5C1C" w:rsidRDefault="00BA2588" w:rsidP="00347587">
      <w:pPr>
        <w:pStyle w:val="Caption"/>
        <w:numPr>
          <w:ilvl w:val="0"/>
          <w:numId w:val="21"/>
        </w:numPr>
        <w:spacing w:after="0"/>
        <w:ind w:left="851" w:hanging="357"/>
        <w:jc w:val="both"/>
        <w:rPr>
          <w:rFonts w:ascii="Times New Roman" w:hAnsi="Times New Roman" w:cs="Times New Roman"/>
          <w:i w:val="0"/>
          <w:iCs w:val="0"/>
          <w:color w:val="FF0000"/>
          <w:sz w:val="22"/>
          <w:szCs w:val="22"/>
          <w:lang w:val="en-US"/>
        </w:rPr>
      </w:pPr>
      <w:proofErr w:type="spellStart"/>
      <w:r w:rsidRPr="00FF5C1C">
        <w:rPr>
          <w:rFonts w:ascii="Times New Roman" w:hAnsi="Times New Roman" w:cs="Times New Roman"/>
          <w:i w:val="0"/>
          <w:iCs w:val="0"/>
          <w:color w:val="FF0000"/>
          <w:sz w:val="22"/>
          <w:szCs w:val="22"/>
        </w:rPr>
        <w:t>Usually</w:t>
      </w:r>
      <w:proofErr w:type="spellEnd"/>
      <w:r w:rsidRPr="00FF5C1C">
        <w:rPr>
          <w:rFonts w:ascii="Times New Roman" w:hAnsi="Times New Roman" w:cs="Times New Roman"/>
          <w:i w:val="0"/>
          <w:iCs w:val="0"/>
          <w:color w:val="FF0000"/>
          <w:sz w:val="22"/>
          <w:szCs w:val="22"/>
        </w:rPr>
        <w:t xml:space="preserve">, as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literature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is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stating</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median </w:t>
      </w:r>
      <w:proofErr w:type="spellStart"/>
      <w:r w:rsidRPr="00FF5C1C">
        <w:rPr>
          <w:rFonts w:ascii="Times New Roman" w:hAnsi="Times New Roman" w:cs="Times New Roman"/>
          <w:i w:val="0"/>
          <w:iCs w:val="0"/>
          <w:color w:val="FF0000"/>
          <w:sz w:val="22"/>
          <w:szCs w:val="22"/>
        </w:rPr>
        <w:t>values</w:t>
      </w:r>
      <w:proofErr w:type="spellEnd"/>
      <w:r w:rsidRPr="00FF5C1C">
        <w:rPr>
          <w:rFonts w:ascii="Times New Roman" w:hAnsi="Times New Roman" w:cs="Times New Roman"/>
          <w:i w:val="0"/>
          <w:iCs w:val="0"/>
          <w:color w:val="FF0000"/>
          <w:sz w:val="22"/>
          <w:szCs w:val="22"/>
        </w:rPr>
        <w:t xml:space="preserve"> are </w:t>
      </w:r>
      <w:proofErr w:type="spellStart"/>
      <w:r w:rsidRPr="00FF5C1C">
        <w:rPr>
          <w:rFonts w:ascii="Times New Roman" w:hAnsi="Times New Roman" w:cs="Times New Roman"/>
          <w:i w:val="0"/>
          <w:iCs w:val="0"/>
          <w:color w:val="FF0000"/>
          <w:sz w:val="22"/>
          <w:szCs w:val="22"/>
        </w:rPr>
        <w:t>generally</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lower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than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mean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this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indicating</w:t>
      </w:r>
      <w:proofErr w:type="spellEnd"/>
      <w:r w:rsidRPr="00FF5C1C">
        <w:rPr>
          <w:rFonts w:ascii="Times New Roman" w:hAnsi="Times New Roman" w:cs="Times New Roman"/>
          <w:i w:val="0"/>
          <w:iCs w:val="0"/>
          <w:color w:val="FF0000"/>
          <w:sz w:val="22"/>
          <w:szCs w:val="22"/>
        </w:rPr>
        <w:t xml:space="preserve"> a </w:t>
      </w:r>
      <w:proofErr w:type="spellStart"/>
      <w:r w:rsidRPr="00FF5C1C">
        <w:rPr>
          <w:rFonts w:ascii="Times New Roman" w:hAnsi="Times New Roman" w:cs="Times New Roman"/>
          <w:i w:val="0"/>
          <w:iCs w:val="0"/>
          <w:color w:val="FF0000"/>
          <w:sz w:val="22"/>
          <w:szCs w:val="22"/>
        </w:rPr>
        <w:t>skewed</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accessibility</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distribution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meaning</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that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there</w:t>
      </w:r>
      <w:proofErr w:type="spellEnd"/>
      <w:r w:rsidRPr="00FF5C1C">
        <w:rPr>
          <w:rFonts w:ascii="Times New Roman" w:hAnsi="Times New Roman" w:cs="Times New Roman"/>
          <w:i w:val="0"/>
          <w:iCs w:val="0"/>
          <w:color w:val="FF0000"/>
          <w:sz w:val="22"/>
          <w:szCs w:val="22"/>
        </w:rPr>
        <w:t xml:space="preserve"> are </w:t>
      </w:r>
      <w:proofErr w:type="spellStart"/>
      <w:r w:rsidRPr="00FF5C1C">
        <w:rPr>
          <w:rFonts w:ascii="Times New Roman" w:hAnsi="Times New Roman" w:cs="Times New Roman"/>
          <w:i w:val="0"/>
          <w:iCs w:val="0"/>
          <w:color w:val="FF0000"/>
          <w:sz w:val="22"/>
          <w:szCs w:val="22"/>
        </w:rPr>
        <w:t>certain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regions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that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benefit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from</w:t>
      </w:r>
      <w:proofErr w:type="spellEnd"/>
      <w:r w:rsidRPr="00FF5C1C">
        <w:rPr>
          <w:rFonts w:ascii="Times New Roman" w:hAnsi="Times New Roman" w:cs="Times New Roman"/>
          <w:i w:val="0"/>
          <w:iCs w:val="0"/>
          <w:color w:val="FF0000"/>
          <w:sz w:val="22"/>
          <w:szCs w:val="22"/>
        </w:rPr>
        <w:t xml:space="preserve"> a </w:t>
      </w:r>
      <w:proofErr w:type="spellStart"/>
      <w:r w:rsidRPr="00FF5C1C">
        <w:rPr>
          <w:rFonts w:ascii="Times New Roman" w:hAnsi="Times New Roman" w:cs="Times New Roman"/>
          <w:i w:val="0"/>
          <w:iCs w:val="0"/>
          <w:color w:val="FF0000"/>
          <w:sz w:val="22"/>
          <w:szCs w:val="22"/>
        </w:rPr>
        <w:t>significant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better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w:t>
      </w:r>
      <w:proofErr w:type="spellEnd"/>
      <w:r w:rsidRPr="00FF5C1C">
        <w:rPr>
          <w:rFonts w:ascii="Times New Roman" w:hAnsi="Times New Roman" w:cs="Times New Roman"/>
          <w:i w:val="0"/>
          <w:iCs w:val="0"/>
          <w:color w:val="FF0000"/>
          <w:sz w:val="22"/>
          <w:szCs w:val="22"/>
        </w:rPr>
        <w:t>.</w:t>
      </w:r>
    </w:p>
    <w:p w14:paraId="7395838A" w14:textId="77777777" w:rsidR="00BA2588" w:rsidRPr="00FF5C1C" w:rsidRDefault="00BA2588" w:rsidP="00DE4EC0">
      <w:pPr>
        <w:pStyle w:val="Caption"/>
        <w:numPr>
          <w:ilvl w:val="0"/>
          <w:numId w:val="21"/>
        </w:numPr>
        <w:spacing w:after="0"/>
        <w:ind w:left="851" w:hanging="357"/>
        <w:jc w:val="both"/>
        <w:rPr>
          <w:rFonts w:ascii="Times New Roman" w:hAnsi="Times New Roman" w:cs="Times New Roman"/>
          <w:i w:val="0"/>
          <w:iCs w:val="0"/>
          <w:color w:val="FF0000"/>
          <w:sz w:val="22"/>
          <w:szCs w:val="22"/>
          <w:lang w:val="en-US"/>
        </w:rPr>
      </w:pPr>
      <w:proofErr w:type="spellStart"/>
      <w:r w:rsidRPr="00FF5C1C">
        <w:rPr>
          <w:rFonts w:ascii="Times New Roman" w:hAnsi="Times New Roman" w:cs="Times New Roman"/>
          <w:i w:val="0"/>
          <w:iCs w:val="0"/>
          <w:color w:val="FF0000"/>
          <w:sz w:val="22"/>
          <w:szCs w:val="22"/>
        </w:rPr>
        <w:t>Bicycle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improves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overall</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accessibility</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by</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enabling</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residents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cover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greater</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distances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compared</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walking</w:t>
      </w:r>
      <w:proofErr w:type="spellEnd"/>
      <w:r w:rsidRPr="00FF5C1C">
        <w:rPr>
          <w:rFonts w:ascii="Times New Roman" w:hAnsi="Times New Roman" w:cs="Times New Roman"/>
          <w:i w:val="0"/>
          <w:iCs w:val="0"/>
          <w:color w:val="FF0000"/>
          <w:sz w:val="22"/>
          <w:szCs w:val="22"/>
        </w:rPr>
        <w:t>.</w:t>
      </w:r>
    </w:p>
    <w:p w14:paraId="60E4EF83" w14:textId="77777777" w:rsidR="00644864" w:rsidRPr="00FF5C1C" w:rsidRDefault="00BA2588" w:rsidP="00644864">
      <w:pPr>
        <w:pStyle w:val="Caption"/>
        <w:numPr>
          <w:ilvl w:val="0"/>
          <w:numId w:val="21"/>
        </w:numPr>
        <w:ind w:left="810"/>
        <w:rPr>
          <w:rFonts w:ascii="Times New Roman" w:hAnsi="Times New Roman" w:cs="Times New Roman"/>
          <w:i w:val="0"/>
          <w:iCs w:val="0"/>
          <w:color w:val="FF0000"/>
          <w:sz w:val="22"/>
          <w:szCs w:val="22"/>
        </w:rPr>
      </w:pPr>
      <w:bookmarkStart w:id="1" w:name="_Ref177812266"/>
      <w:proofErr w:type="spellStart"/>
      <w:r w:rsidRPr="00FF5C1C">
        <w:rPr>
          <w:rFonts w:ascii="Times New Roman" w:hAnsi="Times New Roman" w:cs="Times New Roman"/>
          <w:i w:val="0"/>
          <w:iCs w:val="0"/>
          <w:color w:val="FF0000"/>
          <w:sz w:val="22"/>
          <w:szCs w:val="22"/>
        </w:rPr>
        <w:lastRenderedPageBreak/>
        <w:t>Large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variability</w:t>
      </w:r>
      <w:proofErr w:type="spellEnd"/>
      <w:r w:rsidRPr="00FF5C1C">
        <w:rPr>
          <w:rFonts w:ascii="Times New Roman" w:hAnsi="Times New Roman" w:cs="Times New Roman"/>
          <w:i w:val="0"/>
          <w:iCs w:val="0"/>
          <w:color w:val="FF0000"/>
          <w:sz w:val="22"/>
          <w:szCs w:val="22"/>
        </w:rPr>
        <w:t xml:space="preserve"> in maximum </w:t>
      </w:r>
      <w:proofErr w:type="spellStart"/>
      <w:r w:rsidRPr="00FF5C1C">
        <w:rPr>
          <w:rFonts w:ascii="Times New Roman" w:hAnsi="Times New Roman" w:cs="Times New Roman"/>
          <w:i w:val="0"/>
          <w:iCs w:val="0"/>
          <w:color w:val="FF0000"/>
          <w:sz w:val="22"/>
          <w:szCs w:val="22"/>
        </w:rPr>
        <w:t>and</w:t>
      </w:r>
      <w:proofErr w:type="spellEnd"/>
      <w:r w:rsidRPr="00FF5C1C">
        <w:rPr>
          <w:rFonts w:ascii="Times New Roman" w:hAnsi="Times New Roman" w:cs="Times New Roman"/>
          <w:i w:val="0"/>
          <w:iCs w:val="0"/>
          <w:color w:val="FF0000"/>
          <w:sz w:val="22"/>
          <w:szCs w:val="22"/>
        </w:rPr>
        <w:t xml:space="preserve"> minimum </w:t>
      </w:r>
      <w:proofErr w:type="spellStart"/>
      <w:r w:rsidRPr="00FF5C1C">
        <w:rPr>
          <w:rFonts w:ascii="Times New Roman" w:hAnsi="Times New Roman" w:cs="Times New Roman"/>
          <w:i w:val="0"/>
          <w:iCs w:val="0"/>
          <w:color w:val="FF0000"/>
          <w:sz w:val="22"/>
          <w:szCs w:val="22"/>
        </w:rPr>
        <w:t>values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highlights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uneven</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access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to</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facilities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across</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different</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areas</w:t>
      </w:r>
      <w:proofErr w:type="spellEnd"/>
      <w:r w:rsidRPr="00FF5C1C">
        <w:rPr>
          <w:rFonts w:ascii="Times New Roman" w:hAnsi="Times New Roman" w:cs="Times New Roman"/>
          <w:i w:val="0"/>
          <w:iCs w:val="0"/>
          <w:color w:val="FF0000"/>
          <w:sz w:val="22"/>
          <w:szCs w:val="22"/>
        </w:rPr>
        <w:t xml:space="preserve"> of </w:t>
      </w:r>
      <w:proofErr w:type="spellStart"/>
      <w:r w:rsidRPr="00FF5C1C">
        <w:rPr>
          <w:rFonts w:ascii="Times New Roman" w:hAnsi="Times New Roman" w:cs="Times New Roman"/>
          <w:i w:val="0"/>
          <w:iCs w:val="0"/>
          <w:color w:val="FF0000"/>
          <w:sz w:val="22"/>
          <w:szCs w:val="22"/>
        </w:rPr>
        <w:t>the</w:t>
      </w:r>
      <w:proofErr w:type="spellEnd"/>
      <w:r w:rsidRPr="00FF5C1C">
        <w:rPr>
          <w:rFonts w:ascii="Times New Roman" w:hAnsi="Times New Roman" w:cs="Times New Roman"/>
          <w:i w:val="0"/>
          <w:iCs w:val="0"/>
          <w:color w:val="FF0000"/>
          <w:sz w:val="22"/>
          <w:szCs w:val="22"/>
        </w:rPr>
        <w:t xml:space="preserve"> </w:t>
      </w:r>
      <w:proofErr w:type="spellStart"/>
      <w:r w:rsidRPr="00FF5C1C">
        <w:rPr>
          <w:rFonts w:ascii="Times New Roman" w:hAnsi="Times New Roman" w:cs="Times New Roman"/>
          <w:i w:val="0"/>
          <w:iCs w:val="0"/>
          <w:color w:val="FF0000"/>
          <w:sz w:val="22"/>
          <w:szCs w:val="22"/>
        </w:rPr>
        <w:t>city</w:t>
      </w:r>
      <w:proofErr w:type="spellEnd"/>
      <w:r w:rsidRPr="00FF5C1C">
        <w:rPr>
          <w:rFonts w:ascii="Times New Roman" w:hAnsi="Times New Roman" w:cs="Times New Roman"/>
          <w:i w:val="0"/>
          <w:iCs w:val="0"/>
          <w:color w:val="FF0000"/>
          <w:sz w:val="22"/>
          <w:szCs w:val="22"/>
        </w:rPr>
        <w:t>.</w:t>
      </w:r>
    </w:p>
    <w:p w14:paraId="5C002CAD" w14:textId="49C5589E" w:rsidR="006920FD" w:rsidRPr="00823B29" w:rsidRDefault="006920FD" w:rsidP="006920FD">
      <w:pPr>
        <w:pStyle w:val="Caption"/>
        <w:rPr>
          <w:rFonts w:ascii="Times New Roman" w:hAnsi="Times New Roman" w:cs="Times New Roman"/>
          <w:lang w:val="en-US"/>
        </w:rPr>
      </w:pPr>
      <w:r w:rsidRPr="00823B29">
        <w:rPr>
          <w:lang w:val="en-US"/>
        </w:rPr>
        <w:t xml:space="preserve">Table </w:t>
      </w:r>
      <w:r w:rsidR="00347587" w:rsidRPr="00823B29">
        <w:rPr>
          <w:lang w:val="en-US"/>
        </w:rPr>
        <w:t>A.</w:t>
      </w:r>
      <w:r w:rsidR="00287C0C" w:rsidRPr="00823B29">
        <w:rPr>
          <w:noProof/>
          <w:lang w:val="en-US"/>
        </w:rPr>
        <w:t>2</w:t>
      </w:r>
      <w:bookmarkEnd w:id="1"/>
      <w:r w:rsidRPr="00823B29">
        <w:rPr>
          <w:lang w:val="en-US"/>
        </w:rPr>
        <w:t xml:space="preserve">. </w:t>
      </w:r>
      <w:r w:rsidRPr="00823B29">
        <w:rPr>
          <w:rFonts w:ascii="Times New Roman" w:hAnsi="Times New Roman" w:cs="Times New Roman"/>
          <w:lang w:val="en-US"/>
        </w:rPr>
        <w:t>Summary statistics for the considered variables – on bike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1"/>
        <w:gridCol w:w="1124"/>
        <w:gridCol w:w="1125"/>
        <w:gridCol w:w="1114"/>
        <w:gridCol w:w="1125"/>
        <w:gridCol w:w="1136"/>
        <w:gridCol w:w="1125"/>
        <w:gridCol w:w="1136"/>
      </w:tblGrid>
      <w:tr w:rsidR="006920FD" w:rsidRPr="00823B29" w14:paraId="2470CE84" w14:textId="77777777" w:rsidTr="00BA2588">
        <w:tc>
          <w:tcPr>
            <w:tcW w:w="1141" w:type="dxa"/>
            <w:tcBorders>
              <w:right w:val="single" w:sz="4" w:space="0" w:color="auto"/>
            </w:tcBorders>
          </w:tcPr>
          <w:p w14:paraId="0DBEDAF8" w14:textId="77777777" w:rsidR="006920FD" w:rsidRPr="00823B29" w:rsidRDefault="006920FD" w:rsidP="00BA2588">
            <w:r w:rsidRPr="00823B29">
              <w:t>Variable</w:t>
            </w:r>
          </w:p>
        </w:tc>
        <w:tc>
          <w:tcPr>
            <w:tcW w:w="1124" w:type="dxa"/>
            <w:tcBorders>
              <w:left w:val="single" w:sz="4" w:space="0" w:color="auto"/>
            </w:tcBorders>
          </w:tcPr>
          <w:p w14:paraId="6DE301B5" w14:textId="77777777" w:rsidR="006920FD" w:rsidRPr="00823B29" w:rsidRDefault="006920FD" w:rsidP="00BA2588">
            <w:r w:rsidRPr="00823B29">
              <w:t>Mean</w:t>
            </w:r>
          </w:p>
        </w:tc>
        <w:tc>
          <w:tcPr>
            <w:tcW w:w="1125" w:type="dxa"/>
          </w:tcPr>
          <w:p w14:paraId="38C55DA3" w14:textId="77777777" w:rsidR="006920FD" w:rsidRPr="00823B29" w:rsidRDefault="006920FD" w:rsidP="00BA2588">
            <w:r w:rsidRPr="00823B29">
              <w:t>Std. dev.</w:t>
            </w:r>
          </w:p>
        </w:tc>
        <w:tc>
          <w:tcPr>
            <w:tcW w:w="1114" w:type="dxa"/>
          </w:tcPr>
          <w:p w14:paraId="06A60AD0" w14:textId="77777777" w:rsidR="006920FD" w:rsidRPr="00823B29" w:rsidRDefault="006920FD" w:rsidP="00BA2588">
            <w:r w:rsidRPr="00823B29">
              <w:t>Min</w:t>
            </w:r>
          </w:p>
        </w:tc>
        <w:tc>
          <w:tcPr>
            <w:tcW w:w="1125" w:type="dxa"/>
          </w:tcPr>
          <w:p w14:paraId="2AF983D0" w14:textId="77777777" w:rsidR="006920FD" w:rsidRPr="00823B29" w:rsidRDefault="006920FD" w:rsidP="00BA2588">
            <w:r w:rsidRPr="00823B29">
              <w:t>Q1</w:t>
            </w:r>
          </w:p>
        </w:tc>
        <w:tc>
          <w:tcPr>
            <w:tcW w:w="1136" w:type="dxa"/>
          </w:tcPr>
          <w:p w14:paraId="41428985" w14:textId="77777777" w:rsidR="006920FD" w:rsidRPr="00823B29" w:rsidRDefault="006920FD" w:rsidP="00BA2588">
            <w:r w:rsidRPr="00823B29">
              <w:t>Median</w:t>
            </w:r>
          </w:p>
        </w:tc>
        <w:tc>
          <w:tcPr>
            <w:tcW w:w="1125" w:type="dxa"/>
          </w:tcPr>
          <w:p w14:paraId="30A28DAE" w14:textId="77777777" w:rsidR="006920FD" w:rsidRPr="00823B29" w:rsidRDefault="006920FD" w:rsidP="00BA2588">
            <w:r w:rsidRPr="00823B29">
              <w:t>Q3</w:t>
            </w:r>
          </w:p>
        </w:tc>
        <w:tc>
          <w:tcPr>
            <w:tcW w:w="1136" w:type="dxa"/>
          </w:tcPr>
          <w:p w14:paraId="6722284C" w14:textId="77777777" w:rsidR="006920FD" w:rsidRPr="00823B29" w:rsidRDefault="006920FD" w:rsidP="00BA2588">
            <w:r w:rsidRPr="00823B29">
              <w:t>Max</w:t>
            </w:r>
          </w:p>
        </w:tc>
      </w:tr>
      <w:tr w:rsidR="006920FD" w:rsidRPr="00823B29" w14:paraId="0E7FAB5B" w14:textId="77777777" w:rsidTr="00BA2588">
        <w:tc>
          <w:tcPr>
            <w:tcW w:w="1141" w:type="dxa"/>
            <w:tcBorders>
              <w:right w:val="single" w:sz="4" w:space="0" w:color="auto"/>
            </w:tcBorders>
          </w:tcPr>
          <w:p w14:paraId="16AF6ECE" w14:textId="77777777" w:rsidR="006920FD" w:rsidRPr="00823B29" w:rsidRDefault="006920FD" w:rsidP="00BA2588">
            <w:r w:rsidRPr="00823B29">
              <w:t>AAB</w:t>
            </w:r>
          </w:p>
        </w:tc>
        <w:tc>
          <w:tcPr>
            <w:tcW w:w="1124" w:type="dxa"/>
            <w:tcBorders>
              <w:left w:val="single" w:sz="4" w:space="0" w:color="auto"/>
            </w:tcBorders>
            <w:vAlign w:val="bottom"/>
          </w:tcPr>
          <w:p w14:paraId="633A87EF" w14:textId="77777777" w:rsidR="006920FD" w:rsidRPr="00823B29" w:rsidRDefault="006920FD" w:rsidP="00BA2588">
            <w:r w:rsidRPr="00823B29">
              <w:rPr>
                <w:color w:val="000000"/>
              </w:rPr>
              <w:t>7.32</w:t>
            </w:r>
          </w:p>
        </w:tc>
        <w:tc>
          <w:tcPr>
            <w:tcW w:w="1125" w:type="dxa"/>
            <w:vAlign w:val="bottom"/>
          </w:tcPr>
          <w:p w14:paraId="577DD761" w14:textId="77777777" w:rsidR="006920FD" w:rsidRPr="00823B29" w:rsidRDefault="006920FD" w:rsidP="00BA2588">
            <w:r w:rsidRPr="00823B29">
              <w:rPr>
                <w:color w:val="000000"/>
              </w:rPr>
              <w:t>4.97</w:t>
            </w:r>
          </w:p>
        </w:tc>
        <w:tc>
          <w:tcPr>
            <w:tcW w:w="1114" w:type="dxa"/>
            <w:vAlign w:val="bottom"/>
          </w:tcPr>
          <w:p w14:paraId="11BC923C" w14:textId="77777777" w:rsidR="006920FD" w:rsidRPr="00823B29" w:rsidRDefault="006920FD" w:rsidP="00BA2588">
            <w:r w:rsidRPr="00823B29">
              <w:rPr>
                <w:color w:val="000000"/>
              </w:rPr>
              <w:t>1.95</w:t>
            </w:r>
          </w:p>
        </w:tc>
        <w:tc>
          <w:tcPr>
            <w:tcW w:w="1125" w:type="dxa"/>
            <w:vAlign w:val="bottom"/>
          </w:tcPr>
          <w:p w14:paraId="0A42D427" w14:textId="77777777" w:rsidR="006920FD" w:rsidRPr="00823B29" w:rsidRDefault="006920FD" w:rsidP="00BA2588">
            <w:r w:rsidRPr="00823B29">
              <w:rPr>
                <w:color w:val="000000"/>
              </w:rPr>
              <w:t>4.02</w:t>
            </w:r>
          </w:p>
        </w:tc>
        <w:tc>
          <w:tcPr>
            <w:tcW w:w="1136" w:type="dxa"/>
            <w:vAlign w:val="bottom"/>
          </w:tcPr>
          <w:p w14:paraId="40D1932A" w14:textId="77777777" w:rsidR="006920FD" w:rsidRPr="00823B29" w:rsidRDefault="006920FD" w:rsidP="00BA2588">
            <w:r w:rsidRPr="00823B29">
              <w:rPr>
                <w:color w:val="000000"/>
              </w:rPr>
              <w:t>5.84</w:t>
            </w:r>
          </w:p>
        </w:tc>
        <w:tc>
          <w:tcPr>
            <w:tcW w:w="1125" w:type="dxa"/>
            <w:vAlign w:val="bottom"/>
          </w:tcPr>
          <w:p w14:paraId="43079889" w14:textId="77777777" w:rsidR="006920FD" w:rsidRPr="00823B29" w:rsidRDefault="006920FD" w:rsidP="00BA2588">
            <w:r w:rsidRPr="00823B29">
              <w:rPr>
                <w:color w:val="000000"/>
              </w:rPr>
              <w:t>9.1</w:t>
            </w:r>
          </w:p>
        </w:tc>
        <w:tc>
          <w:tcPr>
            <w:tcW w:w="1136" w:type="dxa"/>
            <w:vAlign w:val="bottom"/>
          </w:tcPr>
          <w:p w14:paraId="1573974A" w14:textId="77777777" w:rsidR="006920FD" w:rsidRPr="00823B29" w:rsidRDefault="006920FD" w:rsidP="00BA2588">
            <w:r w:rsidRPr="00823B29">
              <w:rPr>
                <w:color w:val="000000"/>
              </w:rPr>
              <w:t>52.49</w:t>
            </w:r>
          </w:p>
        </w:tc>
      </w:tr>
      <w:tr w:rsidR="006920FD" w:rsidRPr="00823B29" w14:paraId="63E84FDE" w14:textId="77777777" w:rsidTr="00BA2588">
        <w:tc>
          <w:tcPr>
            <w:tcW w:w="1141" w:type="dxa"/>
            <w:tcBorders>
              <w:right w:val="single" w:sz="4" w:space="0" w:color="auto"/>
            </w:tcBorders>
          </w:tcPr>
          <w:p w14:paraId="52DD81BF" w14:textId="77777777" w:rsidR="006920FD" w:rsidRPr="00823B29" w:rsidRDefault="006920FD" w:rsidP="00BA2588">
            <w:r w:rsidRPr="00823B29">
              <w:t>CEB</w:t>
            </w:r>
          </w:p>
        </w:tc>
        <w:tc>
          <w:tcPr>
            <w:tcW w:w="1124" w:type="dxa"/>
            <w:tcBorders>
              <w:left w:val="single" w:sz="4" w:space="0" w:color="auto"/>
            </w:tcBorders>
            <w:vAlign w:val="bottom"/>
          </w:tcPr>
          <w:p w14:paraId="16C7655D" w14:textId="77777777" w:rsidR="006920FD" w:rsidRPr="00823B29" w:rsidRDefault="006920FD" w:rsidP="00BA2588">
            <w:r w:rsidRPr="00823B29">
              <w:rPr>
                <w:color w:val="000000"/>
              </w:rPr>
              <w:t>12.32</w:t>
            </w:r>
          </w:p>
        </w:tc>
        <w:tc>
          <w:tcPr>
            <w:tcW w:w="1125" w:type="dxa"/>
            <w:vAlign w:val="bottom"/>
          </w:tcPr>
          <w:p w14:paraId="7A88669D" w14:textId="77777777" w:rsidR="006920FD" w:rsidRPr="00823B29" w:rsidRDefault="006920FD" w:rsidP="00BA2588">
            <w:r w:rsidRPr="00823B29">
              <w:rPr>
                <w:color w:val="000000"/>
              </w:rPr>
              <w:t>6.84</w:t>
            </w:r>
          </w:p>
        </w:tc>
        <w:tc>
          <w:tcPr>
            <w:tcW w:w="1114" w:type="dxa"/>
            <w:vAlign w:val="bottom"/>
          </w:tcPr>
          <w:p w14:paraId="5DD5A053" w14:textId="77777777" w:rsidR="006920FD" w:rsidRPr="00823B29" w:rsidRDefault="006920FD" w:rsidP="00BA2588">
            <w:r w:rsidRPr="00823B29">
              <w:rPr>
                <w:color w:val="000000"/>
              </w:rPr>
              <w:t>1.08</w:t>
            </w:r>
          </w:p>
        </w:tc>
        <w:tc>
          <w:tcPr>
            <w:tcW w:w="1125" w:type="dxa"/>
            <w:vAlign w:val="bottom"/>
          </w:tcPr>
          <w:p w14:paraId="677483C4" w14:textId="77777777" w:rsidR="006920FD" w:rsidRPr="00823B29" w:rsidRDefault="006920FD" w:rsidP="00BA2588">
            <w:r w:rsidRPr="00823B29">
              <w:rPr>
                <w:color w:val="000000"/>
              </w:rPr>
              <w:t>7.31</w:t>
            </w:r>
          </w:p>
        </w:tc>
        <w:tc>
          <w:tcPr>
            <w:tcW w:w="1136" w:type="dxa"/>
            <w:vAlign w:val="bottom"/>
          </w:tcPr>
          <w:p w14:paraId="7BEFDA74" w14:textId="77777777" w:rsidR="006920FD" w:rsidRPr="00823B29" w:rsidRDefault="006920FD" w:rsidP="00BA2588">
            <w:r w:rsidRPr="00823B29">
              <w:rPr>
                <w:color w:val="000000"/>
              </w:rPr>
              <w:t>11.16</w:t>
            </w:r>
          </w:p>
        </w:tc>
        <w:tc>
          <w:tcPr>
            <w:tcW w:w="1125" w:type="dxa"/>
            <w:vAlign w:val="bottom"/>
          </w:tcPr>
          <w:p w14:paraId="3B9C95B1" w14:textId="77777777" w:rsidR="006920FD" w:rsidRPr="00823B29" w:rsidRDefault="006920FD" w:rsidP="00BA2588">
            <w:r w:rsidRPr="00823B29">
              <w:rPr>
                <w:color w:val="000000"/>
              </w:rPr>
              <w:t>16.33</w:t>
            </w:r>
          </w:p>
        </w:tc>
        <w:tc>
          <w:tcPr>
            <w:tcW w:w="1136" w:type="dxa"/>
            <w:vAlign w:val="bottom"/>
          </w:tcPr>
          <w:p w14:paraId="01278364" w14:textId="77777777" w:rsidR="006920FD" w:rsidRPr="00823B29" w:rsidRDefault="006920FD" w:rsidP="00BA2588">
            <w:r w:rsidRPr="00823B29">
              <w:rPr>
                <w:color w:val="000000"/>
              </w:rPr>
              <w:t>48.5</w:t>
            </w:r>
          </w:p>
        </w:tc>
      </w:tr>
      <w:tr w:rsidR="006920FD" w:rsidRPr="00823B29" w14:paraId="332F3606" w14:textId="77777777" w:rsidTr="00BA2588">
        <w:tc>
          <w:tcPr>
            <w:tcW w:w="1141" w:type="dxa"/>
            <w:tcBorders>
              <w:right w:val="single" w:sz="4" w:space="0" w:color="auto"/>
            </w:tcBorders>
          </w:tcPr>
          <w:p w14:paraId="624CEEDC" w14:textId="77777777" w:rsidR="006920FD" w:rsidRPr="00823B29" w:rsidRDefault="006920FD" w:rsidP="00BA2588">
            <w:r w:rsidRPr="00823B29">
              <w:t>LB</w:t>
            </w:r>
          </w:p>
        </w:tc>
        <w:tc>
          <w:tcPr>
            <w:tcW w:w="1124" w:type="dxa"/>
            <w:tcBorders>
              <w:left w:val="single" w:sz="4" w:space="0" w:color="auto"/>
            </w:tcBorders>
            <w:vAlign w:val="bottom"/>
          </w:tcPr>
          <w:p w14:paraId="3C7452DA" w14:textId="77777777" w:rsidR="006920FD" w:rsidRPr="00823B29" w:rsidRDefault="006920FD" w:rsidP="00BA2588">
            <w:r w:rsidRPr="00823B29">
              <w:rPr>
                <w:color w:val="000000"/>
              </w:rPr>
              <w:t>8.19</w:t>
            </w:r>
          </w:p>
        </w:tc>
        <w:tc>
          <w:tcPr>
            <w:tcW w:w="1125" w:type="dxa"/>
            <w:vAlign w:val="bottom"/>
          </w:tcPr>
          <w:p w14:paraId="559B425F" w14:textId="77777777" w:rsidR="006920FD" w:rsidRPr="00823B29" w:rsidRDefault="006920FD" w:rsidP="00BA2588">
            <w:r w:rsidRPr="00823B29">
              <w:rPr>
                <w:color w:val="000000"/>
              </w:rPr>
              <w:t>5.75</w:t>
            </w:r>
          </w:p>
        </w:tc>
        <w:tc>
          <w:tcPr>
            <w:tcW w:w="1114" w:type="dxa"/>
            <w:vAlign w:val="bottom"/>
          </w:tcPr>
          <w:p w14:paraId="404E13CC" w14:textId="77777777" w:rsidR="006920FD" w:rsidRPr="00823B29" w:rsidRDefault="006920FD" w:rsidP="00BA2588">
            <w:r w:rsidRPr="00823B29">
              <w:rPr>
                <w:color w:val="000000"/>
              </w:rPr>
              <w:t>1.05</w:t>
            </w:r>
          </w:p>
        </w:tc>
        <w:tc>
          <w:tcPr>
            <w:tcW w:w="1125" w:type="dxa"/>
            <w:vAlign w:val="bottom"/>
          </w:tcPr>
          <w:p w14:paraId="0E5A586C" w14:textId="77777777" w:rsidR="006920FD" w:rsidRPr="00823B29" w:rsidRDefault="006920FD" w:rsidP="00BA2588">
            <w:r w:rsidRPr="00823B29">
              <w:rPr>
                <w:color w:val="000000"/>
              </w:rPr>
              <w:t>4.33</w:t>
            </w:r>
          </w:p>
        </w:tc>
        <w:tc>
          <w:tcPr>
            <w:tcW w:w="1136" w:type="dxa"/>
            <w:vAlign w:val="bottom"/>
          </w:tcPr>
          <w:p w14:paraId="3AFEDC82" w14:textId="77777777" w:rsidR="006920FD" w:rsidRPr="00823B29" w:rsidRDefault="006920FD" w:rsidP="00BA2588">
            <w:r w:rsidRPr="00823B29">
              <w:rPr>
                <w:color w:val="000000"/>
              </w:rPr>
              <w:t>6.33</w:t>
            </w:r>
          </w:p>
        </w:tc>
        <w:tc>
          <w:tcPr>
            <w:tcW w:w="1125" w:type="dxa"/>
            <w:vAlign w:val="bottom"/>
          </w:tcPr>
          <w:p w14:paraId="5E5E46AF" w14:textId="77777777" w:rsidR="006920FD" w:rsidRPr="00823B29" w:rsidRDefault="006920FD" w:rsidP="00BA2588">
            <w:r w:rsidRPr="00823B29">
              <w:rPr>
                <w:color w:val="000000"/>
              </w:rPr>
              <w:t>10.35</w:t>
            </w:r>
          </w:p>
        </w:tc>
        <w:tc>
          <w:tcPr>
            <w:tcW w:w="1136" w:type="dxa"/>
            <w:vAlign w:val="bottom"/>
          </w:tcPr>
          <w:p w14:paraId="61CA9125" w14:textId="77777777" w:rsidR="006920FD" w:rsidRPr="00823B29" w:rsidRDefault="006920FD" w:rsidP="00BA2588">
            <w:r w:rsidRPr="00823B29">
              <w:rPr>
                <w:color w:val="000000"/>
              </w:rPr>
              <w:t>58.01</w:t>
            </w:r>
          </w:p>
        </w:tc>
      </w:tr>
      <w:tr w:rsidR="006920FD" w:rsidRPr="00823B29" w14:paraId="5325D462" w14:textId="77777777" w:rsidTr="00BA2588">
        <w:tc>
          <w:tcPr>
            <w:tcW w:w="1141" w:type="dxa"/>
            <w:tcBorders>
              <w:right w:val="single" w:sz="4" w:space="0" w:color="auto"/>
            </w:tcBorders>
          </w:tcPr>
          <w:p w14:paraId="35384824" w14:textId="77777777" w:rsidR="006920FD" w:rsidRPr="00823B29" w:rsidRDefault="006920FD" w:rsidP="00BA2588">
            <w:r w:rsidRPr="00823B29">
              <w:t>CB</w:t>
            </w:r>
          </w:p>
        </w:tc>
        <w:tc>
          <w:tcPr>
            <w:tcW w:w="1124" w:type="dxa"/>
            <w:tcBorders>
              <w:left w:val="single" w:sz="4" w:space="0" w:color="auto"/>
            </w:tcBorders>
            <w:vAlign w:val="bottom"/>
          </w:tcPr>
          <w:p w14:paraId="4B345D40" w14:textId="77777777" w:rsidR="006920FD" w:rsidRPr="00823B29" w:rsidRDefault="006920FD" w:rsidP="00BA2588">
            <w:r w:rsidRPr="00823B29">
              <w:rPr>
                <w:color w:val="000000"/>
              </w:rPr>
              <w:t>7.90</w:t>
            </w:r>
          </w:p>
        </w:tc>
        <w:tc>
          <w:tcPr>
            <w:tcW w:w="1125" w:type="dxa"/>
            <w:vAlign w:val="bottom"/>
          </w:tcPr>
          <w:p w14:paraId="32EA47BA" w14:textId="77777777" w:rsidR="006920FD" w:rsidRPr="00823B29" w:rsidRDefault="006920FD" w:rsidP="00BA2588">
            <w:r w:rsidRPr="00823B29">
              <w:rPr>
                <w:color w:val="000000"/>
              </w:rPr>
              <w:t>5.95</w:t>
            </w:r>
          </w:p>
        </w:tc>
        <w:tc>
          <w:tcPr>
            <w:tcW w:w="1114" w:type="dxa"/>
            <w:vAlign w:val="bottom"/>
          </w:tcPr>
          <w:p w14:paraId="60CE7E7D" w14:textId="77777777" w:rsidR="006920FD" w:rsidRPr="00823B29" w:rsidRDefault="006920FD" w:rsidP="00BA2588">
            <w:r w:rsidRPr="00823B29">
              <w:rPr>
                <w:color w:val="000000"/>
              </w:rPr>
              <w:t>0.75</w:t>
            </w:r>
          </w:p>
        </w:tc>
        <w:tc>
          <w:tcPr>
            <w:tcW w:w="1125" w:type="dxa"/>
            <w:vAlign w:val="bottom"/>
          </w:tcPr>
          <w:p w14:paraId="6CD76C08" w14:textId="77777777" w:rsidR="006920FD" w:rsidRPr="00823B29" w:rsidRDefault="006920FD" w:rsidP="00BA2588">
            <w:r w:rsidRPr="00823B29">
              <w:rPr>
                <w:color w:val="000000"/>
              </w:rPr>
              <w:t>3.73</w:t>
            </w:r>
          </w:p>
        </w:tc>
        <w:tc>
          <w:tcPr>
            <w:tcW w:w="1136" w:type="dxa"/>
            <w:vAlign w:val="bottom"/>
          </w:tcPr>
          <w:p w14:paraId="1F585AF5" w14:textId="77777777" w:rsidR="006920FD" w:rsidRPr="00823B29" w:rsidRDefault="006920FD" w:rsidP="00BA2588">
            <w:r w:rsidRPr="00823B29">
              <w:rPr>
                <w:color w:val="000000"/>
              </w:rPr>
              <w:t>6.23</w:t>
            </w:r>
          </w:p>
        </w:tc>
        <w:tc>
          <w:tcPr>
            <w:tcW w:w="1125" w:type="dxa"/>
            <w:vAlign w:val="bottom"/>
          </w:tcPr>
          <w:p w14:paraId="1BA619C9" w14:textId="77777777" w:rsidR="006920FD" w:rsidRPr="00823B29" w:rsidRDefault="006920FD" w:rsidP="00BA2588">
            <w:r w:rsidRPr="00823B29">
              <w:rPr>
                <w:color w:val="000000"/>
              </w:rPr>
              <w:t>10.26</w:t>
            </w:r>
          </w:p>
        </w:tc>
        <w:tc>
          <w:tcPr>
            <w:tcW w:w="1136" w:type="dxa"/>
            <w:vAlign w:val="bottom"/>
          </w:tcPr>
          <w:p w14:paraId="4E37F103" w14:textId="77777777" w:rsidR="006920FD" w:rsidRPr="00823B29" w:rsidRDefault="006920FD" w:rsidP="00BA2588">
            <w:r w:rsidRPr="00823B29">
              <w:rPr>
                <w:color w:val="000000"/>
              </w:rPr>
              <w:t>48.06</w:t>
            </w:r>
          </w:p>
        </w:tc>
      </w:tr>
      <w:tr w:rsidR="006920FD" w:rsidRPr="00823B29" w14:paraId="74AAF5C4" w14:textId="77777777" w:rsidTr="00BA2588">
        <w:tc>
          <w:tcPr>
            <w:tcW w:w="1141" w:type="dxa"/>
            <w:tcBorders>
              <w:right w:val="single" w:sz="4" w:space="0" w:color="auto"/>
            </w:tcBorders>
          </w:tcPr>
          <w:p w14:paraId="6D519AB3" w14:textId="77777777" w:rsidR="006920FD" w:rsidRPr="00823B29" w:rsidRDefault="006920FD" w:rsidP="00BA2588">
            <w:r w:rsidRPr="00823B29">
              <w:t>ARB</w:t>
            </w:r>
          </w:p>
        </w:tc>
        <w:tc>
          <w:tcPr>
            <w:tcW w:w="1124" w:type="dxa"/>
            <w:tcBorders>
              <w:left w:val="single" w:sz="4" w:space="0" w:color="auto"/>
            </w:tcBorders>
            <w:vAlign w:val="bottom"/>
          </w:tcPr>
          <w:p w14:paraId="6EA8C2D4" w14:textId="77777777" w:rsidR="006920FD" w:rsidRPr="00823B29" w:rsidRDefault="006920FD" w:rsidP="00BA2588">
            <w:r w:rsidRPr="00823B29">
              <w:rPr>
                <w:color w:val="000000"/>
              </w:rPr>
              <w:t>6.55</w:t>
            </w:r>
          </w:p>
        </w:tc>
        <w:tc>
          <w:tcPr>
            <w:tcW w:w="1125" w:type="dxa"/>
            <w:vAlign w:val="bottom"/>
          </w:tcPr>
          <w:p w14:paraId="5B473E51" w14:textId="77777777" w:rsidR="006920FD" w:rsidRPr="00823B29" w:rsidRDefault="006920FD" w:rsidP="00BA2588">
            <w:r w:rsidRPr="00823B29">
              <w:rPr>
                <w:color w:val="000000"/>
              </w:rPr>
              <w:t>5.72</w:t>
            </w:r>
          </w:p>
        </w:tc>
        <w:tc>
          <w:tcPr>
            <w:tcW w:w="1114" w:type="dxa"/>
            <w:vAlign w:val="bottom"/>
          </w:tcPr>
          <w:p w14:paraId="572E9AA4" w14:textId="77777777" w:rsidR="006920FD" w:rsidRPr="00823B29" w:rsidRDefault="006920FD" w:rsidP="00BA2588">
            <w:r w:rsidRPr="00823B29">
              <w:rPr>
                <w:color w:val="000000"/>
              </w:rPr>
              <w:t>0.26</w:t>
            </w:r>
          </w:p>
        </w:tc>
        <w:tc>
          <w:tcPr>
            <w:tcW w:w="1125" w:type="dxa"/>
            <w:vAlign w:val="bottom"/>
          </w:tcPr>
          <w:p w14:paraId="31EF7107" w14:textId="77777777" w:rsidR="006920FD" w:rsidRPr="00823B29" w:rsidRDefault="006920FD" w:rsidP="00BA2588">
            <w:r w:rsidRPr="00823B29">
              <w:rPr>
                <w:color w:val="000000"/>
              </w:rPr>
              <w:t>3.29</w:t>
            </w:r>
          </w:p>
        </w:tc>
        <w:tc>
          <w:tcPr>
            <w:tcW w:w="1136" w:type="dxa"/>
            <w:vAlign w:val="bottom"/>
          </w:tcPr>
          <w:p w14:paraId="49CFDF27" w14:textId="77777777" w:rsidR="006920FD" w:rsidRPr="00823B29" w:rsidRDefault="006920FD" w:rsidP="00BA2588">
            <w:r w:rsidRPr="00823B29">
              <w:rPr>
                <w:color w:val="000000"/>
              </w:rPr>
              <w:t>4.86</w:t>
            </w:r>
          </w:p>
        </w:tc>
        <w:tc>
          <w:tcPr>
            <w:tcW w:w="1125" w:type="dxa"/>
            <w:vAlign w:val="bottom"/>
          </w:tcPr>
          <w:p w14:paraId="46B0AB31" w14:textId="77777777" w:rsidR="006920FD" w:rsidRPr="00823B29" w:rsidRDefault="006920FD" w:rsidP="00BA2588">
            <w:r w:rsidRPr="00823B29">
              <w:rPr>
                <w:color w:val="000000"/>
              </w:rPr>
              <w:t>7.96</w:t>
            </w:r>
          </w:p>
        </w:tc>
        <w:tc>
          <w:tcPr>
            <w:tcW w:w="1136" w:type="dxa"/>
            <w:vAlign w:val="bottom"/>
          </w:tcPr>
          <w:p w14:paraId="02A45058" w14:textId="77777777" w:rsidR="006920FD" w:rsidRPr="00823B29" w:rsidRDefault="006920FD" w:rsidP="00BA2588">
            <w:r w:rsidRPr="00823B29">
              <w:rPr>
                <w:color w:val="000000"/>
              </w:rPr>
              <w:t>57.2</w:t>
            </w:r>
          </w:p>
        </w:tc>
      </w:tr>
      <w:tr w:rsidR="006920FD" w:rsidRPr="00823B29" w14:paraId="6EF30578" w14:textId="77777777" w:rsidTr="00BA2588">
        <w:tc>
          <w:tcPr>
            <w:tcW w:w="1141" w:type="dxa"/>
            <w:tcBorders>
              <w:right w:val="single" w:sz="4" w:space="0" w:color="auto"/>
            </w:tcBorders>
          </w:tcPr>
          <w:p w14:paraId="5DA34A14" w14:textId="77777777" w:rsidR="006920FD" w:rsidRPr="00823B29" w:rsidRDefault="006920FD" w:rsidP="00BA2588">
            <w:r w:rsidRPr="00823B29">
              <w:t>SB</w:t>
            </w:r>
          </w:p>
        </w:tc>
        <w:tc>
          <w:tcPr>
            <w:tcW w:w="1124" w:type="dxa"/>
            <w:tcBorders>
              <w:left w:val="single" w:sz="4" w:space="0" w:color="auto"/>
            </w:tcBorders>
            <w:vAlign w:val="bottom"/>
          </w:tcPr>
          <w:p w14:paraId="5C5DC4FE" w14:textId="77777777" w:rsidR="006920FD" w:rsidRPr="00823B29" w:rsidRDefault="006920FD" w:rsidP="00BA2588">
            <w:r w:rsidRPr="00823B29">
              <w:rPr>
                <w:color w:val="000000"/>
              </w:rPr>
              <w:t>7.85</w:t>
            </w:r>
          </w:p>
        </w:tc>
        <w:tc>
          <w:tcPr>
            <w:tcW w:w="1125" w:type="dxa"/>
            <w:vAlign w:val="bottom"/>
          </w:tcPr>
          <w:p w14:paraId="145B3B6A" w14:textId="77777777" w:rsidR="006920FD" w:rsidRPr="00823B29" w:rsidRDefault="006920FD" w:rsidP="00BA2588">
            <w:r w:rsidRPr="00823B29">
              <w:rPr>
                <w:color w:val="000000"/>
              </w:rPr>
              <w:t>5.21</w:t>
            </w:r>
          </w:p>
        </w:tc>
        <w:tc>
          <w:tcPr>
            <w:tcW w:w="1114" w:type="dxa"/>
            <w:vAlign w:val="bottom"/>
          </w:tcPr>
          <w:p w14:paraId="0B02FDA5" w14:textId="77777777" w:rsidR="006920FD" w:rsidRPr="00823B29" w:rsidRDefault="006920FD" w:rsidP="00BA2588">
            <w:r w:rsidRPr="00823B29">
              <w:rPr>
                <w:color w:val="000000"/>
              </w:rPr>
              <w:t>0.2</w:t>
            </w:r>
          </w:p>
        </w:tc>
        <w:tc>
          <w:tcPr>
            <w:tcW w:w="1125" w:type="dxa"/>
            <w:vAlign w:val="bottom"/>
          </w:tcPr>
          <w:p w14:paraId="0CC955E5" w14:textId="77777777" w:rsidR="006920FD" w:rsidRPr="00823B29" w:rsidRDefault="006920FD" w:rsidP="00BA2588">
            <w:r w:rsidRPr="00823B29">
              <w:rPr>
                <w:color w:val="000000"/>
              </w:rPr>
              <w:t>4.75</w:t>
            </w:r>
          </w:p>
        </w:tc>
        <w:tc>
          <w:tcPr>
            <w:tcW w:w="1136" w:type="dxa"/>
            <w:vAlign w:val="bottom"/>
          </w:tcPr>
          <w:p w14:paraId="22F0F973" w14:textId="77777777" w:rsidR="006920FD" w:rsidRPr="00823B29" w:rsidRDefault="006920FD" w:rsidP="00BA2588">
            <w:r w:rsidRPr="00823B29">
              <w:rPr>
                <w:color w:val="000000"/>
              </w:rPr>
              <w:t>6.36</w:t>
            </w:r>
          </w:p>
        </w:tc>
        <w:tc>
          <w:tcPr>
            <w:tcW w:w="1125" w:type="dxa"/>
            <w:vAlign w:val="bottom"/>
          </w:tcPr>
          <w:p w14:paraId="119E80A7" w14:textId="77777777" w:rsidR="006920FD" w:rsidRPr="00823B29" w:rsidRDefault="006920FD" w:rsidP="00BA2588">
            <w:r w:rsidRPr="00823B29">
              <w:rPr>
                <w:color w:val="000000"/>
              </w:rPr>
              <w:t>9.68</w:t>
            </w:r>
          </w:p>
        </w:tc>
        <w:tc>
          <w:tcPr>
            <w:tcW w:w="1136" w:type="dxa"/>
            <w:vAlign w:val="bottom"/>
          </w:tcPr>
          <w:p w14:paraId="08BA5246" w14:textId="77777777" w:rsidR="006920FD" w:rsidRPr="00823B29" w:rsidRDefault="006920FD" w:rsidP="00BA2588">
            <w:r w:rsidRPr="00823B29">
              <w:rPr>
                <w:color w:val="000000"/>
              </w:rPr>
              <w:t>58.14</w:t>
            </w:r>
          </w:p>
        </w:tc>
      </w:tr>
      <w:tr w:rsidR="006920FD" w:rsidRPr="00823B29" w14:paraId="43EB83F0" w14:textId="77777777" w:rsidTr="00BA2588">
        <w:tc>
          <w:tcPr>
            <w:tcW w:w="1141" w:type="dxa"/>
            <w:tcBorders>
              <w:right w:val="single" w:sz="4" w:space="0" w:color="auto"/>
            </w:tcBorders>
          </w:tcPr>
          <w:p w14:paraId="7C25B5B7" w14:textId="77777777" w:rsidR="006920FD" w:rsidRPr="00823B29" w:rsidRDefault="006920FD" w:rsidP="00BA2588">
            <w:r w:rsidRPr="00823B29">
              <w:t>EWB</w:t>
            </w:r>
          </w:p>
        </w:tc>
        <w:tc>
          <w:tcPr>
            <w:tcW w:w="1124" w:type="dxa"/>
            <w:tcBorders>
              <w:left w:val="single" w:sz="4" w:space="0" w:color="auto"/>
            </w:tcBorders>
            <w:vAlign w:val="bottom"/>
          </w:tcPr>
          <w:p w14:paraId="4DB927B0" w14:textId="77777777" w:rsidR="006920FD" w:rsidRPr="00823B29" w:rsidRDefault="006920FD" w:rsidP="00BA2588">
            <w:r w:rsidRPr="00823B29">
              <w:rPr>
                <w:color w:val="000000"/>
              </w:rPr>
              <w:t>7.63</w:t>
            </w:r>
          </w:p>
        </w:tc>
        <w:tc>
          <w:tcPr>
            <w:tcW w:w="1125" w:type="dxa"/>
            <w:vAlign w:val="bottom"/>
          </w:tcPr>
          <w:p w14:paraId="53346EAB" w14:textId="77777777" w:rsidR="006920FD" w:rsidRPr="00823B29" w:rsidRDefault="006920FD" w:rsidP="00BA2588">
            <w:r w:rsidRPr="00823B29">
              <w:rPr>
                <w:color w:val="000000"/>
              </w:rPr>
              <w:t>6.50</w:t>
            </w:r>
          </w:p>
        </w:tc>
        <w:tc>
          <w:tcPr>
            <w:tcW w:w="1114" w:type="dxa"/>
            <w:vAlign w:val="bottom"/>
          </w:tcPr>
          <w:p w14:paraId="1D8666E5" w14:textId="77777777" w:rsidR="006920FD" w:rsidRPr="00823B29" w:rsidRDefault="006920FD" w:rsidP="00BA2588">
            <w:r w:rsidRPr="00823B29">
              <w:rPr>
                <w:color w:val="000000"/>
              </w:rPr>
              <w:t>0.65</w:t>
            </w:r>
          </w:p>
        </w:tc>
        <w:tc>
          <w:tcPr>
            <w:tcW w:w="1125" w:type="dxa"/>
            <w:vAlign w:val="bottom"/>
          </w:tcPr>
          <w:p w14:paraId="482631B0" w14:textId="77777777" w:rsidR="006920FD" w:rsidRPr="00823B29" w:rsidRDefault="006920FD" w:rsidP="00BA2588">
            <w:r w:rsidRPr="00823B29">
              <w:rPr>
                <w:color w:val="000000"/>
              </w:rPr>
              <w:t>3.63</w:t>
            </w:r>
          </w:p>
        </w:tc>
        <w:tc>
          <w:tcPr>
            <w:tcW w:w="1136" w:type="dxa"/>
            <w:vAlign w:val="bottom"/>
          </w:tcPr>
          <w:p w14:paraId="7C4D0640" w14:textId="77777777" w:rsidR="006920FD" w:rsidRPr="00823B29" w:rsidRDefault="006920FD" w:rsidP="00BA2588">
            <w:r w:rsidRPr="00823B29">
              <w:rPr>
                <w:color w:val="000000"/>
              </w:rPr>
              <w:t>5.74</w:t>
            </w:r>
          </w:p>
        </w:tc>
        <w:tc>
          <w:tcPr>
            <w:tcW w:w="1125" w:type="dxa"/>
            <w:vAlign w:val="bottom"/>
          </w:tcPr>
          <w:p w14:paraId="31F5B2DF" w14:textId="77777777" w:rsidR="006920FD" w:rsidRPr="00823B29" w:rsidRDefault="006920FD" w:rsidP="00BA2588">
            <w:r w:rsidRPr="00823B29">
              <w:rPr>
                <w:color w:val="000000"/>
              </w:rPr>
              <w:t>9.48</w:t>
            </w:r>
          </w:p>
        </w:tc>
        <w:tc>
          <w:tcPr>
            <w:tcW w:w="1136" w:type="dxa"/>
            <w:vAlign w:val="bottom"/>
          </w:tcPr>
          <w:p w14:paraId="39DBE4F6" w14:textId="77777777" w:rsidR="006920FD" w:rsidRPr="00823B29" w:rsidRDefault="006920FD" w:rsidP="00BA2588">
            <w:r w:rsidRPr="00823B29">
              <w:rPr>
                <w:color w:val="000000"/>
              </w:rPr>
              <w:t>55.08</w:t>
            </w:r>
          </w:p>
        </w:tc>
      </w:tr>
      <w:tr w:rsidR="006920FD" w:rsidRPr="00823B29" w14:paraId="4C874B71" w14:textId="77777777" w:rsidTr="00BA2588">
        <w:tc>
          <w:tcPr>
            <w:tcW w:w="1141" w:type="dxa"/>
            <w:tcBorders>
              <w:right w:val="single" w:sz="4" w:space="0" w:color="auto"/>
            </w:tcBorders>
          </w:tcPr>
          <w:p w14:paraId="3D316E79" w14:textId="77777777" w:rsidR="006920FD" w:rsidRPr="00823B29" w:rsidRDefault="006920FD" w:rsidP="00BA2588">
            <w:r w:rsidRPr="00823B29">
              <w:t>SSB</w:t>
            </w:r>
          </w:p>
        </w:tc>
        <w:tc>
          <w:tcPr>
            <w:tcW w:w="1124" w:type="dxa"/>
            <w:tcBorders>
              <w:left w:val="single" w:sz="4" w:space="0" w:color="auto"/>
            </w:tcBorders>
            <w:vAlign w:val="bottom"/>
          </w:tcPr>
          <w:p w14:paraId="2C67DB18" w14:textId="77777777" w:rsidR="006920FD" w:rsidRPr="00823B29" w:rsidRDefault="006920FD" w:rsidP="00BA2588">
            <w:r w:rsidRPr="00823B29">
              <w:rPr>
                <w:color w:val="000000"/>
              </w:rPr>
              <w:t>6.23</w:t>
            </w:r>
          </w:p>
        </w:tc>
        <w:tc>
          <w:tcPr>
            <w:tcW w:w="1125" w:type="dxa"/>
            <w:vAlign w:val="bottom"/>
          </w:tcPr>
          <w:p w14:paraId="274CF7F8" w14:textId="77777777" w:rsidR="006920FD" w:rsidRPr="00823B29" w:rsidRDefault="006920FD" w:rsidP="00BA2588">
            <w:r w:rsidRPr="00823B29">
              <w:rPr>
                <w:color w:val="000000"/>
              </w:rPr>
              <w:t>4.91</w:t>
            </w:r>
          </w:p>
        </w:tc>
        <w:tc>
          <w:tcPr>
            <w:tcW w:w="1114" w:type="dxa"/>
            <w:vAlign w:val="bottom"/>
          </w:tcPr>
          <w:p w14:paraId="4ED1AD2D" w14:textId="77777777" w:rsidR="006920FD" w:rsidRPr="00823B29" w:rsidRDefault="006920FD" w:rsidP="00BA2588">
            <w:r w:rsidRPr="00823B29">
              <w:rPr>
                <w:color w:val="000000"/>
              </w:rPr>
              <w:t>0.62</w:t>
            </w:r>
          </w:p>
        </w:tc>
        <w:tc>
          <w:tcPr>
            <w:tcW w:w="1125" w:type="dxa"/>
            <w:vAlign w:val="bottom"/>
          </w:tcPr>
          <w:p w14:paraId="5CED6725" w14:textId="77777777" w:rsidR="006920FD" w:rsidRPr="00823B29" w:rsidRDefault="006920FD" w:rsidP="00BA2588">
            <w:r w:rsidRPr="00823B29">
              <w:rPr>
                <w:color w:val="000000"/>
              </w:rPr>
              <w:t>3.01</w:t>
            </w:r>
          </w:p>
        </w:tc>
        <w:tc>
          <w:tcPr>
            <w:tcW w:w="1136" w:type="dxa"/>
            <w:vAlign w:val="bottom"/>
          </w:tcPr>
          <w:p w14:paraId="1A9AE171" w14:textId="77777777" w:rsidR="006920FD" w:rsidRPr="00823B29" w:rsidRDefault="006920FD" w:rsidP="00BA2588">
            <w:r w:rsidRPr="00823B29">
              <w:rPr>
                <w:color w:val="000000"/>
              </w:rPr>
              <w:t>4.69</w:t>
            </w:r>
          </w:p>
        </w:tc>
        <w:tc>
          <w:tcPr>
            <w:tcW w:w="1125" w:type="dxa"/>
            <w:vAlign w:val="bottom"/>
          </w:tcPr>
          <w:p w14:paraId="42C76E36" w14:textId="77777777" w:rsidR="006920FD" w:rsidRPr="00823B29" w:rsidRDefault="006920FD" w:rsidP="00BA2588">
            <w:r w:rsidRPr="00823B29">
              <w:rPr>
                <w:color w:val="000000"/>
              </w:rPr>
              <w:t>8</w:t>
            </w:r>
          </w:p>
        </w:tc>
        <w:tc>
          <w:tcPr>
            <w:tcW w:w="1136" w:type="dxa"/>
            <w:vAlign w:val="bottom"/>
          </w:tcPr>
          <w:p w14:paraId="77DBF65D" w14:textId="77777777" w:rsidR="006920FD" w:rsidRPr="00823B29" w:rsidRDefault="006920FD" w:rsidP="00BA2588">
            <w:r w:rsidRPr="00823B29">
              <w:rPr>
                <w:color w:val="000000"/>
              </w:rPr>
              <w:t>48.18</w:t>
            </w:r>
          </w:p>
        </w:tc>
      </w:tr>
      <w:tr w:rsidR="006920FD" w:rsidRPr="00823B29" w14:paraId="64485ED8" w14:textId="77777777" w:rsidTr="00BA2588">
        <w:tc>
          <w:tcPr>
            <w:tcW w:w="1141" w:type="dxa"/>
            <w:tcBorders>
              <w:right w:val="single" w:sz="4" w:space="0" w:color="auto"/>
            </w:tcBorders>
          </w:tcPr>
          <w:p w14:paraId="7D65F90D" w14:textId="77777777" w:rsidR="006920FD" w:rsidRPr="00823B29" w:rsidRDefault="006920FD" w:rsidP="00BA2588">
            <w:r w:rsidRPr="00823B29">
              <w:t>SPB</w:t>
            </w:r>
          </w:p>
        </w:tc>
        <w:tc>
          <w:tcPr>
            <w:tcW w:w="1124" w:type="dxa"/>
            <w:tcBorders>
              <w:left w:val="single" w:sz="4" w:space="0" w:color="auto"/>
            </w:tcBorders>
            <w:vAlign w:val="bottom"/>
          </w:tcPr>
          <w:p w14:paraId="4C10611B" w14:textId="77777777" w:rsidR="006920FD" w:rsidRPr="00823B29" w:rsidRDefault="006920FD" w:rsidP="00BA2588">
            <w:r w:rsidRPr="00823B29">
              <w:rPr>
                <w:color w:val="000000"/>
              </w:rPr>
              <w:t>5.05</w:t>
            </w:r>
          </w:p>
        </w:tc>
        <w:tc>
          <w:tcPr>
            <w:tcW w:w="1125" w:type="dxa"/>
            <w:vAlign w:val="bottom"/>
          </w:tcPr>
          <w:p w14:paraId="2B6A2C8A" w14:textId="77777777" w:rsidR="006920FD" w:rsidRPr="00823B29" w:rsidRDefault="006920FD" w:rsidP="00BA2588">
            <w:r w:rsidRPr="00823B29">
              <w:rPr>
                <w:color w:val="000000"/>
              </w:rPr>
              <w:t>4.36</w:t>
            </w:r>
          </w:p>
        </w:tc>
        <w:tc>
          <w:tcPr>
            <w:tcW w:w="1114" w:type="dxa"/>
            <w:vAlign w:val="bottom"/>
          </w:tcPr>
          <w:p w14:paraId="233B7AE8" w14:textId="77777777" w:rsidR="006920FD" w:rsidRPr="00823B29" w:rsidRDefault="006920FD" w:rsidP="00BA2588">
            <w:r w:rsidRPr="00823B29">
              <w:rPr>
                <w:color w:val="000000"/>
              </w:rPr>
              <w:t>0.42</w:t>
            </w:r>
          </w:p>
        </w:tc>
        <w:tc>
          <w:tcPr>
            <w:tcW w:w="1125" w:type="dxa"/>
            <w:vAlign w:val="bottom"/>
          </w:tcPr>
          <w:p w14:paraId="3BE6E8C7" w14:textId="77777777" w:rsidR="006920FD" w:rsidRPr="00823B29" w:rsidRDefault="006920FD" w:rsidP="00BA2588">
            <w:r w:rsidRPr="00823B29">
              <w:rPr>
                <w:color w:val="000000"/>
              </w:rPr>
              <w:t>2.53</w:t>
            </w:r>
          </w:p>
        </w:tc>
        <w:tc>
          <w:tcPr>
            <w:tcW w:w="1136" w:type="dxa"/>
            <w:vAlign w:val="bottom"/>
          </w:tcPr>
          <w:p w14:paraId="247CF39C" w14:textId="77777777" w:rsidR="006920FD" w:rsidRPr="00823B29" w:rsidRDefault="006920FD" w:rsidP="00BA2588">
            <w:r w:rsidRPr="00823B29">
              <w:rPr>
                <w:color w:val="000000"/>
              </w:rPr>
              <w:t>3.88</w:t>
            </w:r>
          </w:p>
        </w:tc>
        <w:tc>
          <w:tcPr>
            <w:tcW w:w="1125" w:type="dxa"/>
            <w:vAlign w:val="bottom"/>
          </w:tcPr>
          <w:p w14:paraId="689A6EED" w14:textId="77777777" w:rsidR="006920FD" w:rsidRPr="00823B29" w:rsidRDefault="006920FD" w:rsidP="00BA2588">
            <w:r w:rsidRPr="00823B29">
              <w:rPr>
                <w:color w:val="000000"/>
              </w:rPr>
              <w:t>6.22</w:t>
            </w:r>
          </w:p>
        </w:tc>
        <w:tc>
          <w:tcPr>
            <w:tcW w:w="1136" w:type="dxa"/>
            <w:vAlign w:val="bottom"/>
          </w:tcPr>
          <w:p w14:paraId="079E7057" w14:textId="77777777" w:rsidR="006920FD" w:rsidRPr="00823B29" w:rsidRDefault="006920FD" w:rsidP="00BA2588">
            <w:r w:rsidRPr="00823B29">
              <w:rPr>
                <w:color w:val="000000"/>
              </w:rPr>
              <w:t>52.44</w:t>
            </w:r>
          </w:p>
        </w:tc>
      </w:tr>
      <w:tr w:rsidR="006920FD" w:rsidRPr="00823B29" w14:paraId="4691D36A" w14:textId="77777777" w:rsidTr="00BA2588">
        <w:tc>
          <w:tcPr>
            <w:tcW w:w="1141" w:type="dxa"/>
            <w:tcBorders>
              <w:right w:val="single" w:sz="4" w:space="0" w:color="auto"/>
            </w:tcBorders>
          </w:tcPr>
          <w:p w14:paraId="476B68DF" w14:textId="77777777" w:rsidR="006920FD" w:rsidRPr="00823B29" w:rsidRDefault="006920FD" w:rsidP="00BA2588">
            <w:r w:rsidRPr="00823B29">
              <w:t>CMAB</w:t>
            </w:r>
          </w:p>
        </w:tc>
        <w:tc>
          <w:tcPr>
            <w:tcW w:w="1124" w:type="dxa"/>
            <w:tcBorders>
              <w:left w:val="single" w:sz="4" w:space="0" w:color="auto"/>
            </w:tcBorders>
            <w:vAlign w:val="bottom"/>
          </w:tcPr>
          <w:p w14:paraId="7EA31C22" w14:textId="77777777" w:rsidR="006920FD" w:rsidRPr="00823B29" w:rsidRDefault="006920FD" w:rsidP="00BA2588">
            <w:r w:rsidRPr="00823B29">
              <w:rPr>
                <w:color w:val="000000"/>
              </w:rPr>
              <w:t>4.20</w:t>
            </w:r>
          </w:p>
        </w:tc>
        <w:tc>
          <w:tcPr>
            <w:tcW w:w="1125" w:type="dxa"/>
            <w:vAlign w:val="bottom"/>
          </w:tcPr>
          <w:p w14:paraId="527B3E7C" w14:textId="77777777" w:rsidR="006920FD" w:rsidRPr="00823B29" w:rsidRDefault="006920FD" w:rsidP="00BA2588">
            <w:r w:rsidRPr="00823B29">
              <w:rPr>
                <w:color w:val="000000"/>
              </w:rPr>
              <w:t>4.61</w:t>
            </w:r>
          </w:p>
        </w:tc>
        <w:tc>
          <w:tcPr>
            <w:tcW w:w="1114" w:type="dxa"/>
            <w:vAlign w:val="bottom"/>
          </w:tcPr>
          <w:p w14:paraId="5D18F7E2" w14:textId="77777777" w:rsidR="006920FD" w:rsidRPr="00823B29" w:rsidRDefault="006920FD" w:rsidP="00BA2588">
            <w:r w:rsidRPr="00823B29">
              <w:rPr>
                <w:color w:val="000000"/>
              </w:rPr>
              <w:t>0.42</w:t>
            </w:r>
          </w:p>
        </w:tc>
        <w:tc>
          <w:tcPr>
            <w:tcW w:w="1125" w:type="dxa"/>
            <w:vAlign w:val="bottom"/>
          </w:tcPr>
          <w:p w14:paraId="21EA74F7" w14:textId="77777777" w:rsidR="006920FD" w:rsidRPr="00823B29" w:rsidRDefault="006920FD" w:rsidP="00BA2588">
            <w:r w:rsidRPr="00823B29">
              <w:rPr>
                <w:color w:val="000000"/>
              </w:rPr>
              <w:t>1.94</w:t>
            </w:r>
          </w:p>
        </w:tc>
        <w:tc>
          <w:tcPr>
            <w:tcW w:w="1136" w:type="dxa"/>
            <w:vAlign w:val="bottom"/>
          </w:tcPr>
          <w:p w14:paraId="3A95F5BB" w14:textId="77777777" w:rsidR="006920FD" w:rsidRPr="00823B29" w:rsidRDefault="006920FD" w:rsidP="00BA2588">
            <w:r w:rsidRPr="00823B29">
              <w:rPr>
                <w:color w:val="000000"/>
              </w:rPr>
              <w:t>2.85</w:t>
            </w:r>
          </w:p>
        </w:tc>
        <w:tc>
          <w:tcPr>
            <w:tcW w:w="1125" w:type="dxa"/>
            <w:vAlign w:val="bottom"/>
          </w:tcPr>
          <w:p w14:paraId="2600E425" w14:textId="77777777" w:rsidR="006920FD" w:rsidRPr="00823B29" w:rsidRDefault="006920FD" w:rsidP="00BA2588">
            <w:r w:rsidRPr="00823B29">
              <w:rPr>
                <w:color w:val="000000"/>
              </w:rPr>
              <w:t>4.74</w:t>
            </w:r>
          </w:p>
        </w:tc>
        <w:tc>
          <w:tcPr>
            <w:tcW w:w="1136" w:type="dxa"/>
            <w:vAlign w:val="bottom"/>
          </w:tcPr>
          <w:p w14:paraId="0B3D37C9" w14:textId="77777777" w:rsidR="006920FD" w:rsidRPr="00823B29" w:rsidRDefault="006920FD" w:rsidP="00BA2588">
            <w:r w:rsidRPr="00823B29">
              <w:rPr>
                <w:color w:val="000000"/>
              </w:rPr>
              <w:t>47.2</w:t>
            </w:r>
          </w:p>
        </w:tc>
      </w:tr>
    </w:tbl>
    <w:p w14:paraId="5ACCA38F" w14:textId="77777777" w:rsidR="00FF5C1C" w:rsidRDefault="00FF5C1C" w:rsidP="00DE4EC0">
      <w:pPr>
        <w:jc w:val="both"/>
        <w:rPr>
          <w:rFonts w:ascii="Times New Roman" w:hAnsi="Times New Roman" w:cs="Times New Roman"/>
          <w:color w:val="FF0000"/>
          <w:lang w:val="en-US"/>
        </w:rPr>
      </w:pPr>
    </w:p>
    <w:p w14:paraId="378155F4" w14:textId="729BB71C" w:rsidR="006920FD" w:rsidRPr="00823B29" w:rsidRDefault="00347587" w:rsidP="00DE4EC0">
      <w:pPr>
        <w:jc w:val="both"/>
        <w:rPr>
          <w:rFonts w:ascii="Times New Roman" w:hAnsi="Times New Roman" w:cs="Times New Roman"/>
          <w:color w:val="FF0000"/>
          <w:lang w:val="en-US"/>
        </w:rPr>
      </w:pPr>
      <w:r w:rsidRPr="00823B29">
        <w:rPr>
          <w:rFonts w:ascii="Times New Roman" w:hAnsi="Times New Roman" w:cs="Times New Roman"/>
          <w:color w:val="FF0000"/>
          <w:lang w:val="en-US"/>
        </w:rPr>
        <w:t>Summary for Figure A.1.:</w:t>
      </w:r>
    </w:p>
    <w:p w14:paraId="4D97D87A" w14:textId="743220F4" w:rsidR="00347587" w:rsidRPr="00FF5C1C" w:rsidRDefault="00644864" w:rsidP="00BA2588">
      <w:pPr>
        <w:pStyle w:val="ListParagraph"/>
        <w:numPr>
          <w:ilvl w:val="0"/>
          <w:numId w:val="24"/>
        </w:numPr>
        <w:jc w:val="both"/>
        <w:rPr>
          <w:rFonts w:ascii="Times New Roman" w:hAnsi="Times New Roman" w:cs="Times New Roman"/>
          <w:color w:val="FF0000"/>
          <w:lang w:val="en-US"/>
        </w:rPr>
      </w:pPr>
      <w:proofErr w:type="spellStart"/>
      <w:r w:rsidRPr="00FF5C1C">
        <w:rPr>
          <w:rFonts w:ascii="Times New Roman" w:hAnsi="Times New Roman" w:cs="Times New Roman"/>
          <w:color w:val="FF0000"/>
        </w:rPr>
        <w:t>Strong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correlations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between</w:t>
      </w:r>
      <w:proofErr w:type="spellEnd"/>
      <w:r w:rsidRPr="00FF5C1C">
        <w:rPr>
          <w:rFonts w:ascii="Times New Roman" w:hAnsi="Times New Roman" w:cs="Times New Roman"/>
          <w:color w:val="FF0000"/>
        </w:rPr>
        <w:t xml:space="preserve"> AAF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CEF (0.88), </w:t>
      </w:r>
      <w:proofErr w:type="spellStart"/>
      <w:r w:rsidRPr="00FF5C1C">
        <w:rPr>
          <w:rFonts w:ascii="Times New Roman" w:hAnsi="Times New Roman" w:cs="Times New Roman"/>
          <w:color w:val="FF0000"/>
        </w:rPr>
        <w:t>suggesting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improved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foot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amplifies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cultural </w:t>
      </w:r>
      <w:proofErr w:type="spellStart"/>
      <w:r w:rsidRPr="00FF5C1C">
        <w:rPr>
          <w:rFonts w:ascii="Times New Roman" w:hAnsi="Times New Roman" w:cs="Times New Roman"/>
          <w:color w:val="FF0000"/>
        </w:rPr>
        <w:t>activities</w:t>
      </w:r>
      <w:proofErr w:type="spellEnd"/>
      <w:r w:rsidRPr="00FF5C1C">
        <w:rPr>
          <w:rFonts w:ascii="Times New Roman" w:hAnsi="Times New Roman" w:cs="Times New Roman"/>
          <w:color w:val="FF0000"/>
        </w:rPr>
        <w:t xml:space="preserve">; AAF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LF (0.92), </w:t>
      </w:r>
      <w:proofErr w:type="spellStart"/>
      <w:r w:rsidRPr="00FF5C1C">
        <w:rPr>
          <w:rFonts w:ascii="Times New Roman" w:hAnsi="Times New Roman" w:cs="Times New Roman"/>
          <w:color w:val="FF0000"/>
        </w:rPr>
        <w:t>reflecting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with</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better</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overall</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foot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also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have</w:t>
      </w:r>
      <w:proofErr w:type="spellEnd"/>
      <w:r w:rsidRPr="00FF5C1C">
        <w:rPr>
          <w:rFonts w:ascii="Times New Roman" w:hAnsi="Times New Roman" w:cs="Times New Roman"/>
          <w:color w:val="FF0000"/>
        </w:rPr>
        <w:t xml:space="preserve"> superior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educational</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facilities</w:t>
      </w:r>
      <w:proofErr w:type="spellEnd"/>
      <w:r w:rsidRPr="00FF5C1C">
        <w:rPr>
          <w:rFonts w:ascii="Times New Roman" w:hAnsi="Times New Roman" w:cs="Times New Roman"/>
          <w:color w:val="FF0000"/>
        </w:rPr>
        <w:t>.</w:t>
      </w:r>
    </w:p>
    <w:p w14:paraId="075D4790" w14:textId="77777777" w:rsidR="00644864" w:rsidRPr="00FF5C1C" w:rsidRDefault="00644864" w:rsidP="00347587">
      <w:pPr>
        <w:pStyle w:val="ListParagraph"/>
        <w:numPr>
          <w:ilvl w:val="0"/>
          <w:numId w:val="24"/>
        </w:numPr>
        <w:jc w:val="both"/>
        <w:rPr>
          <w:rFonts w:ascii="Times New Roman" w:hAnsi="Times New Roman" w:cs="Times New Roman"/>
          <w:color w:val="FF0000"/>
          <w:sz w:val="20"/>
          <w:szCs w:val="20"/>
          <w:lang w:val="en-US"/>
        </w:rPr>
      </w:pPr>
      <w:r w:rsidRPr="00FF5C1C">
        <w:rPr>
          <w:rFonts w:ascii="Times New Roman" w:hAnsi="Times New Roman" w:cs="Times New Roman"/>
          <w:color w:val="FF0000"/>
        </w:rPr>
        <w:t xml:space="preserve">Moderate </w:t>
      </w:r>
      <w:proofErr w:type="spellStart"/>
      <w:r w:rsidRPr="00FF5C1C">
        <w:rPr>
          <w:rFonts w:ascii="Times New Roman" w:hAnsi="Times New Roman" w:cs="Times New Roman"/>
          <w:color w:val="FF0000"/>
        </w:rPr>
        <w:t>correlation</w:t>
      </w:r>
      <w:proofErr w:type="spellEnd"/>
      <w:r w:rsidRPr="00FF5C1C">
        <w:rPr>
          <w:rFonts w:ascii="Times New Roman" w:hAnsi="Times New Roman" w:cs="Times New Roman"/>
          <w:color w:val="FF0000"/>
        </w:rPr>
        <w:t xml:space="preserve">: CEF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CMAF (0.59), </w:t>
      </w:r>
      <w:proofErr w:type="spellStart"/>
      <w:r w:rsidRPr="00FF5C1C">
        <w:rPr>
          <w:rFonts w:ascii="Times New Roman" w:hAnsi="Times New Roman" w:cs="Times New Roman"/>
          <w:color w:val="FF0000"/>
        </w:rPr>
        <w:t>indicating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with</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better</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cultural </w:t>
      </w:r>
      <w:proofErr w:type="spellStart"/>
      <w:r w:rsidRPr="00FF5C1C">
        <w:rPr>
          <w:rFonts w:ascii="Times New Roman" w:hAnsi="Times New Roman" w:cs="Times New Roman"/>
          <w:color w:val="FF0000"/>
        </w:rPr>
        <w:t>activities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have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moderately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better</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transportation</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hubs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most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likely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influenced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by</w:t>
      </w:r>
      <w:proofErr w:type="spellEnd"/>
      <w:r w:rsidRPr="00FF5C1C">
        <w:rPr>
          <w:rFonts w:ascii="Times New Roman" w:hAnsi="Times New Roman" w:cs="Times New Roman"/>
          <w:color w:val="FF0000"/>
        </w:rPr>
        <w:t xml:space="preserve"> urban </w:t>
      </w:r>
      <w:proofErr w:type="spellStart"/>
      <w:r w:rsidRPr="00FF5C1C">
        <w:rPr>
          <w:rFonts w:ascii="Times New Roman" w:hAnsi="Times New Roman" w:cs="Times New Roman"/>
          <w:color w:val="FF0000"/>
        </w:rPr>
        <w:t>congestion</w:t>
      </w:r>
      <w:proofErr w:type="spellEnd"/>
      <w:r w:rsidRPr="00FF5C1C">
        <w:rPr>
          <w:rFonts w:ascii="Times New Roman" w:hAnsi="Times New Roman" w:cs="Times New Roman"/>
          <w:color w:val="FF0000"/>
        </w:rPr>
        <w:t xml:space="preserve"> in </w:t>
      </w:r>
      <w:proofErr w:type="spellStart"/>
      <w:r w:rsidRPr="00FF5C1C">
        <w:rPr>
          <w:rFonts w:ascii="Times New Roman" w:hAnsi="Times New Roman" w:cs="Times New Roman"/>
          <w:color w:val="FF0000"/>
        </w:rPr>
        <w:t>Bucharest</w:t>
      </w:r>
      <w:proofErr w:type="spellEnd"/>
      <w:r w:rsidRPr="00FF5C1C">
        <w:rPr>
          <w:rFonts w:ascii="Times New Roman" w:hAnsi="Times New Roman" w:cs="Times New Roman"/>
          <w:color w:val="FF0000"/>
        </w:rPr>
        <w:t>.</w:t>
      </w:r>
    </w:p>
    <w:p w14:paraId="6B206B52" w14:textId="2A8A78AE" w:rsidR="00644864" w:rsidRPr="00FF5C1C" w:rsidRDefault="00644864" w:rsidP="00347587">
      <w:pPr>
        <w:pStyle w:val="ListParagraph"/>
        <w:numPr>
          <w:ilvl w:val="0"/>
          <w:numId w:val="24"/>
        </w:numPr>
        <w:jc w:val="both"/>
        <w:rPr>
          <w:rFonts w:ascii="Times New Roman" w:hAnsi="Times New Roman" w:cs="Times New Roman"/>
          <w:color w:val="FF0000"/>
          <w:lang w:val="en-US"/>
        </w:rPr>
      </w:pPr>
      <w:proofErr w:type="spellStart"/>
      <w:r w:rsidRPr="00FF5C1C">
        <w:rPr>
          <w:rFonts w:ascii="Times New Roman" w:hAnsi="Times New Roman" w:cs="Times New Roman"/>
          <w:color w:val="FF0000"/>
        </w:rPr>
        <w:t>These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correlations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highlight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how</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improvements</w:t>
      </w:r>
      <w:proofErr w:type="spellEnd"/>
      <w:r w:rsidRPr="00FF5C1C">
        <w:rPr>
          <w:rFonts w:ascii="Times New Roman" w:hAnsi="Times New Roman" w:cs="Times New Roman"/>
          <w:color w:val="FF0000"/>
        </w:rPr>
        <w:t xml:space="preserve"> in </w:t>
      </w:r>
      <w:proofErr w:type="spellStart"/>
      <w:r w:rsidRPr="00FF5C1C">
        <w:rPr>
          <w:rFonts w:ascii="Times New Roman" w:hAnsi="Times New Roman" w:cs="Times New Roman"/>
          <w:color w:val="FF0000"/>
        </w:rPr>
        <w:t>one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can</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positively</w:t>
      </w:r>
      <w:proofErr w:type="spellEnd"/>
      <w:r w:rsidRPr="00FF5C1C">
        <w:rPr>
          <w:rFonts w:ascii="Times New Roman" w:hAnsi="Times New Roman" w:cs="Times New Roman"/>
          <w:color w:val="FF0000"/>
        </w:rPr>
        <w:t xml:space="preserve"> impact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related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facilities</w:t>
      </w:r>
      <w:proofErr w:type="spellEnd"/>
      <w:r w:rsidRPr="00FF5C1C">
        <w:rPr>
          <w:rFonts w:ascii="Times New Roman" w:hAnsi="Times New Roman" w:cs="Times New Roman"/>
          <w:color w:val="FF0000"/>
        </w:rPr>
        <w:t>.</w:t>
      </w:r>
    </w:p>
    <w:p w14:paraId="77CB3719" w14:textId="77777777" w:rsidR="006920FD" w:rsidRPr="00823B29" w:rsidRDefault="006920FD" w:rsidP="006920FD">
      <w:pPr>
        <w:jc w:val="center"/>
        <w:rPr>
          <w:lang w:val="en-US"/>
        </w:rPr>
      </w:pPr>
      <w:r w:rsidRPr="00823B29">
        <w:rPr>
          <w:noProof/>
          <w:lang w:val="en-US"/>
        </w:rPr>
        <w:drawing>
          <wp:inline distT="0" distB="0" distL="0" distR="0" wp14:anchorId="467E81DF" wp14:editId="7E492764">
            <wp:extent cx="3178722" cy="2637986"/>
            <wp:effectExtent l="0" t="0" r="3175" b="0"/>
            <wp:docPr id="421689" name="Picture 1"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89" name="Picture 1" descr="A chart of different colo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506" cy="2647765"/>
                    </a:xfrm>
                    <a:prstGeom prst="rect">
                      <a:avLst/>
                    </a:prstGeom>
                    <a:noFill/>
                    <a:ln>
                      <a:noFill/>
                    </a:ln>
                  </pic:spPr>
                </pic:pic>
              </a:graphicData>
            </a:graphic>
          </wp:inline>
        </w:drawing>
      </w:r>
    </w:p>
    <w:p w14:paraId="4A0DA288" w14:textId="436595F4" w:rsidR="006920FD" w:rsidRPr="00823B29" w:rsidRDefault="006920FD" w:rsidP="006920FD">
      <w:pPr>
        <w:pStyle w:val="Caption"/>
        <w:ind w:left="1230"/>
        <w:rPr>
          <w:rFonts w:ascii="Times New Roman" w:hAnsi="Times New Roman" w:cs="Times New Roman"/>
          <w:lang w:val="en-US"/>
        </w:rPr>
      </w:pPr>
      <w:bookmarkStart w:id="2" w:name="_Ref175340401"/>
      <w:r w:rsidRPr="00823B29">
        <w:rPr>
          <w:lang w:val="en-US"/>
        </w:rPr>
        <w:t xml:space="preserve">Figure </w:t>
      </w:r>
      <w:r w:rsidR="00DE4EC0" w:rsidRPr="00823B29">
        <w:rPr>
          <w:lang w:val="en-US"/>
        </w:rPr>
        <w:t>A.</w:t>
      </w:r>
      <w:r w:rsidR="00287C0C" w:rsidRPr="00823B29">
        <w:rPr>
          <w:noProof/>
          <w:lang w:val="en-US"/>
        </w:rPr>
        <w:t>1</w:t>
      </w:r>
      <w:bookmarkEnd w:id="2"/>
      <w:r w:rsidRPr="00823B29">
        <w:rPr>
          <w:lang w:val="en-US"/>
        </w:rPr>
        <w:t xml:space="preserve">. </w:t>
      </w:r>
      <w:r w:rsidRPr="00823B29">
        <w:rPr>
          <w:rFonts w:ascii="Times New Roman" w:hAnsi="Times New Roman" w:cs="Times New Roman"/>
          <w:lang w:val="en-US"/>
        </w:rPr>
        <w:t xml:space="preserve"> Correlation matrix for foot accessibility</w:t>
      </w:r>
    </w:p>
    <w:p w14:paraId="152EB585" w14:textId="791E760C" w:rsidR="00DE4EC0" w:rsidRPr="00823B29" w:rsidRDefault="00DE4EC0" w:rsidP="00DE4EC0">
      <w:pPr>
        <w:jc w:val="both"/>
        <w:rPr>
          <w:rFonts w:ascii="Times New Roman" w:hAnsi="Times New Roman" w:cs="Times New Roman"/>
          <w:color w:val="FF0000"/>
          <w:lang w:val="en-US"/>
        </w:rPr>
      </w:pPr>
      <w:r w:rsidRPr="00823B29">
        <w:rPr>
          <w:rFonts w:ascii="Times New Roman" w:hAnsi="Times New Roman" w:cs="Times New Roman"/>
          <w:color w:val="FF0000"/>
          <w:lang w:val="en-US"/>
        </w:rPr>
        <w:t>Summary for Figure A.2.:</w:t>
      </w:r>
    </w:p>
    <w:p w14:paraId="719F482E" w14:textId="77777777" w:rsidR="00644864" w:rsidRPr="00FF5C1C" w:rsidRDefault="00644864" w:rsidP="00B90278">
      <w:pPr>
        <w:pStyle w:val="ListParagraph"/>
        <w:numPr>
          <w:ilvl w:val="0"/>
          <w:numId w:val="25"/>
        </w:numPr>
        <w:jc w:val="both"/>
        <w:rPr>
          <w:rFonts w:ascii="Times New Roman" w:hAnsi="Times New Roman" w:cs="Times New Roman"/>
          <w:color w:val="FF0000"/>
          <w:lang w:val="en-US"/>
        </w:rPr>
      </w:pPr>
      <w:proofErr w:type="spellStart"/>
      <w:r w:rsidRPr="00FF5C1C">
        <w:rPr>
          <w:rFonts w:ascii="Times New Roman" w:hAnsi="Times New Roman" w:cs="Times New Roman"/>
          <w:color w:val="FF0000"/>
        </w:rPr>
        <w:t>Strong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correlations</w:t>
      </w:r>
      <w:proofErr w:type="spellEnd"/>
      <w:r w:rsidRPr="00FF5C1C">
        <w:rPr>
          <w:rFonts w:ascii="Times New Roman" w:hAnsi="Times New Roman" w:cs="Times New Roman"/>
          <w:color w:val="FF0000"/>
        </w:rPr>
        <w:t xml:space="preserve">: AAB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CEB (0.87), </w:t>
      </w:r>
      <w:proofErr w:type="spellStart"/>
      <w:r w:rsidRPr="00FF5C1C">
        <w:rPr>
          <w:rFonts w:ascii="Times New Roman" w:hAnsi="Times New Roman" w:cs="Times New Roman"/>
          <w:color w:val="FF0000"/>
        </w:rPr>
        <w:t>indicating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improved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amplifies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cultural </w:t>
      </w:r>
      <w:proofErr w:type="spellStart"/>
      <w:r w:rsidRPr="00FF5C1C">
        <w:rPr>
          <w:rFonts w:ascii="Times New Roman" w:hAnsi="Times New Roman" w:cs="Times New Roman"/>
          <w:color w:val="FF0000"/>
        </w:rPr>
        <w:t>activities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AAB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LB (0.92), </w:t>
      </w:r>
      <w:proofErr w:type="spellStart"/>
      <w:r w:rsidRPr="00FF5C1C">
        <w:rPr>
          <w:rFonts w:ascii="Times New Roman" w:hAnsi="Times New Roman" w:cs="Times New Roman"/>
          <w:color w:val="FF0000"/>
        </w:rPr>
        <w:t>reflecting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with</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better</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overall</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also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have</w:t>
      </w:r>
      <w:proofErr w:type="spellEnd"/>
      <w:r w:rsidRPr="00FF5C1C">
        <w:rPr>
          <w:rFonts w:ascii="Times New Roman" w:hAnsi="Times New Roman" w:cs="Times New Roman"/>
          <w:color w:val="FF0000"/>
        </w:rPr>
        <w:t xml:space="preserve"> superior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educational</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facilities</w:t>
      </w:r>
      <w:proofErr w:type="spellEnd"/>
      <w:r w:rsidRPr="00FF5C1C">
        <w:rPr>
          <w:rFonts w:ascii="Times New Roman" w:hAnsi="Times New Roman" w:cs="Times New Roman"/>
          <w:color w:val="FF0000"/>
        </w:rPr>
        <w:t>.</w:t>
      </w:r>
    </w:p>
    <w:p w14:paraId="7471FEC8" w14:textId="77777777" w:rsidR="00644864" w:rsidRPr="00FF5C1C" w:rsidRDefault="00644864" w:rsidP="00B90278">
      <w:pPr>
        <w:pStyle w:val="ListParagraph"/>
        <w:numPr>
          <w:ilvl w:val="0"/>
          <w:numId w:val="25"/>
        </w:numPr>
        <w:jc w:val="both"/>
        <w:rPr>
          <w:rFonts w:ascii="Times New Roman" w:hAnsi="Times New Roman" w:cs="Times New Roman"/>
          <w:color w:val="FF0000"/>
          <w:lang w:val="en-US"/>
        </w:rPr>
      </w:pPr>
      <w:r w:rsidRPr="00FF5C1C">
        <w:rPr>
          <w:rFonts w:ascii="Times New Roman" w:hAnsi="Times New Roman" w:cs="Times New Roman"/>
          <w:color w:val="FF0000"/>
        </w:rPr>
        <w:t xml:space="preserve">Moderate </w:t>
      </w:r>
      <w:proofErr w:type="spellStart"/>
      <w:r w:rsidRPr="00FF5C1C">
        <w:rPr>
          <w:rFonts w:ascii="Times New Roman" w:hAnsi="Times New Roman" w:cs="Times New Roman"/>
          <w:color w:val="FF0000"/>
        </w:rPr>
        <w:t>correlations</w:t>
      </w:r>
      <w:proofErr w:type="spellEnd"/>
      <w:r w:rsidRPr="00FF5C1C">
        <w:rPr>
          <w:rFonts w:ascii="Times New Roman" w:hAnsi="Times New Roman" w:cs="Times New Roman"/>
          <w:color w:val="FF0000"/>
        </w:rPr>
        <w:t xml:space="preserve">: CEB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SPB (0.69), </w:t>
      </w:r>
      <w:proofErr w:type="spellStart"/>
      <w:r w:rsidRPr="00FF5C1C">
        <w:rPr>
          <w:rFonts w:ascii="Times New Roman" w:hAnsi="Times New Roman" w:cs="Times New Roman"/>
          <w:color w:val="FF0000"/>
        </w:rPr>
        <w:t>indicating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with</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relatively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good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cultural </w:t>
      </w:r>
      <w:proofErr w:type="spellStart"/>
      <w:r w:rsidRPr="00FF5C1C">
        <w:rPr>
          <w:rFonts w:ascii="Times New Roman" w:hAnsi="Times New Roman" w:cs="Times New Roman"/>
          <w:color w:val="FF0000"/>
        </w:rPr>
        <w:t>activities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also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have</w:t>
      </w:r>
      <w:proofErr w:type="spellEnd"/>
      <w:r w:rsidRPr="00FF5C1C">
        <w:rPr>
          <w:rFonts w:ascii="Times New Roman" w:hAnsi="Times New Roman" w:cs="Times New Roman"/>
          <w:color w:val="FF0000"/>
        </w:rPr>
        <w:t xml:space="preserve"> moderate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supply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sources</w:t>
      </w:r>
      <w:proofErr w:type="spellEnd"/>
      <w:r w:rsidRPr="00FF5C1C">
        <w:rPr>
          <w:rFonts w:ascii="Times New Roman" w:hAnsi="Times New Roman" w:cs="Times New Roman"/>
          <w:color w:val="FF0000"/>
        </w:rPr>
        <w:t xml:space="preserve">; ARB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w:t>
      </w:r>
      <w:r w:rsidRPr="00FF5C1C">
        <w:rPr>
          <w:rFonts w:ascii="Times New Roman" w:hAnsi="Times New Roman" w:cs="Times New Roman"/>
          <w:color w:val="FF0000"/>
        </w:rPr>
        <w:lastRenderedPageBreak/>
        <w:t xml:space="preserve">CMAB (0.61), </w:t>
      </w:r>
      <w:proofErr w:type="spellStart"/>
      <w:r w:rsidRPr="00FF5C1C">
        <w:rPr>
          <w:rFonts w:ascii="Times New Roman" w:hAnsi="Times New Roman" w:cs="Times New Roman"/>
          <w:color w:val="FF0000"/>
        </w:rPr>
        <w:t>indicating</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that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areas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with</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better</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outdoor </w:t>
      </w:r>
      <w:proofErr w:type="spellStart"/>
      <w:r w:rsidRPr="00FF5C1C">
        <w:rPr>
          <w:rFonts w:ascii="Times New Roman" w:hAnsi="Times New Roman" w:cs="Times New Roman"/>
          <w:color w:val="FF0000"/>
        </w:rPr>
        <w:t>activities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also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have</w:t>
      </w:r>
      <w:proofErr w:type="spellEnd"/>
      <w:r w:rsidRPr="00FF5C1C">
        <w:rPr>
          <w:rFonts w:ascii="Times New Roman" w:hAnsi="Times New Roman" w:cs="Times New Roman"/>
          <w:color w:val="FF0000"/>
        </w:rPr>
        <w:t xml:space="preserve"> moderate </w:t>
      </w:r>
      <w:proofErr w:type="spellStart"/>
      <w:r w:rsidRPr="00FF5C1C">
        <w:rPr>
          <w:rFonts w:ascii="Times New Roman" w:hAnsi="Times New Roman" w:cs="Times New Roman"/>
          <w:color w:val="FF0000"/>
        </w:rPr>
        <w:t>access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to</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transportation</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hubs</w:t>
      </w:r>
      <w:proofErr w:type="spellEnd"/>
      <w:r w:rsidRPr="00FF5C1C">
        <w:rPr>
          <w:rFonts w:ascii="Times New Roman" w:hAnsi="Times New Roman" w:cs="Times New Roman"/>
          <w:color w:val="FF0000"/>
        </w:rPr>
        <w:t>.</w:t>
      </w:r>
    </w:p>
    <w:p w14:paraId="723E9410" w14:textId="71B91495" w:rsidR="00644864" w:rsidRPr="00FF5C1C" w:rsidRDefault="00644864" w:rsidP="00B90278">
      <w:pPr>
        <w:pStyle w:val="ListParagraph"/>
        <w:numPr>
          <w:ilvl w:val="0"/>
          <w:numId w:val="25"/>
        </w:numPr>
        <w:jc w:val="both"/>
        <w:rPr>
          <w:rFonts w:ascii="Times New Roman" w:hAnsi="Times New Roman" w:cs="Times New Roman"/>
          <w:color w:val="FF0000"/>
          <w:lang w:val="en-US"/>
        </w:rPr>
      </w:pPr>
      <w:proofErr w:type="spellStart"/>
      <w:r w:rsidRPr="00FF5C1C">
        <w:rPr>
          <w:rFonts w:ascii="Times New Roman" w:hAnsi="Times New Roman" w:cs="Times New Roman"/>
          <w:color w:val="FF0000"/>
        </w:rPr>
        <w:t>These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correlations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highlight</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strong</w:t>
      </w:r>
      <w:proofErr w:type="spellEnd"/>
      <w:r w:rsidRPr="00FF5C1C">
        <w:rPr>
          <w:rFonts w:ascii="Times New Roman" w:hAnsi="Times New Roman" w:cs="Times New Roman"/>
          <w:color w:val="FF0000"/>
        </w:rPr>
        <w:t xml:space="preserve"> link </w:t>
      </w:r>
      <w:proofErr w:type="spellStart"/>
      <w:r w:rsidRPr="00FF5C1C">
        <w:rPr>
          <w:rFonts w:ascii="Times New Roman" w:hAnsi="Times New Roman" w:cs="Times New Roman"/>
          <w:color w:val="FF0000"/>
        </w:rPr>
        <w:t>between</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bike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accessibility</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and</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the</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availability</w:t>
      </w:r>
      <w:proofErr w:type="spellEnd"/>
      <w:r w:rsidRPr="00FF5C1C">
        <w:rPr>
          <w:rFonts w:ascii="Times New Roman" w:hAnsi="Times New Roman" w:cs="Times New Roman"/>
          <w:color w:val="FF0000"/>
        </w:rPr>
        <w:t xml:space="preserve"> of </w:t>
      </w:r>
      <w:proofErr w:type="spellStart"/>
      <w:r w:rsidRPr="00FF5C1C">
        <w:rPr>
          <w:rFonts w:ascii="Times New Roman" w:hAnsi="Times New Roman" w:cs="Times New Roman"/>
          <w:color w:val="FF0000"/>
        </w:rPr>
        <w:t>various</w:t>
      </w:r>
      <w:proofErr w:type="spellEnd"/>
      <w:r w:rsidRPr="00FF5C1C">
        <w:rPr>
          <w:rFonts w:ascii="Times New Roman" w:hAnsi="Times New Roman" w:cs="Times New Roman"/>
          <w:color w:val="FF0000"/>
        </w:rPr>
        <w:t xml:space="preserve"> </w:t>
      </w:r>
      <w:proofErr w:type="spellStart"/>
      <w:r w:rsidRPr="00FF5C1C">
        <w:rPr>
          <w:rFonts w:ascii="Times New Roman" w:hAnsi="Times New Roman" w:cs="Times New Roman"/>
          <w:color w:val="FF0000"/>
        </w:rPr>
        <w:t>facilities</w:t>
      </w:r>
      <w:proofErr w:type="spellEnd"/>
      <w:r w:rsidRPr="00FF5C1C">
        <w:rPr>
          <w:rFonts w:ascii="Times New Roman" w:hAnsi="Times New Roman" w:cs="Times New Roman"/>
          <w:color w:val="FF0000"/>
        </w:rPr>
        <w:t xml:space="preserve"> in </w:t>
      </w:r>
      <w:proofErr w:type="spellStart"/>
      <w:r w:rsidRPr="00FF5C1C">
        <w:rPr>
          <w:rFonts w:ascii="Times New Roman" w:hAnsi="Times New Roman" w:cs="Times New Roman"/>
          <w:color w:val="FF0000"/>
        </w:rPr>
        <w:t>Bucharest</w:t>
      </w:r>
      <w:proofErr w:type="spellEnd"/>
      <w:r w:rsidRPr="00FF5C1C">
        <w:rPr>
          <w:rFonts w:ascii="Times New Roman" w:hAnsi="Times New Roman" w:cs="Times New Roman"/>
          <w:color w:val="FF0000"/>
        </w:rPr>
        <w:t>.</w:t>
      </w:r>
    </w:p>
    <w:p w14:paraId="796F5597" w14:textId="77777777" w:rsidR="006920FD" w:rsidRPr="00823B29" w:rsidRDefault="006920FD" w:rsidP="006920FD">
      <w:pPr>
        <w:jc w:val="center"/>
        <w:rPr>
          <w:rFonts w:ascii="Times New Roman" w:hAnsi="Times New Roman" w:cs="Times New Roman"/>
          <w:lang w:val="en-US"/>
        </w:rPr>
      </w:pPr>
      <w:r w:rsidRPr="00823B29">
        <w:rPr>
          <w:noProof/>
          <w:lang w:val="en-US"/>
        </w:rPr>
        <w:drawing>
          <wp:inline distT="0" distB="0" distL="0" distR="0" wp14:anchorId="5779304C" wp14:editId="01C76AD1">
            <wp:extent cx="3007996" cy="2496302"/>
            <wp:effectExtent l="0" t="0" r="1905" b="0"/>
            <wp:docPr id="445116587" name="Picture 2"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16587" name="Picture 2" descr="A chart of different colo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0963" cy="2507064"/>
                    </a:xfrm>
                    <a:prstGeom prst="rect">
                      <a:avLst/>
                    </a:prstGeom>
                    <a:noFill/>
                    <a:ln>
                      <a:noFill/>
                    </a:ln>
                  </pic:spPr>
                </pic:pic>
              </a:graphicData>
            </a:graphic>
          </wp:inline>
        </w:drawing>
      </w:r>
    </w:p>
    <w:p w14:paraId="3F336A88" w14:textId="500ED558" w:rsidR="006920FD" w:rsidRPr="00823B29" w:rsidRDefault="006920FD" w:rsidP="006920FD">
      <w:pPr>
        <w:pStyle w:val="Caption"/>
        <w:ind w:left="1230"/>
        <w:rPr>
          <w:rFonts w:ascii="Times New Roman" w:hAnsi="Times New Roman" w:cs="Times New Roman"/>
          <w:lang w:val="en-US"/>
        </w:rPr>
      </w:pPr>
      <w:bookmarkStart w:id="3" w:name="_Ref175340526"/>
      <w:r w:rsidRPr="00823B29">
        <w:rPr>
          <w:lang w:val="en-US"/>
        </w:rPr>
        <w:t>Figure</w:t>
      </w:r>
      <w:r w:rsidR="00DE4EC0" w:rsidRPr="00823B29">
        <w:rPr>
          <w:lang w:val="en-US"/>
        </w:rPr>
        <w:t xml:space="preserve"> A.</w:t>
      </w:r>
      <w:r w:rsidR="00287C0C" w:rsidRPr="00823B29">
        <w:rPr>
          <w:noProof/>
          <w:lang w:val="en-US"/>
        </w:rPr>
        <w:t>2</w:t>
      </w:r>
      <w:bookmarkEnd w:id="3"/>
      <w:r w:rsidRPr="00823B29">
        <w:rPr>
          <w:lang w:val="en-US"/>
        </w:rPr>
        <w:t xml:space="preserve">. </w:t>
      </w:r>
      <w:r w:rsidRPr="00823B29">
        <w:rPr>
          <w:rFonts w:ascii="Times New Roman" w:hAnsi="Times New Roman" w:cs="Times New Roman"/>
          <w:lang w:val="en-US"/>
        </w:rPr>
        <w:t>Correlation matrix for bike accessibility</w:t>
      </w:r>
    </w:p>
    <w:p w14:paraId="301CC0F6" w14:textId="35BD5FA0" w:rsidR="006920FD" w:rsidRPr="00252762" w:rsidRDefault="006920FD" w:rsidP="00B90278">
      <w:pPr>
        <w:jc w:val="both"/>
        <w:rPr>
          <w:rFonts w:ascii="Times New Roman" w:hAnsi="Times New Roman" w:cs="Times New Roman"/>
          <w:i/>
          <w:iCs/>
          <w:sz w:val="16"/>
          <w:szCs w:val="16"/>
          <w:lang w:val="en-US"/>
        </w:rPr>
      </w:pPr>
    </w:p>
    <w:sectPr w:rsidR="006920FD" w:rsidRPr="00252762" w:rsidSect="00B90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3B0F"/>
    <w:multiLevelType w:val="multilevel"/>
    <w:tmpl w:val="C68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85843"/>
    <w:multiLevelType w:val="hybridMultilevel"/>
    <w:tmpl w:val="D584AADA"/>
    <w:lvl w:ilvl="0" w:tplc="0418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08A7177D"/>
    <w:multiLevelType w:val="multilevel"/>
    <w:tmpl w:val="A17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45F"/>
    <w:multiLevelType w:val="hybridMultilevel"/>
    <w:tmpl w:val="C99637C6"/>
    <w:lvl w:ilvl="0" w:tplc="4E92D160">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012D6E"/>
    <w:multiLevelType w:val="multilevel"/>
    <w:tmpl w:val="1D9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E1372"/>
    <w:multiLevelType w:val="multilevel"/>
    <w:tmpl w:val="4EA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53"/>
    <w:multiLevelType w:val="hybridMultilevel"/>
    <w:tmpl w:val="096CD81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17BB0766"/>
    <w:multiLevelType w:val="hybridMultilevel"/>
    <w:tmpl w:val="785606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C3020D2"/>
    <w:multiLevelType w:val="hybridMultilevel"/>
    <w:tmpl w:val="830A86CA"/>
    <w:lvl w:ilvl="0" w:tplc="61EC1B68">
      <w:start w:val="1"/>
      <w:numFmt w:val="bullet"/>
      <w:lvlText w:val=""/>
      <w:lvlJc w:val="left"/>
      <w:pPr>
        <w:ind w:left="720" w:hanging="360"/>
      </w:pPr>
      <w:rPr>
        <w:rFonts w:ascii="Symbol" w:hAnsi="Symbol" w:hint="default"/>
        <w:color w:val="FF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13C3753"/>
    <w:multiLevelType w:val="hybridMultilevel"/>
    <w:tmpl w:val="65CA584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15:restartNumberingAfterBreak="0">
    <w:nsid w:val="22AE2733"/>
    <w:multiLevelType w:val="hybridMultilevel"/>
    <w:tmpl w:val="06B818EC"/>
    <w:lvl w:ilvl="0" w:tplc="74F2F510">
      <w:start w:val="4"/>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4BC062D"/>
    <w:multiLevelType w:val="multilevel"/>
    <w:tmpl w:val="54C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01A65"/>
    <w:multiLevelType w:val="multilevel"/>
    <w:tmpl w:val="9AB8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85F3F"/>
    <w:multiLevelType w:val="hybridMultilevel"/>
    <w:tmpl w:val="8F34455C"/>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2B1330AE"/>
    <w:multiLevelType w:val="hybridMultilevel"/>
    <w:tmpl w:val="783049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2D392E9B"/>
    <w:multiLevelType w:val="hybridMultilevel"/>
    <w:tmpl w:val="3E5A5F82"/>
    <w:lvl w:ilvl="0" w:tplc="04180001">
      <w:start w:val="1"/>
      <w:numFmt w:val="bullet"/>
      <w:lvlText w:val=""/>
      <w:lvlJc w:val="left"/>
      <w:pPr>
        <w:ind w:left="1145" w:hanging="360"/>
      </w:pPr>
      <w:rPr>
        <w:rFonts w:ascii="Symbol" w:hAnsi="Symbol" w:hint="default"/>
      </w:rPr>
    </w:lvl>
    <w:lvl w:ilvl="1" w:tplc="04180003" w:tentative="1">
      <w:start w:val="1"/>
      <w:numFmt w:val="bullet"/>
      <w:lvlText w:val="o"/>
      <w:lvlJc w:val="left"/>
      <w:pPr>
        <w:ind w:left="1865" w:hanging="360"/>
      </w:pPr>
      <w:rPr>
        <w:rFonts w:ascii="Courier New" w:hAnsi="Courier New" w:cs="Courier New" w:hint="default"/>
      </w:rPr>
    </w:lvl>
    <w:lvl w:ilvl="2" w:tplc="04180005" w:tentative="1">
      <w:start w:val="1"/>
      <w:numFmt w:val="bullet"/>
      <w:lvlText w:val=""/>
      <w:lvlJc w:val="left"/>
      <w:pPr>
        <w:ind w:left="2585" w:hanging="360"/>
      </w:pPr>
      <w:rPr>
        <w:rFonts w:ascii="Wingdings" w:hAnsi="Wingdings" w:hint="default"/>
      </w:rPr>
    </w:lvl>
    <w:lvl w:ilvl="3" w:tplc="04180001" w:tentative="1">
      <w:start w:val="1"/>
      <w:numFmt w:val="bullet"/>
      <w:lvlText w:val=""/>
      <w:lvlJc w:val="left"/>
      <w:pPr>
        <w:ind w:left="3305" w:hanging="360"/>
      </w:pPr>
      <w:rPr>
        <w:rFonts w:ascii="Symbol" w:hAnsi="Symbol" w:hint="default"/>
      </w:rPr>
    </w:lvl>
    <w:lvl w:ilvl="4" w:tplc="04180003" w:tentative="1">
      <w:start w:val="1"/>
      <w:numFmt w:val="bullet"/>
      <w:lvlText w:val="o"/>
      <w:lvlJc w:val="left"/>
      <w:pPr>
        <w:ind w:left="4025" w:hanging="360"/>
      </w:pPr>
      <w:rPr>
        <w:rFonts w:ascii="Courier New" w:hAnsi="Courier New" w:cs="Courier New" w:hint="default"/>
      </w:rPr>
    </w:lvl>
    <w:lvl w:ilvl="5" w:tplc="04180005" w:tentative="1">
      <w:start w:val="1"/>
      <w:numFmt w:val="bullet"/>
      <w:lvlText w:val=""/>
      <w:lvlJc w:val="left"/>
      <w:pPr>
        <w:ind w:left="4745" w:hanging="360"/>
      </w:pPr>
      <w:rPr>
        <w:rFonts w:ascii="Wingdings" w:hAnsi="Wingdings" w:hint="default"/>
      </w:rPr>
    </w:lvl>
    <w:lvl w:ilvl="6" w:tplc="04180001" w:tentative="1">
      <w:start w:val="1"/>
      <w:numFmt w:val="bullet"/>
      <w:lvlText w:val=""/>
      <w:lvlJc w:val="left"/>
      <w:pPr>
        <w:ind w:left="5465" w:hanging="360"/>
      </w:pPr>
      <w:rPr>
        <w:rFonts w:ascii="Symbol" w:hAnsi="Symbol" w:hint="default"/>
      </w:rPr>
    </w:lvl>
    <w:lvl w:ilvl="7" w:tplc="04180003" w:tentative="1">
      <w:start w:val="1"/>
      <w:numFmt w:val="bullet"/>
      <w:lvlText w:val="o"/>
      <w:lvlJc w:val="left"/>
      <w:pPr>
        <w:ind w:left="6185" w:hanging="360"/>
      </w:pPr>
      <w:rPr>
        <w:rFonts w:ascii="Courier New" w:hAnsi="Courier New" w:cs="Courier New" w:hint="default"/>
      </w:rPr>
    </w:lvl>
    <w:lvl w:ilvl="8" w:tplc="04180005" w:tentative="1">
      <w:start w:val="1"/>
      <w:numFmt w:val="bullet"/>
      <w:lvlText w:val=""/>
      <w:lvlJc w:val="left"/>
      <w:pPr>
        <w:ind w:left="6905" w:hanging="360"/>
      </w:pPr>
      <w:rPr>
        <w:rFonts w:ascii="Wingdings" w:hAnsi="Wingdings" w:hint="default"/>
      </w:rPr>
    </w:lvl>
  </w:abstractNum>
  <w:abstractNum w:abstractNumId="16" w15:restartNumberingAfterBreak="0">
    <w:nsid w:val="36982B58"/>
    <w:multiLevelType w:val="multilevel"/>
    <w:tmpl w:val="2CA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E67EA"/>
    <w:multiLevelType w:val="hybridMultilevel"/>
    <w:tmpl w:val="693A3736"/>
    <w:lvl w:ilvl="0" w:tplc="0CFC86BC">
      <w:start w:val="15"/>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BC21314"/>
    <w:multiLevelType w:val="hybridMultilevel"/>
    <w:tmpl w:val="6224750E"/>
    <w:lvl w:ilvl="0" w:tplc="D1E60904">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55530C6D"/>
    <w:multiLevelType w:val="hybridMultilevel"/>
    <w:tmpl w:val="D5D6FDD4"/>
    <w:lvl w:ilvl="0" w:tplc="D486A9C8">
      <w:numFmt w:val="bullet"/>
      <w:lvlText w:val=""/>
      <w:lvlJc w:val="left"/>
      <w:pPr>
        <w:ind w:left="785" w:hanging="360"/>
      </w:pPr>
      <w:rPr>
        <w:rFonts w:ascii="Times New Roman" w:eastAsia="Times New Roman" w:hAnsi="Times New Roman" w:cs="Times New Roman" w:hint="default"/>
      </w:rPr>
    </w:lvl>
    <w:lvl w:ilvl="1" w:tplc="04180003" w:tentative="1">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20" w15:restartNumberingAfterBreak="0">
    <w:nsid w:val="5FA74553"/>
    <w:multiLevelType w:val="hybridMultilevel"/>
    <w:tmpl w:val="99A0286A"/>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21" w15:restartNumberingAfterBreak="0">
    <w:nsid w:val="609C1E2F"/>
    <w:multiLevelType w:val="hybridMultilevel"/>
    <w:tmpl w:val="28441C40"/>
    <w:lvl w:ilvl="0" w:tplc="D6700572">
      <w:start w:val="5"/>
      <w:numFmt w:val="bullet"/>
      <w:lvlText w:val=""/>
      <w:lvlJc w:val="left"/>
      <w:pPr>
        <w:ind w:left="420" w:hanging="360"/>
      </w:pPr>
      <w:rPr>
        <w:rFonts w:ascii="Wingdings" w:eastAsiaTheme="minorHAnsi" w:hAnsi="Wingdings"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22" w15:restartNumberingAfterBreak="0">
    <w:nsid w:val="65081D67"/>
    <w:multiLevelType w:val="hybridMultilevel"/>
    <w:tmpl w:val="27A69494"/>
    <w:lvl w:ilvl="0" w:tplc="B096DEC0">
      <w:start w:val="20"/>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D6C2A70"/>
    <w:multiLevelType w:val="hybridMultilevel"/>
    <w:tmpl w:val="70EA31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2EA3D4F"/>
    <w:multiLevelType w:val="hybridMultilevel"/>
    <w:tmpl w:val="8780B2F8"/>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908054C"/>
    <w:multiLevelType w:val="hybridMultilevel"/>
    <w:tmpl w:val="BE02EFF4"/>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999571510">
    <w:abstractNumId w:val="7"/>
  </w:num>
  <w:num w:numId="2" w16cid:durableId="1764917243">
    <w:abstractNumId w:val="14"/>
  </w:num>
  <w:num w:numId="3" w16cid:durableId="1241284082">
    <w:abstractNumId w:val="21"/>
  </w:num>
  <w:num w:numId="4" w16cid:durableId="1922911564">
    <w:abstractNumId w:val="16"/>
  </w:num>
  <w:num w:numId="5" w16cid:durableId="2079789360">
    <w:abstractNumId w:val="0"/>
  </w:num>
  <w:num w:numId="6" w16cid:durableId="594285800">
    <w:abstractNumId w:val="12"/>
  </w:num>
  <w:num w:numId="7" w16cid:durableId="1180656089">
    <w:abstractNumId w:val="20"/>
  </w:num>
  <w:num w:numId="8" w16cid:durableId="1752702717">
    <w:abstractNumId w:val="24"/>
  </w:num>
  <w:num w:numId="9" w16cid:durableId="1514874525">
    <w:abstractNumId w:val="18"/>
  </w:num>
  <w:num w:numId="10" w16cid:durableId="2008705358">
    <w:abstractNumId w:val="3"/>
  </w:num>
  <w:num w:numId="11" w16cid:durableId="1582638066">
    <w:abstractNumId w:val="17"/>
  </w:num>
  <w:num w:numId="12" w16cid:durableId="1475489496">
    <w:abstractNumId w:val="22"/>
  </w:num>
  <w:num w:numId="13" w16cid:durableId="1744722109">
    <w:abstractNumId w:val="10"/>
  </w:num>
  <w:num w:numId="14" w16cid:durableId="1278416264">
    <w:abstractNumId w:val="13"/>
  </w:num>
  <w:num w:numId="15" w16cid:durableId="2068987063">
    <w:abstractNumId w:val="25"/>
  </w:num>
  <w:num w:numId="16" w16cid:durableId="1318264853">
    <w:abstractNumId w:val="11"/>
  </w:num>
  <w:num w:numId="17" w16cid:durableId="876745203">
    <w:abstractNumId w:val="4"/>
  </w:num>
  <w:num w:numId="18" w16cid:durableId="901790593">
    <w:abstractNumId w:val="15"/>
  </w:num>
  <w:num w:numId="19" w16cid:durableId="1460104087">
    <w:abstractNumId w:val="19"/>
  </w:num>
  <w:num w:numId="20" w16cid:durableId="1064136244">
    <w:abstractNumId w:val="1"/>
  </w:num>
  <w:num w:numId="21" w16cid:durableId="1192649275">
    <w:abstractNumId w:val="9"/>
  </w:num>
  <w:num w:numId="22" w16cid:durableId="1630819388">
    <w:abstractNumId w:val="2"/>
  </w:num>
  <w:num w:numId="23" w16cid:durableId="1344746563">
    <w:abstractNumId w:val="5"/>
  </w:num>
  <w:num w:numId="24" w16cid:durableId="1984041855">
    <w:abstractNumId w:val="8"/>
  </w:num>
  <w:num w:numId="25" w16cid:durableId="788863344">
    <w:abstractNumId w:val="23"/>
  </w:num>
  <w:num w:numId="26" w16cid:durableId="92773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5F2"/>
    <w:rsid w:val="00045E04"/>
    <w:rsid w:val="00050661"/>
    <w:rsid w:val="00056D7D"/>
    <w:rsid w:val="0018553B"/>
    <w:rsid w:val="001B715B"/>
    <w:rsid w:val="001C135A"/>
    <w:rsid w:val="00252762"/>
    <w:rsid w:val="00287C0C"/>
    <w:rsid w:val="002E55F2"/>
    <w:rsid w:val="00347587"/>
    <w:rsid w:val="003514DD"/>
    <w:rsid w:val="003E1E29"/>
    <w:rsid w:val="004A3493"/>
    <w:rsid w:val="00601833"/>
    <w:rsid w:val="00644864"/>
    <w:rsid w:val="006920FD"/>
    <w:rsid w:val="0073507B"/>
    <w:rsid w:val="00823B29"/>
    <w:rsid w:val="00832D4A"/>
    <w:rsid w:val="00844BA3"/>
    <w:rsid w:val="008B23B0"/>
    <w:rsid w:val="008F0257"/>
    <w:rsid w:val="00947F0E"/>
    <w:rsid w:val="00986609"/>
    <w:rsid w:val="009C44A8"/>
    <w:rsid w:val="009D6AE5"/>
    <w:rsid w:val="00A253BD"/>
    <w:rsid w:val="00A47CB6"/>
    <w:rsid w:val="00A92BAC"/>
    <w:rsid w:val="00AC1116"/>
    <w:rsid w:val="00B15578"/>
    <w:rsid w:val="00B90278"/>
    <w:rsid w:val="00BA2588"/>
    <w:rsid w:val="00CC3FD3"/>
    <w:rsid w:val="00CD3557"/>
    <w:rsid w:val="00D42587"/>
    <w:rsid w:val="00DE4EC0"/>
    <w:rsid w:val="00F12DE1"/>
    <w:rsid w:val="00F13704"/>
    <w:rsid w:val="00F1536A"/>
    <w:rsid w:val="00F45D9A"/>
    <w:rsid w:val="00FF5C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85F6"/>
  <w14:defaultImageDpi w14:val="32767"/>
  <w15:chartTrackingRefBased/>
  <w15:docId w15:val="{124538EF-5D86-4856-8CA0-24D735C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FD"/>
  </w:style>
  <w:style w:type="paragraph" w:styleId="Heading1">
    <w:name w:val="heading 1"/>
    <w:basedOn w:val="Normal"/>
    <w:next w:val="Normal"/>
    <w:link w:val="Heading1Char"/>
    <w:uiPriority w:val="9"/>
    <w:qFormat/>
    <w:rsid w:val="002E5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F2"/>
    <w:rPr>
      <w:rFonts w:eastAsiaTheme="majorEastAsia" w:cstheme="majorBidi"/>
      <w:color w:val="272727" w:themeColor="text1" w:themeTint="D8"/>
    </w:rPr>
  </w:style>
  <w:style w:type="paragraph" w:styleId="Title">
    <w:name w:val="Title"/>
    <w:basedOn w:val="Normal"/>
    <w:next w:val="Normal"/>
    <w:link w:val="TitleChar"/>
    <w:uiPriority w:val="10"/>
    <w:qFormat/>
    <w:rsid w:val="002E5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F2"/>
    <w:pPr>
      <w:spacing w:before="160"/>
      <w:jc w:val="center"/>
    </w:pPr>
    <w:rPr>
      <w:i/>
      <w:iCs/>
      <w:color w:val="404040" w:themeColor="text1" w:themeTint="BF"/>
    </w:rPr>
  </w:style>
  <w:style w:type="character" w:customStyle="1" w:styleId="QuoteChar">
    <w:name w:val="Quote Char"/>
    <w:basedOn w:val="DefaultParagraphFont"/>
    <w:link w:val="Quote"/>
    <w:uiPriority w:val="29"/>
    <w:rsid w:val="002E55F2"/>
    <w:rPr>
      <w:i/>
      <w:iCs/>
      <w:color w:val="404040" w:themeColor="text1" w:themeTint="BF"/>
    </w:rPr>
  </w:style>
  <w:style w:type="paragraph" w:styleId="ListParagraph">
    <w:name w:val="List Paragraph"/>
    <w:basedOn w:val="Normal"/>
    <w:uiPriority w:val="34"/>
    <w:qFormat/>
    <w:rsid w:val="002E55F2"/>
    <w:pPr>
      <w:ind w:left="720"/>
      <w:contextualSpacing/>
    </w:pPr>
  </w:style>
  <w:style w:type="character" w:styleId="IntenseEmphasis">
    <w:name w:val="Intense Emphasis"/>
    <w:basedOn w:val="DefaultParagraphFont"/>
    <w:uiPriority w:val="21"/>
    <w:qFormat/>
    <w:rsid w:val="002E55F2"/>
    <w:rPr>
      <w:i/>
      <w:iCs/>
      <w:color w:val="0F4761" w:themeColor="accent1" w:themeShade="BF"/>
    </w:rPr>
  </w:style>
  <w:style w:type="paragraph" w:styleId="IntenseQuote">
    <w:name w:val="Intense Quote"/>
    <w:basedOn w:val="Normal"/>
    <w:next w:val="Normal"/>
    <w:link w:val="IntenseQuoteChar"/>
    <w:uiPriority w:val="30"/>
    <w:qFormat/>
    <w:rsid w:val="002E5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F2"/>
    <w:rPr>
      <w:i/>
      <w:iCs/>
      <w:color w:val="0F4761" w:themeColor="accent1" w:themeShade="BF"/>
    </w:rPr>
  </w:style>
  <w:style w:type="character" w:styleId="IntenseReference">
    <w:name w:val="Intense Reference"/>
    <w:basedOn w:val="DefaultParagraphFont"/>
    <w:uiPriority w:val="32"/>
    <w:qFormat/>
    <w:rsid w:val="002E55F2"/>
    <w:rPr>
      <w:b/>
      <w:bCs/>
      <w:smallCaps/>
      <w:color w:val="0F4761" w:themeColor="accent1" w:themeShade="BF"/>
      <w:spacing w:val="5"/>
    </w:rPr>
  </w:style>
  <w:style w:type="paragraph" w:customStyle="1" w:styleId="MDPI31text">
    <w:name w:val="MDPI_3.1_text"/>
    <w:rsid w:val="006920FD"/>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51figurecaption">
    <w:name w:val="MDPI_5.1_figure_caption"/>
    <w:basedOn w:val="Normal"/>
    <w:rsid w:val="006920FD"/>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val="en-US" w:eastAsia="de-DE" w:bidi="en-US"/>
      <w14:ligatures w14:val="none"/>
    </w:rPr>
  </w:style>
  <w:style w:type="table" w:styleId="TableGrid">
    <w:name w:val="Table Grid"/>
    <w:basedOn w:val="TableNormal"/>
    <w:uiPriority w:val="39"/>
    <w:rsid w:val="006920FD"/>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Normal"/>
    <w:rsid w:val="006920FD"/>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val="en-US" w:eastAsia="de-DE" w:bidi="en-US"/>
      <w14:ligatures w14:val="none"/>
    </w:rPr>
  </w:style>
  <w:style w:type="character" w:styleId="PlaceholderText">
    <w:name w:val="Placeholder Text"/>
    <w:basedOn w:val="DefaultParagraphFont"/>
    <w:uiPriority w:val="99"/>
    <w:semiHidden/>
    <w:rsid w:val="006920FD"/>
    <w:rPr>
      <w:color w:val="666666"/>
    </w:rPr>
  </w:style>
  <w:style w:type="paragraph" w:styleId="Bibliography">
    <w:name w:val="Bibliography"/>
    <w:basedOn w:val="Normal"/>
    <w:next w:val="Normal"/>
    <w:uiPriority w:val="37"/>
    <w:unhideWhenUsed/>
    <w:rsid w:val="006920FD"/>
    <w:pPr>
      <w:spacing w:after="0" w:line="240" w:lineRule="auto"/>
      <w:ind w:left="720" w:hanging="720"/>
    </w:pPr>
  </w:style>
  <w:style w:type="character" w:styleId="CommentReference">
    <w:name w:val="annotation reference"/>
    <w:basedOn w:val="DefaultParagraphFont"/>
    <w:uiPriority w:val="99"/>
    <w:semiHidden/>
    <w:unhideWhenUsed/>
    <w:rsid w:val="006920FD"/>
    <w:rPr>
      <w:sz w:val="16"/>
      <w:szCs w:val="16"/>
    </w:rPr>
  </w:style>
  <w:style w:type="paragraph" w:styleId="CommentText">
    <w:name w:val="annotation text"/>
    <w:basedOn w:val="Normal"/>
    <w:link w:val="CommentTextChar"/>
    <w:uiPriority w:val="99"/>
    <w:unhideWhenUsed/>
    <w:rsid w:val="006920FD"/>
    <w:pPr>
      <w:spacing w:line="240" w:lineRule="auto"/>
    </w:pPr>
    <w:rPr>
      <w:sz w:val="20"/>
      <w:szCs w:val="20"/>
      <w:lang w:val="en-US"/>
    </w:rPr>
  </w:style>
  <w:style w:type="character" w:customStyle="1" w:styleId="CommentTextChar">
    <w:name w:val="Comment Text Char"/>
    <w:basedOn w:val="DefaultParagraphFont"/>
    <w:link w:val="CommentText"/>
    <w:uiPriority w:val="99"/>
    <w:rsid w:val="006920FD"/>
    <w:rPr>
      <w:sz w:val="20"/>
      <w:szCs w:val="20"/>
      <w:lang w:val="en-US"/>
    </w:rPr>
  </w:style>
  <w:style w:type="paragraph" w:styleId="Caption">
    <w:name w:val="caption"/>
    <w:basedOn w:val="Normal"/>
    <w:next w:val="Normal"/>
    <w:uiPriority w:val="35"/>
    <w:unhideWhenUsed/>
    <w:qFormat/>
    <w:rsid w:val="006920FD"/>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6920FD"/>
    <w:rPr>
      <w:b/>
      <w:bCs/>
      <w:lang w:val="ro-RO"/>
    </w:rPr>
  </w:style>
  <w:style w:type="character" w:customStyle="1" w:styleId="CommentSubjectChar">
    <w:name w:val="Comment Subject Char"/>
    <w:basedOn w:val="CommentTextChar"/>
    <w:link w:val="CommentSubject"/>
    <w:uiPriority w:val="99"/>
    <w:semiHidden/>
    <w:rsid w:val="006920FD"/>
    <w:rPr>
      <w:b/>
      <w:bCs/>
      <w:sz w:val="20"/>
      <w:szCs w:val="20"/>
      <w:lang w:val="en-US"/>
    </w:rPr>
  </w:style>
  <w:style w:type="character" w:styleId="Hyperlink">
    <w:name w:val="Hyperlink"/>
    <w:basedOn w:val="DefaultParagraphFont"/>
    <w:uiPriority w:val="99"/>
    <w:unhideWhenUsed/>
    <w:rsid w:val="006920FD"/>
    <w:rPr>
      <w:color w:val="467886" w:themeColor="hyperlink"/>
      <w:u w:val="single"/>
    </w:rPr>
  </w:style>
  <w:style w:type="character" w:customStyle="1" w:styleId="UnresolvedMention1">
    <w:name w:val="Unresolved Mention1"/>
    <w:basedOn w:val="DefaultParagraphFont"/>
    <w:uiPriority w:val="99"/>
    <w:semiHidden/>
    <w:unhideWhenUsed/>
    <w:rsid w:val="006920FD"/>
    <w:rPr>
      <w:color w:val="605E5C"/>
      <w:shd w:val="clear" w:color="auto" w:fill="E1DFDD"/>
    </w:rPr>
  </w:style>
  <w:style w:type="paragraph" w:styleId="BalloonText">
    <w:name w:val="Balloon Text"/>
    <w:basedOn w:val="Normal"/>
    <w:link w:val="BalloonTextChar"/>
    <w:uiPriority w:val="99"/>
    <w:semiHidden/>
    <w:unhideWhenUsed/>
    <w:rsid w:val="00692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0FD"/>
    <w:rPr>
      <w:rFonts w:ascii="Segoe UI" w:hAnsi="Segoe UI" w:cs="Segoe UI"/>
      <w:sz w:val="18"/>
      <w:szCs w:val="18"/>
    </w:rPr>
  </w:style>
  <w:style w:type="character" w:customStyle="1" w:styleId="UnresolvedMention2">
    <w:name w:val="Unresolved Mention2"/>
    <w:basedOn w:val="DefaultParagraphFont"/>
    <w:uiPriority w:val="99"/>
    <w:semiHidden/>
    <w:unhideWhenUsed/>
    <w:rsid w:val="0069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1178">
      <w:bodyDiv w:val="1"/>
      <w:marLeft w:val="0"/>
      <w:marRight w:val="0"/>
      <w:marTop w:val="0"/>
      <w:marBottom w:val="0"/>
      <w:divBdr>
        <w:top w:val="none" w:sz="0" w:space="0" w:color="auto"/>
        <w:left w:val="none" w:sz="0" w:space="0" w:color="auto"/>
        <w:bottom w:val="none" w:sz="0" w:space="0" w:color="auto"/>
        <w:right w:val="none" w:sz="0" w:space="0" w:color="auto"/>
      </w:divBdr>
    </w:div>
    <w:div w:id="186917685">
      <w:bodyDiv w:val="1"/>
      <w:marLeft w:val="0"/>
      <w:marRight w:val="0"/>
      <w:marTop w:val="0"/>
      <w:marBottom w:val="0"/>
      <w:divBdr>
        <w:top w:val="none" w:sz="0" w:space="0" w:color="auto"/>
        <w:left w:val="none" w:sz="0" w:space="0" w:color="auto"/>
        <w:bottom w:val="none" w:sz="0" w:space="0" w:color="auto"/>
        <w:right w:val="none" w:sz="0" w:space="0" w:color="auto"/>
      </w:divBdr>
    </w:div>
    <w:div w:id="218900804">
      <w:bodyDiv w:val="1"/>
      <w:marLeft w:val="0"/>
      <w:marRight w:val="0"/>
      <w:marTop w:val="0"/>
      <w:marBottom w:val="0"/>
      <w:divBdr>
        <w:top w:val="none" w:sz="0" w:space="0" w:color="auto"/>
        <w:left w:val="none" w:sz="0" w:space="0" w:color="auto"/>
        <w:bottom w:val="none" w:sz="0" w:space="0" w:color="auto"/>
        <w:right w:val="none" w:sz="0" w:space="0" w:color="auto"/>
      </w:divBdr>
    </w:div>
    <w:div w:id="833643322">
      <w:bodyDiv w:val="1"/>
      <w:marLeft w:val="0"/>
      <w:marRight w:val="0"/>
      <w:marTop w:val="0"/>
      <w:marBottom w:val="0"/>
      <w:divBdr>
        <w:top w:val="none" w:sz="0" w:space="0" w:color="auto"/>
        <w:left w:val="none" w:sz="0" w:space="0" w:color="auto"/>
        <w:bottom w:val="none" w:sz="0" w:space="0" w:color="auto"/>
        <w:right w:val="none" w:sz="0" w:space="0" w:color="auto"/>
      </w:divBdr>
    </w:div>
    <w:div w:id="1043748263">
      <w:bodyDiv w:val="1"/>
      <w:marLeft w:val="0"/>
      <w:marRight w:val="0"/>
      <w:marTop w:val="0"/>
      <w:marBottom w:val="0"/>
      <w:divBdr>
        <w:top w:val="none" w:sz="0" w:space="0" w:color="auto"/>
        <w:left w:val="none" w:sz="0" w:space="0" w:color="auto"/>
        <w:bottom w:val="none" w:sz="0" w:space="0" w:color="auto"/>
        <w:right w:val="none" w:sz="0" w:space="0" w:color="auto"/>
      </w:divBdr>
    </w:div>
    <w:div w:id="1064763749">
      <w:bodyDiv w:val="1"/>
      <w:marLeft w:val="0"/>
      <w:marRight w:val="0"/>
      <w:marTop w:val="0"/>
      <w:marBottom w:val="0"/>
      <w:divBdr>
        <w:top w:val="none" w:sz="0" w:space="0" w:color="auto"/>
        <w:left w:val="none" w:sz="0" w:space="0" w:color="auto"/>
        <w:bottom w:val="none" w:sz="0" w:space="0" w:color="auto"/>
        <w:right w:val="none" w:sz="0" w:space="0" w:color="auto"/>
      </w:divBdr>
    </w:div>
    <w:div w:id="1127819572">
      <w:bodyDiv w:val="1"/>
      <w:marLeft w:val="0"/>
      <w:marRight w:val="0"/>
      <w:marTop w:val="0"/>
      <w:marBottom w:val="0"/>
      <w:divBdr>
        <w:top w:val="none" w:sz="0" w:space="0" w:color="auto"/>
        <w:left w:val="none" w:sz="0" w:space="0" w:color="auto"/>
        <w:bottom w:val="none" w:sz="0" w:space="0" w:color="auto"/>
        <w:right w:val="none" w:sz="0" w:space="0" w:color="auto"/>
      </w:divBdr>
    </w:div>
    <w:div w:id="1184515596">
      <w:bodyDiv w:val="1"/>
      <w:marLeft w:val="0"/>
      <w:marRight w:val="0"/>
      <w:marTop w:val="0"/>
      <w:marBottom w:val="0"/>
      <w:divBdr>
        <w:top w:val="none" w:sz="0" w:space="0" w:color="auto"/>
        <w:left w:val="none" w:sz="0" w:space="0" w:color="auto"/>
        <w:bottom w:val="none" w:sz="0" w:space="0" w:color="auto"/>
        <w:right w:val="none" w:sz="0" w:space="0" w:color="auto"/>
      </w:divBdr>
    </w:div>
    <w:div w:id="1510635290">
      <w:bodyDiv w:val="1"/>
      <w:marLeft w:val="0"/>
      <w:marRight w:val="0"/>
      <w:marTop w:val="0"/>
      <w:marBottom w:val="0"/>
      <w:divBdr>
        <w:top w:val="none" w:sz="0" w:space="0" w:color="auto"/>
        <w:left w:val="none" w:sz="0" w:space="0" w:color="auto"/>
        <w:bottom w:val="none" w:sz="0" w:space="0" w:color="auto"/>
        <w:right w:val="none" w:sz="0" w:space="0" w:color="auto"/>
      </w:divBdr>
    </w:div>
    <w:div w:id="19754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1561B-8957-4F98-843E-A6F1405C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833</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Delcea</dc:creator>
  <cp:keywords/>
  <dc:description/>
  <cp:lastModifiedBy>Camelia Delcea</cp:lastModifiedBy>
  <cp:revision>8</cp:revision>
  <dcterms:created xsi:type="dcterms:W3CDTF">2025-02-16T14:04:00Z</dcterms:created>
  <dcterms:modified xsi:type="dcterms:W3CDTF">2025-02-16T17:50:00Z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id="CV1HJN8p"/&gt;&lt;style id="http://www.zotero.org/styles/elsevier-harvard" hasBibliography="1" bibliographyStyleHasBeenSet="1"/&gt;&lt;prefs&gt;&lt;pref name="fieldType" value="Field"/&gt;&lt;/prefs&gt;&lt;/data&gt;</vt:lpwstr>
  </property>
</Properties>
</file>