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header2.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mc:AlternateContent>
          <mc:Choice Requires="wpg">
            <w:drawing>
              <wp:anchor distT="0" distB="0" distL="0" distR="0" simplePos="0" relativeHeight="15" behindDoc="0" locked="0" layoutInCell="0" allowOverlap="1" wp14:anchorId="2D7FCADB">
                <wp:simplePos x="0" y="0"/>
                <wp:positionH relativeFrom="margin">
                  <wp:posOffset>-434975</wp:posOffset>
                </wp:positionH>
                <wp:positionV relativeFrom="paragraph">
                  <wp:posOffset>33655</wp:posOffset>
                </wp:positionV>
                <wp:extent cx="6580505" cy="1486535"/>
                <wp:effectExtent l="0" t="0" r="0" b="0"/>
                <wp:wrapNone/>
                <wp:docPr id="1" name="Grupo 47"/>
                <a:graphic xmlns:a="http://schemas.openxmlformats.org/drawingml/2006/main">
                  <a:graphicData uri="http://schemas.microsoft.com/office/word/2010/wordprocessingGroup">
                    <wpg:wgp>
                      <wpg:cNvGrpSpPr/>
                      <wpg:grpSpPr>
                        <a:xfrm>
                          <a:off x="0" y="0"/>
                          <a:ext cx="6580440" cy="1486440"/>
                          <a:chOff x="0" y="0"/>
                          <a:chExt cx="6580440" cy="1486440"/>
                        </a:xfrm>
                      </wpg:grpSpPr>
                      <wps:wsp>
                        <wps:cNvPr id="2" name="Cuadro de texto 2"/>
                        <wps:cNvSpPr/>
                        <wps:spPr>
                          <a:xfrm>
                            <a:off x="1141560" y="238680"/>
                            <a:ext cx="5438880" cy="1235880"/>
                          </a:xfrm>
                          <a:prstGeom prst="rect">
                            <a:avLst/>
                          </a:prstGeom>
                          <a:noFill/>
                          <a:ln w="9525">
                            <a:noFill/>
                          </a:ln>
                        </wps:spPr>
                        <wps:style>
                          <a:lnRef idx="0"/>
                          <a:fillRef idx="0"/>
                          <a:effectRef idx="0"/>
                          <a:fontRef idx="minor"/>
                        </wps:style>
                        <wps:txb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wps:txbx>
                        <wps:bodyPr lIns="0" tIns="0" rIns="0" bIns="0" anchor="t">
                          <a:noAutofit/>
                        </wps:bodyPr>
                      </wps:wsp>
                      <wps:wsp>
                        <wps:cNvPr id="3" name="Rectángulo 14"/>
                        <wps:cNvSpPr/>
                        <wps:spPr>
                          <a:xfrm>
                            <a:off x="0" y="0"/>
                            <a:ext cx="1103040" cy="1486440"/>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o 47" style="position:absolute;margin-left:-34.25pt;margin-top:2.65pt;width:518.15pt;height:117.05pt" coordorigin="-685,53" coordsize="10363,2341">
                <v:rect id="shape_0" stroked="f" o:allowincell="f" style="position:absolute;left:1113;top:429;width:8564;height:1945;mso-wrap-style:square;v-text-anchor:top;mso-position-horizontal-relative:margin">
                  <v:fill o:detectmouseclick="t" on="false"/>
                  <v:stroke color="#3465a4" weight="9360" joinstyle="round" endcap="flat"/>
                  <v:textbo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v:textbox>
                  <w10:wrap type="none"/>
                </v:rect>
                <v:rect id="shape_0" fillcolor="#203864" stroked="f" o:allowincell="f" style="position:absolute;left:-685;top:53;width:1736;height:2340;mso-wrap-style:none;v-text-anchor:middle;mso-position-horizontal-relative:margin">
                  <v:fill o:detectmouseclick="t" type="solid" color2="#dfc79b"/>
                  <v:stroke color="#3465a4" weight="12600" joinstyle="miter" endcap="flat"/>
                  <w10:wrap type="none"/>
                </v:rect>
              </v:group>
            </w:pict>
          </mc:Fallback>
        </mc:AlternateContent>
      </w:r>
      <w:r>
        <w:rPr/>
        <w: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rPr>
      </w:pPr>
      <w:r>
        <w:rPr>
          <w:b/>
        </w:rPr>
        <w:tab/>
      </w:r>
    </w:p>
    <w:p>
      <w:pPr>
        <w:pStyle w:val="ListParagraph"/>
        <w:numPr>
          <w:ilvl w:val="0"/>
          <w:numId w:val="1"/>
        </w:numPr>
        <w:rPr>
          <w:b/>
          <w:bCs/>
          <w:color w:themeColor="accent1" w:val="4472C4"/>
          <w:sz w:val="32"/>
          <w:szCs w:val="32"/>
        </w:rPr>
      </w:pPr>
      <w:r>
        <w:rPr>
          <w:b/>
          <w:bCs/>
          <w:color w:themeColor="accent1" w:val="4472C4"/>
          <w:sz w:val="32"/>
          <w:szCs w:val="32"/>
        </w:rPr>
        <w:t>PARTE I</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1. Antecedentes Personales</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34"/>
        <w:gridCol w:w="6964"/>
      </w:tblGrid>
      <w:tr>
        <w:trPr>
          <w:trHeight w:val="440"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Nombre estudiantes</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Álvaro Castro - Angel Rojas</w:t>
            </w:r>
          </w:p>
        </w:tc>
      </w:tr>
      <w:tr>
        <w:trPr>
          <w:trHeight w:val="418"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Rut</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20.099.314-4 - 19.837.745-7</w:t>
            </w:r>
          </w:p>
        </w:tc>
      </w:tr>
      <w:tr>
        <w:trPr>
          <w:trHeight w:val="425"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Carrera</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Ingeniería Informática</w:t>
            </w:r>
          </w:p>
        </w:tc>
      </w:tr>
      <w:tr>
        <w:trPr>
          <w:trHeight w:val="417"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Sede</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Padre Alonso de Ovalle</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2. Descripción Proyecto APT</w:t>
            </w:r>
          </w:p>
        </w:tc>
      </w:tr>
    </w:tbl>
    <w:p>
      <w:pPr>
        <w:pStyle w:val="Normal"/>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87"/>
        <w:gridCol w:w="6911"/>
      </w:tblGrid>
      <w:tr>
        <w:trPr>
          <w:trHeight w:val="440"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Nombre del proyecto</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color w:val="000000"/>
                <w:kern w:val="0"/>
                <w:lang w:val="es-CL" w:eastAsia="en-US" w:bidi="ar-SA"/>
              </w:rPr>
            </w:pPr>
            <w:r>
              <w:rPr>
                <w:rFonts w:eastAsia="Calibri" w:cs="Arial"/>
                <w:b/>
                <w:i w:val="false"/>
                <w:iCs w:val="false"/>
                <w:color w:val="000000"/>
                <w:kern w:val="0"/>
                <w:sz w:val="20"/>
                <w:szCs w:val="20"/>
                <w:lang w:val="es-CL" w:eastAsia="es-CL" w:bidi="ar-SA"/>
              </w:rPr>
              <w:t xml:space="preserve">Directiva: </w:t>
            </w:r>
            <w:r>
              <w:rPr>
                <w:rFonts w:eastAsia="Calibri" w:cs="Arial"/>
                <w:b w:val="false"/>
                <w:bCs w:val="false"/>
                <w:i/>
                <w:color w:val="000000"/>
                <w:kern w:val="0"/>
                <w:sz w:val="20"/>
                <w:szCs w:val="20"/>
                <w:lang w:val="es-CL" w:eastAsia="es-CL" w:bidi="ar-SA"/>
              </w:rPr>
              <w:t>Videojuego educativo de estrategia y automatización mediante programación de agentes autónomos</w:t>
            </w:r>
          </w:p>
        </w:tc>
      </w:tr>
      <w:tr>
        <w:trPr>
          <w:trHeight w:val="418"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Área (s) de desempeño(s)</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i w:val="false"/>
                <w:iCs w:val="false"/>
                <w:color w:val="000000"/>
                <w:kern w:val="0"/>
                <w:lang w:val="es-CL" w:eastAsia="en-US" w:bidi="ar-SA"/>
              </w:rPr>
            </w:pPr>
            <w:r>
              <w:rPr>
                <w:rFonts w:eastAsia="Calibri" w:cs="Arial"/>
                <w:i w:val="false"/>
                <w:iCs w:val="false"/>
                <w:color w:val="000000"/>
                <w:kern w:val="0"/>
                <w:sz w:val="20"/>
                <w:szCs w:val="20"/>
                <w:lang w:val="es-CL" w:eastAsia="es-CL" w:bidi="ar-SA"/>
              </w:rPr>
              <w:t>Desarrollo de software, gestión de proyectos informáticos y calidad de software.</w:t>
            </w:r>
          </w:p>
        </w:tc>
      </w:tr>
      <w:tr>
        <w:trPr>
          <w:trHeight w:val="425"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 xml:space="preserve">Competencias </w:t>
            </w:r>
          </w:p>
          <w:p>
            <w:pPr>
              <w:pStyle w:val="Normal"/>
              <w:widowControl/>
              <w:suppressAutoHyphens w:val="true"/>
              <w:spacing w:before="0" w:after="160"/>
              <w:jc w:val="start"/>
              <w:rPr>
                <w:rFonts w:ascii="Calibri" w:hAnsi="Calibri"/>
                <w:color w:themeColor="accent1" w:themeShade="80" w:val="1F3864"/>
              </w:rPr>
            </w:pPr>
            <w:r>
              <w:rPr>
                <w:color w:themeColor="accent1" w:themeShade="80" w:val="1F3864"/>
              </w:rPr>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b w:val="false"/>
                <w:bCs w:val="false"/>
                <w:i w:val="false"/>
                <w:iCs w:val="false"/>
                <w:color w:val="000000"/>
                <w:kern w:val="0"/>
                <w:lang w:val="es-CL" w:eastAsia="en-US" w:bidi="ar-SA"/>
              </w:rPr>
            </w:pPr>
            <w:r>
              <w:rPr>
                <w:rFonts w:eastAsia="Calibri" w:cs="Arial"/>
                <w:b w:val="false"/>
                <w:bCs w:val="false"/>
                <w:i w:val="false"/>
                <w:iCs w:val="false"/>
                <w:color w:val="000000"/>
                <w:kern w:val="0"/>
                <w:sz w:val="20"/>
                <w:szCs w:val="20"/>
                <w:lang w:val="es-CL" w:eastAsia="es-CL" w:bidi="ar-SA"/>
              </w:rPr>
              <w:t>Desarrollar una solución de software utilizando técnicas que permitan sistematizar el proceso de desarrollo y mantenimiento, asegurando el logro de los objetivos.</w:t>
              <w:br/>
              <w:br/>
              <w:t>Gestionar proyectos informáticos, ofreciendo alternativas para la toma de decisiones de acuerdo a los requerimientos de la organización.</w:t>
              <w:br/>
              <w:br/>
              <w:t>Realizar pruebas de certificación tanto de los productos como de los procesos utilizando buenas prácticas definidas por la industria.</w:t>
            </w:r>
          </w:p>
        </w:tc>
      </w:tr>
    </w:tbl>
    <w:p>
      <w:pPr>
        <w:pStyle w:val="Normal"/>
        <w:spacing w:lineRule="auto" w:line="360" w:before="0" w:after="0"/>
        <w:jc w:val="both"/>
        <w:rPr>
          <w:b/>
          <w:sz w:val="24"/>
          <w:szCs w:val="24"/>
        </w:rPr>
      </w:pPr>
      <w:r>
        <w:rPr>
          <w:b/>
          <w:sz w:val="24"/>
          <w:szCs w:val="24"/>
        </w:rPr>
      </w:r>
    </w:p>
    <w:p>
      <w:pPr>
        <w:pStyle w:val="Normal"/>
        <w:spacing w:lineRule="auto" w:line="240" w:before="0" w:after="0"/>
        <w:rPr>
          <w:b/>
          <w:sz w:val="24"/>
          <w:szCs w:val="24"/>
        </w:rPr>
      </w:pPr>
      <w:r>
        <w:rPr>
          <w:b/>
          <w:sz w:val="24"/>
          <w:szCs w:val="24"/>
        </w:rPr>
      </w:r>
      <w:r>
        <w:br w:type="page"/>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3. Fundamentación Proyecto APT</w:t>
            </w:r>
          </w:p>
        </w:tc>
      </w:tr>
    </w:tbl>
    <w:p>
      <w:pPr>
        <w:pStyle w:val="Normal"/>
        <w:spacing w:lineRule="auto" w:line="360" w:before="0" w:after="0"/>
        <w:jc w:val="both"/>
        <w:rPr>
          <w:b/>
          <w:sz w:val="24"/>
          <w:szCs w:val="24"/>
        </w:rPr>
      </w:pPr>
      <w:r>
        <w:rPr>
          <w:b/>
          <w:sz w:val="24"/>
          <w:szCs w:val="24"/>
        </w:rPr>
      </w:r>
    </w:p>
    <w:tbl>
      <w:tblPr>
        <w:tblStyle w:val="Tablaconcuadrcula"/>
        <w:tblW w:w="5000" w:type="pct"/>
        <w:jc w:val="start"/>
        <w:tblInd w:w="-714" w:type="dxa"/>
        <w:tblLayout w:type="fixed"/>
        <w:tblCellMar>
          <w:top w:w="0" w:type="dxa"/>
          <w:start w:w="108" w:type="dxa"/>
          <w:bottom w:w="0" w:type="dxa"/>
          <w:end w:w="108" w:type="dxa"/>
        </w:tblCellMar>
        <w:tblLook w:val="04a0" w:firstRow="1" w:noVBand="1" w:lastRow="0" w:firstColumn="1" w:lastColumn="0" w:noHBand="0"/>
      </w:tblPr>
      <w:tblGrid>
        <w:gridCol w:w="2136"/>
        <w:gridCol w:w="6368"/>
      </w:tblGrid>
      <w:tr>
        <w:trPr>
          <w:trHeight w:val="6795"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Relevancia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El aprendizaje de programación puede presentar una barrera de entrada importante para personas que recién comienzan, especialmente cuando los conceptos se presentan de manera principalmente teórica o mediante ejercicios cuyo resultado no siempre es fácil de visualizar. En este contexto, el proyecto busca ofrecer una alternativa lúdica e interactiva en la que el usuario pueda escribir programas y observar directamente cómo estos determinan el comportamiento de agentes autónomos dentro de un videojuego de estrategia.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Paralelamente, se identifica una oportunidad dentro de los videojuegos centrados en programación. Existen propuestas que incorporan automatización o programación como parte de sus mecánicas, pero algunas utilizan sistemas visuales o de toma de decisiones en lugar de programación textual, mientras que otras están orientadas principalmente a usuarios que ya poseen conocimientos avanzados. Directiva busca situarse en un punto intermedio: ofrecer una experiencia de estrategia y automatización donde la programación sea la mecánica principal, pero cuya entrada sea progresiva y accesible para usuarios con distintos niveles de experiencia.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El proyecto estará dirigido principalmente a personas interesadas en aprender o practicar conceptos de programación mediante una experiencia de juego. Su aporte consiste en proporcionar un entorno donde conceptos como instrucciones, condiciones, ciclos, funciones y diseño de algoritmos puedan aplicarse a problemas concretos y observarse inmediatamente dentro de una simulación, combinando aprendizaje, experimentación, entretenimiento y competición.</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Debido a su naturaleza digital, la problemática no se limita a una ubicación geográfica o institución específica. El proyecto está pensado para usuarios que dispongan de un computador personal y acceso a Internet para descargar el videojuego, permitiendo que pueda ser utilizado por personas de distintos contextos geográficos. La distribución inicial se realizará mediante la plataforma itch.io.</w:t>
            </w:r>
          </w:p>
        </w:tc>
      </w:tr>
      <w:tr>
        <w:trPr>
          <w:trHeight w:val="1037"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Descripción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b/>
                <w:bCs/>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xml:space="preserve"> será un videojuego de estrategia y automatización con enfoque educativo para computadores de escritorio, desarrollado en Unity, cuyo objetivo es permitir que los jugadores aprendan y practiquen conceptos de programación mediante la resolución de desafíos dentro de un entorno simulado.</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jugador controlará indirectamente unidades autónomas denominadas Agentes, asignándoles programas escritos mediante un lenguaje textual con sintaxis inspirada en Python. Estos programas determinarán las acciones que los Agentes realizarán dentro de la simulación, tales como desplazarse, recolectar recursos, transportarlos y combatir.</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ciclo principal de juego consistirá en programar los Agentes, ejecutar la simulación, observar su comportamiento y modificar los programas en función de los resultados obtenidos. De esta manera, el jugador podrá experimentar iterativamente con diferentes soluciones hasta completar los objetivos de cada nivel.</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juego contará inicialmente con una experiencia singleplayer basada en una progresión de niveles. Las primeras misiones introducirán gradualmente las mecánicas y conceptos de programación, mientras que las misiones más avanzadas permitirán al jugador controlar un sistema más completo a partir de su Nexo, encargado de crear y coordinar nuevos Agentes mediante los recursos disponibles.</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proyecto será desarrollado de manera incremental y se distribuirá mediante itch.io, permitiendo realizar pruebas frecuentes con usuarios y ajustar sus funcionalidades a partir del feedback obtenido durante el desarrollo.</w:t>
            </w:r>
            <w:r>
              <w:rPr>
                <w:rFonts w:eastAsia="Calibri" w:cs="Arial"/>
                <w:i/>
                <w:color w:val="548DD4"/>
                <w:kern w:val="0"/>
                <w:sz w:val="20"/>
                <w:szCs w:val="20"/>
                <w:lang w:val="es-CL" w:eastAsia="es-CL" w:bidi="ar-SA"/>
              </w:rPr>
              <w:t xml:space="preserve"> </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Pertinencia del proyecto con el perfil de egreso</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 xml:space="preserve">El proyecto </w:t>
            </w:r>
            <w:r>
              <w:rPr>
                <w:rFonts w:eastAsia="Calibri" w:cs="Arial"/>
                <w:b/>
                <w:bCs/>
                <w:i w:val="false"/>
                <w:iCs w:val="false"/>
                <w:color w:val="000000"/>
                <w:kern w:val="0"/>
                <w:sz w:val="20"/>
                <w:szCs w:val="20"/>
                <w:shd w:fill="auto" w:val="clear"/>
                <w:lang w:val="es-CL" w:eastAsia="es-CL" w:bidi="ar-SA"/>
              </w:rPr>
              <w:t>Directiva</w:t>
            </w:r>
            <w:r>
              <w:rPr>
                <w:rFonts w:eastAsia="Calibri" w:cs="Arial"/>
                <w:i w:val="false"/>
                <w:iCs w:val="false"/>
                <w:color w:val="000000"/>
                <w:kern w:val="0"/>
                <w:sz w:val="20"/>
                <w:szCs w:val="20"/>
                <w:shd w:fill="auto" w:val="clear"/>
                <w:lang w:val="es-CL" w:eastAsia="es-CL" w:bidi="ar-SA"/>
              </w:rPr>
              <w:t xml:space="preserve"> se relaciona directamente con el perfil de egreso de Ingeniería en Informática, ya que requiere diseñar, desarrollar, validar y gestionar una solución de software durante las distintas etapas de su ciclo de vida.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La competencia asociada al desarrollo de soluciones de software será aplicada mediante el diseño de la arquitectura del sistema, la implementación del videojuego en Unity, el desarrollo del intérprete del lenguaje de programación, la simulación de los Agentes y la integración de los distintos componentes del producto. Se buscará mantener una arquitectura modular que facilite el desarrollo, mantenimiento y eventual extensión del sistema.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La competencia de gestión de proyectos informáticos será abordada mediante una metodología ágil, organizando el desarrollo en iteraciones, definiendo y priorizando funcionalidades, gestionando riesgos y recursos, y realizando seguimiento del progreso del proyecto. Además, se incorporarán instancias periódicas de playtesting que permitan obtener retroalimentación de usuarios y utilizarla como apoyo para la toma de decisiones durante el desarrollo.</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Finalmente, la competencia relacionada con la realización de pruebas y validación será aplicada mediante pruebas técnicas y funcionales del software, además de playtests con usuarios. Los resultados obtenidos permitirán detectar errores, evaluar el comportamiento de las funcionalidades desarrolladas e identificar oportunidades de mejora antes de la entrega final.</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Relación con los intereses profesionales</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BodyText"/>
              <w:widowControl/>
              <w:suppressAutoHyphens w:val="true"/>
              <w:spacing w:before="0" w:after="160"/>
              <w:jc w:val="both"/>
              <w:rPr>
                <w:rFonts w:ascii="Calibri" w:hAnsi="Calibri" w:cs="Arial"/>
                <w:i/>
                <w:color w:val="548DD4"/>
                <w:sz w:val="20"/>
                <w:szCs w:val="20"/>
                <w:lang w:eastAsia="es-CL"/>
              </w:rPr>
            </w:pPr>
            <w:r>
              <w:rPr>
                <w:rFonts w:eastAsia="Calibri" w:cs="Arial"/>
                <w:i w:val="false"/>
                <w:iCs w:val="false"/>
                <w:color w:val="000000"/>
                <w:kern w:val="0"/>
                <w:sz w:val="20"/>
                <w:szCs w:val="20"/>
                <w:lang w:val="es-CL" w:eastAsia="es-CL" w:bidi="ar-SA"/>
              </w:rPr>
              <w:t xml:space="preserve">El proyecto </w:t>
            </w:r>
            <w:r>
              <w:rPr>
                <w:rStyle w:val="Strong"/>
                <w:rFonts w:eastAsia="Calibri" w:cs="Arial"/>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xml:space="preserve"> se relaciona directamente con los intereses profesionales de ambos integrantes del equipo, permitiendo abordar distintas áreas de especialización dentro de un mismo proyecto tecnológico.</w:t>
            </w:r>
          </w:p>
          <w:p>
            <w:pPr>
              <w:pStyle w:val="BodyText"/>
              <w:widowControl/>
              <w:suppressAutoHyphens w:val="true"/>
              <w:spacing w:before="0" w:after="160"/>
              <w:jc w:val="both"/>
              <w:rPr>
                <w:rFonts w:ascii="Calibri" w:hAnsi="Calibri" w:cs="Arial"/>
                <w:i w:val="false"/>
                <w:iCs w:val="false"/>
                <w:color w:val="000000"/>
                <w:sz w:val="20"/>
                <w:szCs w:val="20"/>
                <w:lang w:eastAsia="es-CL"/>
              </w:rPr>
            </w:pPr>
            <w:r>
              <w:rPr>
                <w:rFonts w:cs="Arial"/>
                <w:i w:val="false"/>
                <w:iCs w:val="false"/>
                <w:color w:val="000000"/>
                <w:sz w:val="20"/>
                <w:szCs w:val="20"/>
                <w:lang w:eastAsia="es-CL"/>
              </w:rPr>
              <w:t>Por una parte, el desarrollo del videojuego permite profundizar en áreas como programación, arquitectura de software, diseño de algoritmos, simulación y calidad de software. Estas áreas se relacionan especialmente con el interés profesional del Líder Técnico y Desarrollador Principal, quien busca continuar desarrollándose en la creación de soluciones de software de calidad, sistemas complejos y desarrollo de videojuegos.</w:t>
            </w:r>
          </w:p>
          <w:p>
            <w:pPr>
              <w:pStyle w:val="BodyText"/>
              <w:suppressAutoHyphens w:val="true"/>
              <w:spacing w:lineRule="auto" w:line="259" w:before="0" w:after="160"/>
              <w:jc w:val="both"/>
              <w:rPr>
                <w:rFonts w:ascii="Calibri" w:hAnsi="Calibri" w:cs="Arial"/>
                <w:i w:val="false"/>
                <w:iCs w:val="false"/>
                <w:color w:val="000000"/>
                <w:sz w:val="20"/>
                <w:szCs w:val="20"/>
                <w:lang w:eastAsia="es-CL"/>
              </w:rPr>
            </w:pPr>
            <w:r>
              <w:rPr>
                <w:rFonts w:cs="Arial"/>
                <w:i w:val="false"/>
                <w:iCs w:val="false"/>
                <w:color w:val="000000"/>
                <w:sz w:val="20"/>
                <w:szCs w:val="20"/>
                <w:lang w:eastAsia="es-CL"/>
              </w:rPr>
              <w:t>Por otra parte, el proyecto permite aplicar y fortalecer competencias relacionadas con planificación, gestión de proyectos, gestión de riesgos, coordinación de recursos y trabajo con usuarios. Estas áreas se relacionan directamente con los intereses profesionales del Jefe de Proyecto, quien busca desarrollarse en roles vinculados a gestión de proyectos y PMO.</w:t>
            </w:r>
          </w:p>
          <w:p>
            <w:pPr>
              <w:pStyle w:val="BodyText"/>
              <w:suppressAutoHyphens w:val="true"/>
              <w:spacing w:lineRule="auto" w:line="259" w:before="0" w:after="160"/>
              <w:jc w:val="both"/>
              <w:rPr>
                <w:rFonts w:ascii="Calibri" w:hAnsi="Calibri" w:cs="Arial"/>
                <w:lang w:eastAsia="es-CL"/>
              </w:rPr>
            </w:pPr>
            <w:r>
              <w:rPr>
                <w:rFonts w:cs="Arial"/>
                <w:i w:val="false"/>
                <w:iCs w:val="false"/>
                <w:color w:val="000000"/>
                <w:sz w:val="20"/>
                <w:szCs w:val="20"/>
                <w:lang w:eastAsia="es-CL"/>
              </w:rPr>
              <w:t xml:space="preserve">El desarrollo de </w:t>
            </w:r>
            <w:r>
              <w:rPr>
                <w:rStyle w:val="Strong"/>
                <w:rFonts w:cs="Arial"/>
                <w:i w:val="false"/>
                <w:iCs w:val="false"/>
                <w:color w:val="000000"/>
                <w:sz w:val="20"/>
                <w:szCs w:val="20"/>
                <w:lang w:eastAsia="es-CL"/>
              </w:rPr>
              <w:t>Directiva</w:t>
            </w:r>
            <w:r>
              <w:rPr>
                <w:rFonts w:cs="Arial"/>
                <w:i w:val="false"/>
                <w:iCs w:val="false"/>
                <w:color w:val="000000"/>
                <w:sz w:val="20"/>
                <w:szCs w:val="20"/>
                <w:lang w:eastAsia="es-CL"/>
              </w:rPr>
              <w:t xml:space="preserve"> permitirá que ambos integrantes fortalezcan competencias complementarias mediante la ejecución de un proyecto completo, desde su planificación inicial hasta el desarrollo, validación y entrega de una solución funcional.</w:t>
            </w:r>
          </w:p>
        </w:tc>
      </w:tr>
      <w:tr>
        <w:trPr>
          <w:trHeight w:val="132"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Factibilidad de desarrollo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 xml:space="preserve">El desarrollo de </w:t>
            </w:r>
            <w:r>
              <w:rPr>
                <w:rFonts w:eastAsia="Calibri" w:cs="Arial"/>
                <w:b/>
                <w:bCs/>
                <w:i w:val="false"/>
                <w:iCs w:val="false"/>
                <w:color w:val="000000"/>
                <w:kern w:val="0"/>
                <w:sz w:val="20"/>
                <w:szCs w:val="20"/>
                <w:lang w:val="es-CL" w:eastAsia="es-CL" w:bidi="ar-SA"/>
              </w:rPr>
              <w:t>Directiva</w:t>
            </w:r>
            <w:r>
              <w:rPr>
                <w:rFonts w:eastAsia="Calibri" w:cs="Arial"/>
                <w:b w:val="false"/>
                <w:bCs w:val="false"/>
                <w:i w:val="false"/>
                <w:iCs w:val="false"/>
                <w:color w:val="000000"/>
                <w:kern w:val="0"/>
                <w:sz w:val="20"/>
                <w:szCs w:val="20"/>
                <w:lang w:val="es-CL" w:eastAsia="es-CL" w:bidi="ar-SA"/>
              </w:rPr>
              <w:t xml:space="preserve"> se considera factible dentro del período efectivo de aproximadamente 11 semanas destinado al desarrollo del proyecto, debido a que se ha definido un alcance inicial acotado y priorizado. El proyecto se concentrará en una experiencia singleplayer, con un único tipo de Agente, un único recurso, un Nexo como estructura principal y una progresión basada en niveles. Funcionalidades de mayor complejidad, como el multijugador, se consideran posibles ampliaciones futuras y no forman parte del alcance comprometido para esta etapa.</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En cuanto a los recursos técnicos, el equipo dispone de computadores aptos para el desarrollo y utilizará Unity como motor principal. Esta elección reduce el riesgo técnico debido a la experiencia previa del Líder Técnico con la herramienta. La distribución de las versiones de prueba se realizará mediante itch.io, permitiendo entregar nuevas iteraciones a los usuarios de prueba de manera sencilla.</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Otro factor que facilita el desarrollo es la disponibilidad de un grupo de potenciales playtesters con distintos niveles de conocimiento en programación, lo que permitirá obtener retroalimentación periódica durante el desarrollo. Asimismo, la distribución de responsabilidades entre un Líder Técnico y Desarrollador Principal y un Jefe de Proyecto permite aprovechar las fortalezas de ambos integrantes y mantener un seguimiento tanto técnico como organizacional.</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Entre los principales factores de dificultad se encuentran la complejidad técnica del intérprete de programación, el rendimiento de la simulación, el ajuste de la dificultad y balance de los niveles, y el período limitado de desarrollo de aproximadamente 11 semanas. Para reducir estos riesgos se utilizará una metodología ágil, desarrollando funcionalidades de manera incremental, priorizando un producto mínimo viable y realizando playtests periódicos que permitan detectar problemas y ajustar el alcance cuando sea necesario.</w:t>
            </w:r>
          </w:p>
          <w:p>
            <w:pPr>
              <w:pStyle w:val="Normal"/>
              <w:widowControl/>
              <w:suppressAutoHyphens w:val="true"/>
              <w:bidi w:val="0"/>
              <w:spacing w:before="0" w:after="160"/>
              <w:jc w:val="both"/>
              <w:rPr>
                <w:rFonts w:ascii="Calibri" w:hAnsi="Calibri" w:eastAsia="Calibri" w:cs="Arial"/>
                <w:kern w:val="0"/>
                <w:lang w:val="es-CL" w:eastAsia="es-CL" w:bidi="ar-SA"/>
              </w:rPr>
            </w:pPr>
            <w:r>
              <w:rPr>
                <w:rFonts w:eastAsia="Calibri" w:cs="Arial"/>
                <w:b w:val="false"/>
                <w:bCs w:val="false"/>
                <w:i w:val="false"/>
                <w:iCs w:val="false"/>
                <w:color w:val="000000"/>
                <w:kern w:val="0"/>
                <w:sz w:val="20"/>
                <w:szCs w:val="20"/>
                <w:lang w:val="es-CL" w:eastAsia="es-CL" w:bidi="ar-SA"/>
              </w:rPr>
              <w:t>En áreas complementarias, como el diseño sonoro, se contempla la posibilidad de gestionar la participación de un colaborador externo. No obstante, estas áreas mantendrán un alcance reducido y acorde con la dirección audiovisual minimalista definida para el proyecto.</w:t>
            </w:r>
          </w:p>
        </w:tc>
      </w:tr>
    </w:tbl>
    <w:p>
      <w:pPr>
        <w:pStyle w:val="Normal"/>
        <w:rPr>
          <w:b/>
          <w:bCs/>
          <w:color w:themeColor="accent1" w:val="4472C4"/>
          <w:sz w:val="32"/>
          <w:szCs w:val="32"/>
        </w:rPr>
      </w:pPr>
      <w:r>
        <w:rPr>
          <w:b/>
          <w:bCs/>
          <w:color w:themeColor="accent1" w:val="4472C4"/>
          <w:sz w:val="32"/>
          <w:szCs w:val="32"/>
        </w:rPr>
      </w:r>
      <w:r>
        <w:br w:type="page"/>
      </w:r>
    </w:p>
    <w:p>
      <w:pPr>
        <w:pStyle w:val="ListParagraph"/>
        <w:numPr>
          <w:ilvl w:val="0"/>
          <w:numId w:val="1"/>
        </w:numPr>
        <w:spacing w:before="0" w:after="160"/>
        <w:contextualSpacing/>
        <w:rPr>
          <w:b/>
          <w:bCs/>
          <w:color w:themeColor="accent1" w:val="4472C4"/>
          <w:sz w:val="32"/>
          <w:szCs w:val="32"/>
        </w:rPr>
      </w:pPr>
      <w:r>
        <w:rPr>
          <w:b/>
          <w:bCs/>
          <w:color w:themeColor="accent1" w:val="4472C4"/>
          <w:sz w:val="32"/>
          <w:szCs w:val="32"/>
        </w:rPr>
        <w:t xml:space="preserve">PARTE II </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4. Objetivos</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632"/>
        <w:gridCol w:w="6866"/>
      </w:tblGrid>
      <w:tr>
        <w:trPr>
          <w:trHeight w:val="1259" w:hRule="atLeast"/>
        </w:trPr>
        <w:tc>
          <w:tcPr>
            <w:tcW w:w="2632"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Objetivo general</w:t>
            </w:r>
          </w:p>
        </w:tc>
        <w:tc>
          <w:tcPr>
            <w:tcW w:w="686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 xml:space="preserve">Desarrollar </w:t>
            </w:r>
            <w:r>
              <w:rPr>
                <w:rFonts w:eastAsia="Calibri" w:cs="Arial"/>
                <w:b/>
                <w:bCs/>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un videojuego de estrategia y automatización con enfoque educativo para computadores de escritorio, que permita a los jugadores aprender y practicar conceptos de programación mediante la creación y ejecución de programas que controlen agentes autónomos dentro de un entorno simulado.</w:t>
            </w:r>
          </w:p>
        </w:tc>
      </w:tr>
      <w:tr>
        <w:trPr>
          <w:trHeight w:val="834" w:hRule="atLeast"/>
        </w:trPr>
        <w:tc>
          <w:tcPr>
            <w:tcW w:w="2632"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Objetivos específicos</w:t>
            </w:r>
          </w:p>
        </w:tc>
        <w:tc>
          <w:tcPr>
            <w:tcW w:w="6866" w:type="dxa"/>
            <w:tcBorders>
              <w:top w:val="single" w:sz="4" w:space="0" w:color="BFBFBF"/>
              <w:start w:val="single" w:sz="4" w:space="0" w:color="BFBFBF"/>
              <w:bottom w:val="single" w:sz="4" w:space="0" w:color="BFBFBF"/>
              <w:end w:val="single" w:sz="4" w:space="0" w:color="BFBFBF"/>
            </w:tcBorders>
            <w:vAlign w:val="center"/>
          </w:tcPr>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Diseñar una arquitectura de software modular y desacoplada que permita separar la presentación, el flujo de juego, la programación, la ejecución de programas y la simulación.</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Desarrollar un sistema de programación textual con sintaxis inspirada en Python que permita al jugador crear y asignar programas a los Agentes y al Nexo.</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Implementar una simulación de estrategia en tiempo real que contemple el comportamiento de Agentes, Nexos, recursos, movimiento, recolección y combate.</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Desarrollar una experiencia singleplayer basada en niveles que permita al jugador programar, ejecutar, observar y modificar sus soluciones de manera iterativa.</w:t>
            </w:r>
          </w:p>
          <w:p>
            <w:pPr>
              <w:pStyle w:val="Normal"/>
              <w:widowControl/>
              <w:numPr>
                <w:ilvl w:val="0"/>
                <w:numId w:val="2"/>
              </w:numPr>
              <w:suppressAutoHyphens w:val="true"/>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Validar y mejorar el producto mediante pruebas funcionales y playtests periódicos con usuarios de distintos niveles de experiencia en programación.</w:t>
            </w:r>
          </w:p>
        </w:tc>
      </w:tr>
    </w:tbl>
    <w:p>
      <w:pPr>
        <w:pStyle w:val="Normal"/>
        <w:spacing w:lineRule="auto" w:line="360" w:before="0" w:after="0"/>
        <w:jc w:val="both"/>
        <w:rPr>
          <w:b/>
          <w:sz w:val="24"/>
          <w:szCs w:val="24"/>
        </w:rPr>
      </w:pPr>
      <w:r>
        <w:rPr>
          <w:b/>
          <w:sz w:val="24"/>
          <w:szCs w:val="24"/>
        </w:rPr>
      </w:r>
    </w:p>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5. Metodología</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Descripción de la Metodología</w:t>
            </w:r>
          </w:p>
        </w:tc>
      </w:tr>
      <w:tr>
        <w:trPr>
          <w:trHeight w:val="1920" w:hRule="atLeast"/>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both"/>
              <w:rPr>
                <w:rFonts w:ascii="Calibri" w:hAnsi="Calibri" w:cs="Arial"/>
                <w:i/>
                <w:color w:val="548DD4"/>
                <w:sz w:val="20"/>
                <w:szCs w:val="20"/>
                <w:lang w:eastAsia="es-CL"/>
              </w:rPr>
            </w:pPr>
            <w:r>
              <w:rPr>
                <w:rFonts w:cs="Arial"/>
                <w:i/>
                <w:color w:val="548DD4"/>
                <w:sz w:val="20"/>
                <w:szCs w:val="20"/>
                <w:lang w:eastAsia="es-CL"/>
              </w:rPr>
            </w:r>
          </w:p>
          <w:p>
            <w:pPr>
              <w:pStyle w:val="Normal"/>
              <w:widowControl/>
              <w:suppressAutoHyphens w:val="true"/>
              <w:bidi w:val="0"/>
              <w:spacing w:before="0" w:after="160"/>
              <w:jc w:val="both"/>
              <w:rPr>
                <w:rFonts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Para el desarrollo de Directiva se utilizará una metodología ágil basada en Scrum, adaptada al tamaño y características del equipo. El trabajo se organizará en iteraciones o sprints cortos, durante los cuales se seleccionarán y desarrollarán funcionalidades priorizadas desde un Product Backlog.</w:t>
            </w:r>
          </w:p>
          <w:p>
            <w:pPr>
              <w:pStyle w:val="Normal"/>
              <w:widowControl/>
              <w:suppressAutoHyphens w:val="true"/>
              <w:bidi w:val="0"/>
              <w:spacing w:before="0" w:after="160"/>
              <w:jc w:val="both"/>
              <w:rPr>
                <w:rFonts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Al comienzo de cada sprint se definirán las tareas y objetivos a desarrollar. Durante la iteración se realizará seguimiento del avance y, al finalizar, se revisarán las funcionalidades implementadas y se evaluarán posibles mejoras para las siguientes etapas. Esta forma de trabajo permitirá mantener un desarrollo incremental y flexible, ajustando prioridades según los resultados obtenidos.</w:t>
            </w:r>
          </w:p>
          <w:p>
            <w:pPr>
              <w:pStyle w:val="Normal"/>
              <w:widowControl/>
              <w:suppressAutoHyphens w:val="true"/>
              <w:bidi w:val="0"/>
              <w:spacing w:before="0" w:after="160"/>
              <w:jc w:val="both"/>
              <w:rPr>
                <w:rFonts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Como parte fundamental del proceso se realizarán playtests periódicos asociados a los principales incrementos funcionales del producto,</w:t>
            </w:r>
            <w:r>
              <w:rPr>
                <w:rFonts w:eastAsia="Calibri" w:cs="Arial"/>
                <w:b w:val="false"/>
                <w:bCs w:val="false"/>
                <w:i w:val="false"/>
                <w:iCs w:val="false"/>
                <w:color w:val="000000"/>
                <w:kern w:val="0"/>
                <w:sz w:val="20"/>
                <w:szCs w:val="20"/>
                <w:lang w:val="es-CL" w:eastAsia="es-CL" w:bidi="ar-SA"/>
              </w:rPr>
              <w:t xml:space="preserve"> con usuarios de distintos niveles de experiencia en programación. Estas instancias permitirán detectar errores, dificultades de uso, problemas de comprensión y oportunidades de mejora. La retroalimentación obtenida podrá utilizarse para modificar o repriorizar elementos del Product Backlog, buscando adaptar progresivamente el videojuego a las necesidades observadas en los usuarios.</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El desarrollo técnico seguirá una arquitectura de software modular, separando las principales responsabilidades del sistema, como la presentación visual, el flujo general del juego, el sistema de programación, el intérprete y la simulación. Esta separación busca facilitar el desarrollo, las pruebas, el mantenimiento y la eventual sustitución o ampliación de componentes.</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Debido a que el equipo está compuesto por dos integrantes, ambos podrán participar transversalmente en distintas áreas del proyecto. Sin embargo, se establecerán responsabilidades principales. Angel Rojas asumirá el rol de Líder Técnico y Desarrollador Principal, siendo responsable principalmente de la arquitectura de software, decisiones técnicas, programación, integración y rendimiento del sistema. Álvaro Castro asumirá el rol de Jefe de Proyecto, siendo responsable principalmente de la planificación, seguimiento del proyecto, gestión de riesgos, presupuesto, coordinación de playtests, comunicación con usuarios y gestión de los recursos necesarios para el desarrollo, incluyendo el área de diseño sonoro.</w:t>
            </w:r>
          </w:p>
          <w:p>
            <w:pPr>
              <w:pStyle w:val="Normal"/>
              <w:widowControl/>
              <w:suppressAutoHyphens w:val="true"/>
              <w:bidi w:val="0"/>
              <w:spacing w:before="0" w:after="160"/>
              <w:jc w:val="both"/>
              <w:rPr>
                <w:rFonts w:ascii="Calibri" w:hAnsi="Calibri" w:eastAsia="Calibri" w:cs="Arial"/>
                <w:kern w:val="0"/>
                <w:lang w:val="es-CL" w:eastAsia="es-CL" w:bidi="ar-SA"/>
              </w:rPr>
            </w:pPr>
            <w:r>
              <w:rPr>
                <w:rFonts w:eastAsia="Calibri" w:cs="Arial"/>
                <w:b w:val="false"/>
                <w:bCs w:val="false"/>
                <w:i w:val="false"/>
                <w:iCs w:val="false"/>
                <w:color w:val="000000"/>
                <w:kern w:val="0"/>
                <w:sz w:val="20"/>
                <w:szCs w:val="20"/>
                <w:lang w:val="es-CL" w:eastAsia="es-CL" w:bidi="ar-SA"/>
              </w:rPr>
              <w:t>El proceso buscará producir versiones funcionales de manera progresiva, priorizando inicialmente las características necesarias para disponer de un producto mínimo viable y ampliándolo posteriormente según el tiempo disponible, los resultados de las pruebas y la retroalimentación obtenida.</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6. Evidencias</w:t>
            </w:r>
          </w:p>
        </w:tc>
      </w:tr>
    </w:tbl>
    <w:p>
      <w:pPr>
        <w:pStyle w:val="Normal"/>
        <w:spacing w:lineRule="auto" w:line="360" w:before="0" w:after="0"/>
        <w:jc w:val="both"/>
        <w:rPr>
          <w:b/>
          <w:sz w:val="24"/>
          <w:szCs w:val="24"/>
        </w:rPr>
      </w:pPr>
      <w:r>
        <w:rPr>
          <w:b/>
          <w:sz w:val="24"/>
          <w:szCs w:val="24"/>
        </w:rPr>
      </w:r>
    </w:p>
    <w:tbl>
      <w:tblPr>
        <w:tblStyle w:val="Tablaconcuadrcula"/>
        <w:tblW w:w="10062"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1870"/>
        <w:gridCol w:w="2125"/>
        <w:gridCol w:w="3030"/>
        <w:gridCol w:w="3037"/>
      </w:tblGrid>
      <w:tr>
        <w:trPr>
          <w:trHeight w:val="362" w:hRule="atLeast"/>
        </w:trPr>
        <w:tc>
          <w:tcPr>
            <w:tcW w:w="1870"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 xml:space="preserve">Tipo de evidencia </w:t>
            </w:r>
          </w:p>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(avance o final)</w:t>
            </w:r>
          </w:p>
        </w:tc>
        <w:tc>
          <w:tcPr>
            <w:tcW w:w="2125"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Nombre de la evidencia</w:t>
            </w:r>
          </w:p>
        </w:tc>
        <w:tc>
          <w:tcPr>
            <w:tcW w:w="3030"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Descripción</w:t>
            </w:r>
          </w:p>
        </w:tc>
        <w:tc>
          <w:tcPr>
            <w:tcW w:w="3037"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Justificación</w:t>
            </w:r>
          </w:p>
        </w:tc>
      </w:tr>
      <w:tr>
        <w:trPr>
          <w:trHeight w:val="362" w:hRule="atLeast"/>
        </w:trPr>
        <w:tc>
          <w:tcPr>
            <w:tcW w:w="1870"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Documentación de planificación y diseño del proyecto</w:t>
            </w:r>
          </w:p>
        </w:tc>
        <w:tc>
          <w:tcPr>
            <w:tcW w:w="303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Conjunto de documentos que definan el alcance, requisitos, historias de usuario, Product Backlog, arquitectura de software, planificación de sprints y principales decisiones de diseño de Directiva.</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 xml:space="preserve">Permite evidenciar que el proyecto cuenta con una planificación estructurada y que las decisiones técnicas y funcionales han sido definidas antes y durante el desarrollo. </w:t>
            </w:r>
          </w:p>
        </w:tc>
      </w:tr>
      <w:tr>
        <w:trPr>
          <w:trHeight w:val="362" w:hRule="atLeast"/>
        </w:trPr>
        <w:tc>
          <w:tcPr>
            <w:tcW w:w="1870"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Prototipo funcional de Directiva</w:t>
            </w:r>
          </w:p>
        </w:tc>
        <w:tc>
          <w:tcPr>
            <w:tcW w:w="3030"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Versión ejecutable preliminar que integre las funcionalidades principales desarrolladas hasta la fecha, permitiendo comprobar el funcionamiento parcial del ciclo de programación y simulación.</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Permite demostrar de manera concreta el progreso técnico del proyecto y validar tempranamente la integración entre sus principales componentes.</w:t>
            </w:r>
          </w:p>
        </w:tc>
      </w:tr>
      <w:tr>
        <w:trPr>
          <w:trHeight w:val="362" w:hRule="atLeast"/>
        </w:trPr>
        <w:tc>
          <w:tcPr>
            <w:tcW w:w="1870"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Versión funcional de Directiva</w:t>
            </w:r>
          </w:p>
        </w:tc>
        <w:tc>
          <w:tcPr>
            <w:tcW w:w="3030"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Build final del videojuego para computador de escritorio, incluyendo el sistema de programación, simulación de Agentes y Nexos, progresión de niveles y funcionalidades definidas dentro del alcance del proyecto.</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Constituye el principal producto desarrollado y permite comprobar el cumplimiento de los objetivos funcionales y técnicos planteados para el proyecto.</w:t>
            </w:r>
          </w:p>
        </w:tc>
      </w:tr>
      <w:tr>
        <w:trPr>
          <w:trHeight w:val="362" w:hRule="atLeast"/>
        </w:trPr>
        <w:tc>
          <w:tcPr>
            <w:tcW w:w="1870"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Informe de pruebas, playtests y mejoras</w:t>
            </w:r>
          </w:p>
        </w:tc>
        <w:tc>
          <w:tcPr>
            <w:tcW w:w="3030"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Registro y análisis de las pruebas técnicas, funcionales y playtests realizados durante el proyecto, incluyendo problemas detectados, retroalimentación recibida y mejoras implementadas a partir de los resultados.</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Permite evidenciar la aplicación de procesos de validación y calidad, además del uso de retroalimentación de usuarios como parte del desarrollo iterativo del producto.</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7. Plan de Trabajo</w:t>
            </w:r>
          </w:p>
        </w:tc>
      </w:tr>
    </w:tbl>
    <w:p>
      <w:pPr>
        <w:pStyle w:val="Normal"/>
        <w:spacing w:lineRule="auto" w:line="360" w:before="0" w:after="0"/>
        <w:jc w:val="both"/>
        <w:rPr>
          <w:b/>
          <w:sz w:val="24"/>
          <w:szCs w:val="24"/>
        </w:rPr>
      </w:pPr>
      <w:r>
        <w:rPr>
          <w:b/>
          <w:sz w:val="24"/>
          <w:szCs w:val="24"/>
        </w:rPr>
      </w:r>
    </w:p>
    <w:tbl>
      <w:tblPr>
        <w:tblStyle w:val="Tablaconcuadrcula"/>
        <w:tblW w:w="11054"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694"/>
        <w:gridCol w:w="1253"/>
        <w:gridCol w:w="2498"/>
        <w:gridCol w:w="1465"/>
        <w:gridCol w:w="1251"/>
        <w:gridCol w:w="1199"/>
        <w:gridCol w:w="1694"/>
      </w:tblGrid>
      <w:tr>
        <w:trPr/>
        <w:tc>
          <w:tcPr>
            <w:tcW w:w="11054" w:type="dxa"/>
            <w:gridSpan w:val="7"/>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rPr>
            </w:pPr>
            <w:r>
              <w:rPr>
                <w:rFonts w:eastAsia="Calibri" w:cs=""/>
                <w:b/>
                <w:color w:themeColor="accent1" w:themeShade="80" w:val="1F3864"/>
                <w:kern w:val="0"/>
                <w:lang w:val="es-CL" w:eastAsia="en-US" w:bidi="ar-SA"/>
              </w:rPr>
              <w:t>Plan de Trabajo Proyecto APT</w:t>
            </w:r>
          </w:p>
        </w:tc>
      </w:tr>
      <w:tr>
        <w:trPr/>
        <w:tc>
          <w:tcPr>
            <w:tcW w:w="169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sz w:val="18"/>
              </w:rPr>
            </w:pPr>
            <w:r>
              <w:rPr>
                <w:rFonts w:eastAsia="Calibri" w:cs=""/>
                <w:color w:themeColor="accent1" w:themeShade="80" w:val="1F3864"/>
                <w:kern w:val="0"/>
                <w:sz w:val="18"/>
                <w:lang w:val="es-CL" w:eastAsia="en-US" w:bidi="ar-SA"/>
              </w:rPr>
              <w:t>Competencia o unidades de competencias</w:t>
            </w:r>
          </w:p>
        </w:tc>
        <w:tc>
          <w:tcPr>
            <w:tcW w:w="1253"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Nombre de  Actividades/Tareas</w:t>
            </w:r>
          </w:p>
        </w:tc>
        <w:tc>
          <w:tcPr>
            <w:tcW w:w="2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Descripción Actividades/Tareas</w:t>
            </w:r>
          </w:p>
        </w:tc>
        <w:tc>
          <w:tcPr>
            <w:tcW w:w="146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Recursos</w:t>
            </w:r>
          </w:p>
        </w:tc>
        <w:tc>
          <w:tcPr>
            <w:tcW w:w="1251" w:type="dxa"/>
            <w:tcBorders>
              <w:top w:val="single" w:sz="4" w:space="0" w:color="BFBFBF"/>
              <w:start w:val="single" w:sz="4" w:space="0" w:color="BFBFBF"/>
              <w:bottom w:val="single" w:sz="4" w:space="0" w:color="BFBFBF"/>
              <w:end w:val="single" w:sz="4" w:space="0" w:color="FFFFF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Duración de la actividad</w:t>
            </w:r>
          </w:p>
          <w:p>
            <w:pPr>
              <w:pStyle w:val="Normal"/>
              <w:widowControl/>
              <w:suppressAutoHyphens w:val="true"/>
              <w:spacing w:before="0" w:after="160"/>
              <w:jc w:val="center"/>
              <w:rPr>
                <w:rFonts w:ascii="Calibri" w:hAnsi="Calibri"/>
                <w:color w:themeColor="accent1" w:themeShade="80" w:val="1F3864"/>
              </w:rPr>
            </w:pPr>
            <w:r>
              <w:rPr>
                <w:color w:themeColor="accent1" w:themeShade="80" w:val="1F3864"/>
              </w:rPr>
            </w:r>
          </w:p>
        </w:tc>
        <w:tc>
          <w:tcPr>
            <w:tcW w:w="1199"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Responsable</w:t>
            </w:r>
            <w:r>
              <w:rPr>
                <w:rStyle w:val="FootnoteReference"/>
                <w:rFonts w:eastAsia="Calibri" w:cs=""/>
                <w:color w:themeColor="accent1" w:themeShade="80" w:val="1F3864"/>
                <w:kern w:val="0"/>
                <w:lang w:val="es-CL" w:eastAsia="en-US" w:bidi="ar-SA"/>
              </w:rPr>
              <w:footnoteReference w:id="2"/>
            </w:r>
          </w:p>
        </w:tc>
        <w:tc>
          <w:tcPr>
            <w:tcW w:w="169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Observaciones</w:t>
            </w:r>
          </w:p>
        </w:tc>
      </w:tr>
      <w:tr>
        <w:trPr>
          <w:trHeight w:val="4130" w:hRule="atLeast"/>
        </w:trPr>
        <w:tc>
          <w:tcPr>
            <w:tcW w:w="169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Gestionar proyectos informáticos, ofreciendo alternativas para la toma de decisiones de acuerdo a los requerimientos de la organización.</w:t>
            </w:r>
          </w:p>
        </w:tc>
        <w:tc>
          <w:tcPr>
            <w:tcW w:w="125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1. Definición y planificación del proyecto</w:t>
            </w:r>
          </w:p>
        </w:tc>
        <w:tc>
          <w:tcPr>
            <w:tcW w:w="2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Definir la visión, problemática, alcance, objetivos y requisitos iniciales de Directiva. Establecer la metodología de trabajo, roles y responsabilidades, riesgos principales, Product Backlog inicial y planificación general del proyecto.</w:t>
            </w:r>
          </w:p>
        </w:tc>
        <w:tc>
          <w:tcPr>
            <w:tcW w:w="146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Guía APT, perfil de egreso, repositorio del proyecto, herramientas de documentación y diagramación, reuniones de coordinación del equipo.</w:t>
            </w:r>
          </w:p>
        </w:tc>
        <w:tc>
          <w:tcPr>
            <w:tcW w:w="1251"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eastAsia="Calibri" w:cs="Arial"/>
                <w:b w:val="false"/>
                <w:bCs w:val="false"/>
                <w:i w:val="false"/>
                <w:iCs w:val="false"/>
                <w:color w:val="000000"/>
                <w:kern w:val="0"/>
                <w:sz w:val="18"/>
                <w:szCs w:val="20"/>
                <w:lang w:val="es-CL" w:eastAsia="es-CL" w:bidi="ar-SA"/>
              </w:rPr>
              <w:t>Fase 1 (4 semanas)</w:t>
            </w:r>
          </w:p>
        </w:tc>
        <w:tc>
          <w:tcPr>
            <w:tcW w:w="1199"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Álvaro Castro</w:t>
            </w:r>
          </w:p>
        </w:tc>
        <w:tc>
          <w:tcPr>
            <w:tcW w:w="169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Como facilitadores se cuenta con una visión compartida del producto, un alcance inicial acotado y roles definidos. Debido al enfoque ágil, algunos requisitos y prioridades podrán modificarse posteriormente a partir de los resultados de los playtests.</w:t>
            </w:r>
          </w:p>
        </w:tc>
      </w:tr>
      <w:tr>
        <w:trPr/>
        <w:tc>
          <w:tcPr>
            <w:tcW w:w="169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25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2. Diseño de arquitectura de software</w:t>
            </w:r>
          </w:p>
        </w:tc>
        <w:tc>
          <w:tcPr>
            <w:tcW w:w="2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Diseñar la arquitectura modular de Directiva, definiendo las principales capas del sistema, sus responsabilidades y mecanismos de comunicación. Se considerarán, entre otras, las capas de presentación visual, orquestación del juego, programación, intérprete y simulación, procurando mantener bajo acoplamiento entre componentes y facilitar su mantenimiento, prueba y eventual reemplazo o ampliación.</w:t>
            </w:r>
          </w:p>
        </w:tc>
        <w:tc>
          <w:tcPr>
            <w:tcW w:w="146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Herramientas de diagramación y documentación, Unity, repositorio del proyecto, documentación técnica y reuniones de diseño del equipo.</w:t>
            </w:r>
          </w:p>
        </w:tc>
        <w:tc>
          <w:tcPr>
            <w:tcW w:w="1251"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Fase 1 y ajustes durante Fase 2</w:t>
            </w:r>
          </w:p>
        </w:tc>
        <w:tc>
          <w:tcPr>
            <w:tcW w:w="1199"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Angel Rojas</w:t>
            </w:r>
          </w:p>
        </w:tc>
        <w:tc>
          <w:tcPr>
            <w:tcW w:w="169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arquitectura será definida inicialmente durante la planificación, pero podrá ajustarse durante el desarrollo si aparecen nuevas necesidades técnicas. Como facilitador se cuenta con experiencia previa del responsable en desarrollo de software y Unity.</w:t>
            </w:r>
          </w:p>
        </w:tc>
      </w:tr>
      <w:tr>
        <w:trPr/>
        <w:tc>
          <w:tcPr>
            <w:tcW w:w="169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25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3. Diseño e implementación del lenguaje de programación e intérprete base</w:t>
            </w:r>
          </w:p>
        </w:tc>
        <w:tc>
          <w:tcPr>
            <w:tcW w:w="2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Diseñar e implementar el lenguaje de programación utilizado por Directiva, con sintaxis inspirada en Python. El sistema incluirá variables, tipos de datos básicos, operaciones, estructuras de control, funciones, colecciones, importación de scripts y funciones predefinidas para consultar y actuar sobre el entorno. También se desarrollará el intérprete o máquina virtual encargado de procesar y ejecutar los programas de los Agentes y del Nexo.</w:t>
            </w:r>
          </w:p>
        </w:tc>
        <w:tc>
          <w:tcPr>
            <w:tcW w:w="146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Entorno de desarrollo C#, Unity, repositorio del proyecto, documentación técnica, herramientas de pruebas y usuarios de prueba con conocimientos de programación.</w:t>
            </w:r>
          </w:p>
        </w:tc>
        <w:tc>
          <w:tcPr>
            <w:tcW w:w="1251"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2 semanas al inicio de la Fase 2</w:t>
            </w:r>
          </w:p>
        </w:tc>
        <w:tc>
          <w:tcPr>
            <w:tcW w:w="1199"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69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Esta actividad se priorizará al inicio del desarrollo por representar uno de los componentes técnicos centrales del proyecto. Se buscará obtener tempranamente una versión funcional del lenguaje que pueda ser probada de forma aislada por usuarios con conocimientos de programación, permitiendo detectar errores y problemas de diseño antes de integrarlo completamente con la simulación.</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4. Desarrollo del núcleo de simulación</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Implementar el núcleo de simulación encargado de representar y actualizar el estado del mundo de juego, incluyendo Agentes, Nexos, recursos, movimiento, recolección, transporte, combate y demás reglas necesarias para el funcionamiento de una partida.</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C#, entorno de desarrollo, repositorio, documentación de arquitectura, herramientas de profiling y pruebas.</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durante Fase 2.</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principal dificultad será mantener un buen rendimiento a medida que aumente la cantidad de Agentes y procesos simultáneos. Como facilitador, la simulación se diseñará separada de la representación visual, permitiendo optimizarla de forma independiente si fuese necesario.</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5. Desarrollo del orquestador y flujo general del juego</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Implementar el sistema encargado de coordinar las distintas capas de Directiva y administrar el flujo general del juego, incluyendo carga y reinicio de niveles, inicio y término de simulaciones, estados de victoria o derrota y transición entre programación, ejecución y progresión.</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C#, repositorio, documentación de arquitectura y diagramas de flujo.</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durante Fase 2.</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Esta actividad depende de que las responsabilidades y contratos entre las distintas capas del sistema estén suficientemente definidos. Una arquitectura modular facilitará la integración y permitirá realizar cambios sin afectar innecesariamente otros componentes.</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6. Desarrollo de la interfaz de usuario y sistema de programación</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Implementar las interfaces necesarias para navegar por el juego y crear, editar, guardar, organizar y asignar programas. Incluir el editor de código y los mecanismos mediante los cuales el jugador interactúa con el sistema de programación.</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UI, C#, editor de código, mockups de interfaz, repositorio y herramientas de prototipado.</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durante Fase 2.</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principal dificultad será mantener una interfaz clara y accesible para usuarios con distintos niveles de experiencia en programación. Los mockups iniciales y la retroalimentación de playtesters servirán como facilitadores para iterar sobre su diseño.</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7. Desarrollo de la representación visual de la simulación</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Implementar la capa visual encargada de representar el estado de la simulación mediante modelos, materiales, animaciones, cámara y efectos visuales, manteniendo separada la representación gráfica de la lógica interna de simulación.</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herramientas de modelado o recursos gráficos internos, materiales, shaders, mockups y referencia visual de Armagetron.</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durante Fase 2.</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dirección gráfica minimalista y geométrica reduce la carga de producción artística y facilita mantener una buena legibilidad de la simulación. Deberá cuidarse especialmente que los elementos visuales permitan distinguir claramente Agentes, Nexos, recursos y estados relevantes.</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8. Integración de sistemas y desarrollo de niveles</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Integrar el intérprete, simulación, interfaz, visualización y orquestador en una experiencia funcional. Diseñar e implementar los niveles iniciales y avanzados, incluyendo objetivos, progresión, condiciones de victoria y situaciones que permitan introducir gradualmente las mecánicas y conceptos de programación.</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repositorio, herramientas de diseño de niveles, documentación funcional, Product Backlog y resultados de pruebas anteriores.</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2 sprints durante Fase 2.</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integración puede revelar incompatibilidades o dependencias no detectadas durante el desarrollo aislado de los componentes. Se priorizará inicialmente un conjunto reducido de niveles que permita validar el ciclo de juego antes de ampliar el contenido.</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9. Diseño e integración audiovisual</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e integrar los recursos visuales y sonoros necesarios para establecer una identidad coherente con la dirección minimalista, sintética y digital de Directiva. Considerar la gestión de recursos sonoros externos cuando corresponda y su posterior incorporación al producto.</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herramientas gráficas y de audio, recursos audiovisuales, referencias visuales y eventual colaboración de diseñador sonoro.</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a 2 sprints, en paralelo con otras actividades de Fase 2.</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dirección audiovisual minimalista facilita mantener un alcance reducido. El diseño sonoro puede requerir apoyo de un colaborador externo, por lo que su coordinación deberá realizarse con suficiente anticipación para evitar retrasos en la integración final.</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Realizar pruebas de certificación tanto de los productos como de los procesos utilizando buenas prácticas definidas por la industria.</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10. Pruebas funcionales y validación técnica</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Diseñar y ejecutar pruebas sobre los principales componentes del sistema, verificando el comportamiento del intérprete, simulación, interfaz, integración entre capas y demás funcionalidades. Registrar errores detectados y realizar las correcciones correspondientes.</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Herramientas de testing y depuración, Unity Test Framework si corresponde, repositorio, registros de incidencias y builds de prueba.</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Actividad transversal durante Fase 2, con una instancia intensiva antes de la versión final.</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Las pruebas deberán realizarse de forma continua y no únicamente al final del desarrollo. La arquitectura modular facilitará las pruebas aisladas de componentes como el intérprete y la simulación, además de las pruebas de integración.</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Realizar pruebas de certificación tanto de los productos como de los procesos utilizando buenas prácticas definidas por la industria. / Gestionar proyectos informáticos, ofreciendo alternativas para la toma de decisiones de acuerdo a los requerimientos de la organización.</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11. Playtests e iteración del producto</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Realizar playtests con usuarios de distintos niveles de experiencia en programación, recopilar y analizar su retroalimentación, detectar problemas de comprensión, usabilidad, balance o diseño y utilizar los resultados para ajustar y repriorizar funcionalidades del proyecto.</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Builds de prueba distribuidas mediante itch.io, grupo de playtesters, instrumentos de registro de feedback, Product Backlog y Scrumboard.</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Transversal durante Fase 2, con frecuencia semanal o bisemanal.</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disponibilidad de usuarios con distintos niveles de conocimiento en programación facilita obtener retroalimentación diversa. Sin embargo, los resultados deberán ser priorizados según su relevancia y el tiempo disponible, evitando ampliar excesivamente el alcance del proyecto.</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 / Realizar pruebas de certificación tanto de los productos como de los procesos utilizando buenas prácticas definidas por la industria.</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12. Preparación de versión final y publicación</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Consolidar las funcionalidades desarrolladas, corregir problemas críticos pendientes, preparar una build estable de escritorio y publicar la versión correspondiente del proyecto en itch.io junto con la información necesaria para su uso.</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repositorio, itch.io, resultados de pruebas, documentación de usuario y recursos audiovisuales finales.</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al final de Fase 2.</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En esta etapa se priorizará la estabilidad sobre la incorporación de nuevas funcionalidades. Cualquier característica no esencial que represente riesgo para la entrega podrá ser postergada para una versión posterior al proyecto APT.</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Gestionar proyectos informáticos, ofreciendo alternativas para la toma de decisiones de acuerdo a los requerimientos de la organización.</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13. Cierre, documentación y presentación del proyecto</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Consolidar las evidencias del proyecto, actualizar la documentación técnica y de gestión, registrar los resultados obtenidos y preparar los materiales necesarios para la presentación y demostración final de Directiva.</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Repositorio, documentación del proyecto, resultados de pruebas y playtests, build final y herramientas de presentación.</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Fase 3.</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documentación y evidencias se mantendrán actualizadas durante el proyecto para evitar concentrar todo el trabajo documental al final. La existencia de una build funcional y registros de pruebas y playtests facilitará la preparación de la presentación final.</w:t>
            </w:r>
          </w:p>
        </w:tc>
      </w:tr>
      <w:tr>
        <w:trPr/>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Gestionar proyectos informáticos, ofreciendo alternativas para la toma de decisiones de acuerdo a los requerimientos de la organización.</w:t>
            </w:r>
          </w:p>
        </w:tc>
        <w:tc>
          <w:tcPr>
            <w:tcW w:w="125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14. Gestión ágil y documentación de sprints</w:t>
            </w:r>
          </w:p>
        </w:tc>
        <w:tc>
          <w:tcPr>
            <w:tcW w:w="2498"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Planificar, registrar y realizar seguimiento de los sprints del proyecto mediante Product Backlog, Sprint Backlog y tablero de trabajo. Documentar las principales instancias de la metodología ágil, incluyendo planificación de sprint, reuniones de seguimiento, revisiones y retrospectivas, dejando registro de acuerdos, avances, dificultades y acciones de mejora.</w:t>
            </w:r>
          </w:p>
        </w:tc>
        <w:tc>
          <w:tcPr>
            <w:tcW w:w="146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Repositorio del proyecto, herramienta de gestión de tareas/Scrumboard, plantillas de documentación, Product Backlog y registros de reuniones.</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Transversal durante Fases 1 y 2, con cierre en Fase 3</w:t>
            </w:r>
          </w:p>
        </w:tc>
        <w:tc>
          <w:tcPr>
            <w:tcW w:w="1199"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69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Ambos integrantes participarán en las instancias ágiles, mientras que el Jefe de Proyecto será responsable de mantener su organización, seguimiento y documentación. La metodología podrá adaptarse al tamaño reducido del equipo.</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 xml:space="preserve">8. Carta Gantt </w:t>
            </w:r>
          </w:p>
        </w:tc>
      </w:tr>
    </w:tbl>
    <w:p>
      <w:pPr>
        <w:pStyle w:val="Normal"/>
        <w:spacing w:lineRule="auto" w:line="360" w:before="0" w:after="0"/>
        <w:jc w:val="both"/>
        <w:rPr>
          <w:b/>
          <w:sz w:val="24"/>
          <w:szCs w:val="24"/>
        </w:rPr>
      </w:pPr>
      <w:r>
        <w:rPr>
          <w:b/>
          <w:sz w:val="24"/>
          <w:szCs w:val="24"/>
        </w:rPr>
      </w:r>
    </w:p>
    <w:tbl>
      <w:tblPr>
        <w:tblStyle w:val="Tablaconcuadrcula"/>
        <w:tblW w:w="11050" w:type="dxa"/>
        <w:jc w:val="start"/>
        <w:tblInd w:w="-1406" w:type="dxa"/>
        <w:tblLayout w:type="fixed"/>
        <w:tblCellMar>
          <w:top w:w="0" w:type="dxa"/>
          <w:start w:w="108" w:type="dxa"/>
          <w:bottom w:w="0" w:type="dxa"/>
          <w:end w:w="108" w:type="dxa"/>
        </w:tblCellMar>
        <w:tblLook w:val="04a0" w:firstRow="1" w:noVBand="1" w:lastRow="0" w:firstColumn="1" w:lastColumn="0" w:noHBand="0"/>
      </w:tblPr>
      <w:tblGrid>
        <w:gridCol w:w="1663"/>
        <w:gridCol w:w="475"/>
        <w:gridCol w:w="511"/>
        <w:gridCol w:w="525"/>
        <w:gridCol w:w="525"/>
        <w:gridCol w:w="526"/>
        <w:gridCol w:w="525"/>
        <w:gridCol w:w="525"/>
        <w:gridCol w:w="525"/>
        <w:gridCol w:w="512"/>
        <w:gridCol w:w="525"/>
        <w:gridCol w:w="525"/>
        <w:gridCol w:w="525"/>
        <w:gridCol w:w="526"/>
        <w:gridCol w:w="525"/>
        <w:gridCol w:w="537"/>
        <w:gridCol w:w="511"/>
        <w:gridCol w:w="525"/>
        <w:gridCol w:w="526"/>
        <w:gridCol w:w="13"/>
      </w:tblGrid>
      <w:tr>
        <w:trPr>
          <w:trHeight w:val="294" w:hRule="atLeast"/>
        </w:trPr>
        <w:tc>
          <w:tcPr>
            <w:tcW w:w="1663" w:type="dxa"/>
            <w:vMerge w:val="restart"/>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rFonts w:eastAsia="Calibri" w:cs=""/>
                <w:b/>
                <w:kern w:val="0"/>
                <w:sz w:val="16"/>
                <w:szCs w:val="16"/>
                <w:lang w:val="es-CL" w:eastAsia="en-US" w:bidi="ar-SA"/>
              </w:rPr>
              <w:t>Actividad</w:t>
            </w:r>
          </w:p>
        </w:tc>
        <w:tc>
          <w:tcPr>
            <w:tcW w:w="2036" w:type="dxa"/>
            <w:gridSpan w:val="4"/>
            <w:tcBorders>
              <w:top w:val="single" w:sz="4" w:space="0" w:color="BFBFBF"/>
              <w:start w:val="single" w:sz="4" w:space="0" w:color="BFBFBF"/>
              <w:bottom w:val="single" w:sz="4" w:space="0" w:color="BFBFBF"/>
              <w:end w:val="single" w:sz="4" w:space="0" w:color="BFBFBF"/>
            </w:tcBorders>
            <w:shd w:color="auto" w:fill="E2EFD9" w:themeFill="accent6"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1</w:t>
            </w:r>
          </w:p>
        </w:tc>
        <w:tc>
          <w:tcPr>
            <w:tcW w:w="5776" w:type="dxa"/>
            <w:gridSpan w:val="11"/>
            <w:tcBorders>
              <w:top w:val="single" w:sz="4" w:space="0" w:color="BFBFBF"/>
              <w:start w:val="single" w:sz="4" w:space="0" w:color="BFBFBF"/>
              <w:bottom w:val="single" w:sz="4" w:space="0" w:color="BFBFBF"/>
              <w:end w:val="single" w:sz="4" w:space="0" w:color="BFBFBF"/>
            </w:tcBorders>
            <w:shd w:color="auto" w:fill="FFF2CC" w:themeFill="accent4"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2</w:t>
            </w:r>
          </w:p>
        </w:tc>
        <w:tc>
          <w:tcPr>
            <w:tcW w:w="1575" w:type="dxa"/>
            <w:gridSpan w:val="4"/>
            <w:tcBorders>
              <w:top w:val="single" w:sz="4" w:space="0" w:color="BFBFBF"/>
              <w:start w:val="single" w:sz="4" w:space="0" w:color="BFBFBF"/>
              <w:bottom w:val="single" w:sz="4" w:space="0" w:color="BFBFBF"/>
              <w:end w:val="single" w:sz="4" w:space="0" w:color="BFBFBF"/>
            </w:tcBorders>
            <w:shd w:color="auto" w:fill="FBE4D5" w:themeFill="accent2"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3</w:t>
            </w:r>
          </w:p>
        </w:tc>
      </w:tr>
      <w:tr>
        <w:trPr>
          <w:trHeight w:val="303" w:hRule="atLeast"/>
        </w:trPr>
        <w:tc>
          <w:tcPr>
            <w:tcW w:w="1663" w:type="dxa"/>
            <w:vMerge w:val="continue"/>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sz w:val="16"/>
                <w:szCs w:val="16"/>
              </w:rPr>
            </w:pPr>
            <w:r>
              <w:rPr>
                <w:rFonts w:eastAsia="DejaVu Sans" w:cs="DejaVu Sans"/>
                <w:b/>
                <w:sz w:val="16"/>
                <w:szCs w:val="16"/>
              </w:rPr>
            </w:r>
          </w:p>
        </w:tc>
        <w:tc>
          <w:tcPr>
            <w:tcW w:w="47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w:t>
            </w:r>
          </w:p>
        </w:tc>
        <w:tc>
          <w:tcPr>
            <w:tcW w:w="51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2</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3</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4</w:t>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5</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6</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7</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8</w:t>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9</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10</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11</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12</w:t>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13</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14</w:t>
            </w:r>
          </w:p>
        </w:tc>
        <w:tc>
          <w:tcPr>
            <w:tcW w:w="537"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15</w:t>
            </w:r>
          </w:p>
        </w:tc>
        <w:tc>
          <w:tcPr>
            <w:tcW w:w="51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16</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17</w:t>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18</w:t>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Calibri" w:cs="Arial"/>
                <w:b w:val="false"/>
                <w:bCs w:val="false"/>
                <w:i w:val="false"/>
                <w:iCs w:val="false"/>
                <w:color w:val="000000"/>
                <w:kern w:val="0"/>
                <w:sz w:val="18"/>
                <w:szCs w:val="18"/>
                <w:lang w:val="es-CL" w:eastAsia="es-CL" w:bidi="ar-SA"/>
              </w:rPr>
              <w:t>1. Definición y planificación del proyecto</w:t>
            </w:r>
          </w:p>
        </w:tc>
        <w:tc>
          <w:tcPr>
            <w:tcW w:w="475" w:type="dxa"/>
            <w:tcBorders>
              <w:top w:val="single" w:sz="4" w:space="0" w:color="BFBFBF"/>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rFonts w:eastAsia="DejaVu Sans" w:cs="DejaVu Sans"/>
                <w:b w:val="false"/>
                <w:bCs w:val="false"/>
                <w:color w:val="000000"/>
                <w:sz w:val="18"/>
                <w:szCs w:val="18"/>
                <w:highlight w:val="none"/>
                <w:shd w:fill="auto" w:val="clear"/>
              </w:rPr>
            </w:pPr>
            <w:r>
              <w:rPr>
                <w:rFonts w:eastAsia="DejaVu Sans" w:cs="DejaVu Sans"/>
                <w:b w:val="false"/>
                <w:color w:val="000000"/>
                <w:sz w:val="18"/>
                <w:szCs w:val="18"/>
                <w:shd w:fill="auto" w:val="clear"/>
              </w:rPr>
            </w:r>
          </w:p>
        </w:tc>
        <w:tc>
          <w:tcPr>
            <w:tcW w:w="511" w:type="dxa"/>
            <w:tcBorders>
              <w:top w:val="single" w:sz="4" w:space="0" w:color="BFBFBF"/>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303" w:hRule="atLeast"/>
        </w:trPr>
        <w:tc>
          <w:tcPr>
            <w:tcW w:w="166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2. Diseño de arquitectura de software</w:t>
            </w:r>
          </w:p>
        </w:tc>
        <w:tc>
          <w:tcPr>
            <w:tcW w:w="47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b w:val="false"/>
                <w:color w:val="000000"/>
                <w:sz w:val="18"/>
              </w:rPr>
            </w:r>
          </w:p>
        </w:tc>
        <w:tc>
          <w:tcPr>
            <w:tcW w:w="525" w:type="dxa"/>
            <w:tcBorders>
              <w:top w:val="single" w:sz="4" w:space="0" w:color="BFBFBF"/>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b w:val="false"/>
                <w:color w:val="000000"/>
                <w:sz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3. Diseño e implementación del lenguaje de programación e intérprete base</w:t>
            </w:r>
          </w:p>
        </w:tc>
        <w:tc>
          <w:tcPr>
            <w:tcW w:w="47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4. Desarrollo del núcleo de simulación</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5. Desarrollo del orquestador y flujo general del juego</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6. Desarrollo de la interfaz de usuario y sistema de programación</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7. Desarrollo de la representación visual de la simulación</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8. Integración de sistemas y desarrollo de niveles</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9. Diseño e integración audiovisual</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10. Pruebas funcionales y validación técnica</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11. Playtests e iteración del producto</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12. Preparación de versión final y publicación</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13. Cierre, documentación y presentación del proyecto</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DejaVu Sans" w:cs="DejaVu Sans"/>
                <w:b w:val="false"/>
                <w:bCs w:val="false"/>
                <w:color w:val="000000"/>
                <w:sz w:val="18"/>
                <w:szCs w:val="18"/>
              </w:rPr>
              <w:t>14. Gestión ágil y documentación de sprints</w:t>
            </w:r>
          </w:p>
        </w:tc>
        <w:tc>
          <w:tcPr>
            <w:tcW w:w="47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2"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37"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11"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5"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526" w:type="dxa"/>
            <w:tcBorders>
              <w:top w:val="nil"/>
              <w:start w:val="single" w:sz="4" w:space="0" w:color="BFBFBF"/>
              <w:bottom w:val="single" w:sz="4" w:space="0" w:color="BFBFBF"/>
              <w:end w:val="single" w:sz="4" w:space="0" w:color="BFBFBF"/>
            </w:tcBorders>
            <w:shd w:fill="FF4000" w:val="clear"/>
          </w:tcPr>
          <w:p>
            <w:pPr>
              <w:pStyle w:val="Normal"/>
              <w:widowControl/>
              <w:suppressAutoHyphens w:val="true"/>
              <w:spacing w:lineRule="auto" w:line="240" w:before="0" w:after="0"/>
              <w:jc w:val="start"/>
              <w:rPr>
                <w:b w:val="false"/>
                <w:bCs w:val="false"/>
                <w:color w:val="000000"/>
                <w:sz w:val="18"/>
                <w:szCs w:val="18"/>
              </w:rPr>
            </w:pPr>
            <w:r>
              <w:rPr>
                <w:rFonts w:eastAsia="DejaVu Sans" w:cs="DejaVu Sans"/>
                <w:b w:val="false"/>
                <w:color w:val="000000"/>
                <w:sz w:val="18"/>
                <w:szCs w:val="18"/>
              </w:rPr>
            </w:r>
          </w:p>
        </w:tc>
        <w:tc>
          <w:tcPr>
            <w:tcW w:w="13" w:type="dxa"/>
            <w:tcBorders>
              <w:top w:val="nil"/>
              <w:start w:val="nil"/>
              <w:bottom w:val="nil"/>
              <w:end w:val="nil"/>
            </w:tcBorders>
          </w:tcPr>
          <w:p>
            <w:pPr>
              <w:pStyle w:val="Normal"/>
              <w:widowControl/>
              <w:suppressAutoHyphens w:val="true"/>
              <w:spacing w:lineRule="atLeast" w:line="0" w:before="0" w:after="0"/>
              <w:jc w:val="start"/>
              <w:rPr>
                <w:sz w:val="2"/>
              </w:rPr>
            </w:pPr>
            <w:r>
              <w:rPr>
                <w:rFonts w:eastAsia="DejaVu Sans" w:cs="DejaVu Sans"/>
                <w:sz w:val="2"/>
              </w:rPr>
            </w:r>
          </w:p>
        </w:tc>
      </w:tr>
    </w:tbl>
    <w:p>
      <w:pPr>
        <w:pStyle w:val="Normal"/>
        <w:widowControl/>
        <w:bidi w:val="0"/>
        <w:spacing w:lineRule="auto" w:line="259" w:before="0" w:after="160"/>
        <w:jc w:val="start"/>
        <w:rPr/>
      </w:pPr>
      <w:r>
        <w:rPr/>
      </w:r>
    </w:p>
    <w:sectPr>
      <w:headerReference w:type="even" r:id="rId2"/>
      <w:headerReference w:type="default" r:id="rId3"/>
      <w:headerReference w:type="first" r:id="rId4"/>
      <w:footnotePr>
        <w:numFmt w:val="decimal"/>
      </w:footnotePr>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swiss"/>
    <w:pitch w:val="variable"/>
  </w:font>
  <w:font w:name="Liberation Sans">
    <w:altName w:val="Arial"/>
    <w:charset w:val="01"/>
    <w:family w:val="swiss"/>
    <w:pitch w:val="variable"/>
  </w:font>
  <w:font w:name="Century Gothic">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color w:themeColor="text1" w:themeTint="a6" w:val="595959"/>
          <w:lang w:val="es-CL"/>
        </w:rPr>
      </w:pPr>
      <w:r>
        <w:rPr>
          <w:rStyle w:val="FootnoteCharacters"/>
        </w:rPr>
        <w:footnoteRef/>
      </w:r>
      <w:r>
        <w:rPr/>
        <w:t xml:space="preserve"> </w:t>
      </w:r>
      <w:r>
        <w:rPr>
          <w:color w:themeColor="text1" w:themeTint="a6" w:val="595959"/>
          <w:lang w:val="es-CL"/>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1"/>
      <w:gridCol w:w="4222"/>
    </w:tblGrid>
    <w:tr>
      <w:trPr>
        <w:trHeight w:val="697" w:hRule="atLeast"/>
      </w:trPr>
      <w:tc>
        <w:tcPr>
          <w:tcW w:w="5701" w:type="dxa"/>
          <w:tcBorders>
            <w:top w:val="nil"/>
            <w:start w:val="nil"/>
            <w:bottom w:val="nil"/>
            <w:end w:val="nil"/>
          </w:tcBorders>
        </w:tcPr>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22" w:type="dxa"/>
          <w:tcBorders>
            <w:top w:val="nil"/>
            <w:start w:val="nil"/>
            <w:bottom w:val="nil"/>
            <w:end w:val="nil"/>
          </w:tcBorders>
        </w:tcPr>
        <w:p>
          <w:pPr>
            <w:pStyle w:val="Normal"/>
            <w:widowControl/>
            <w:suppressAutoHyphens w:val="true"/>
            <w:spacing w:before="0" w:after="160"/>
            <w:jc w:val="end"/>
            <w:rPr>
              <w:rFonts w:ascii="Century Gothic" w:hAnsi="Century Gothic" w:eastAsia="" w:eastAsiaTheme="minorEastAsia"/>
              <w:b/>
              <w:sz w:val="30"/>
              <w:szCs w:val="30"/>
              <w:lang w:val="es-ES_tradnl" w:eastAsia="es-ES"/>
            </w:rPr>
          </w:pPr>
          <w:r>
            <w:rPr/>
            <w:drawing>
              <wp:inline distT="0" distB="0" distL="0" distR="0">
                <wp:extent cx="1996440" cy="428625"/>
                <wp:effectExtent l="0" t="0" r="0" b="0"/>
                <wp:docPr id="4"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1"/>
      <w:gridCol w:w="4222"/>
    </w:tblGrid>
    <w:tr>
      <w:trPr>
        <w:trHeight w:val="697" w:hRule="atLeast"/>
      </w:trPr>
      <w:tc>
        <w:tcPr>
          <w:tcW w:w="5701" w:type="dxa"/>
          <w:tcBorders>
            <w:top w:val="nil"/>
            <w:start w:val="nil"/>
            <w:bottom w:val="nil"/>
            <w:end w:val="nil"/>
          </w:tcBorders>
        </w:tcPr>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22" w:type="dxa"/>
          <w:tcBorders>
            <w:top w:val="nil"/>
            <w:start w:val="nil"/>
            <w:bottom w:val="nil"/>
            <w:end w:val="nil"/>
          </w:tcBorders>
        </w:tcPr>
        <w:p>
          <w:pPr>
            <w:pStyle w:val="Normal"/>
            <w:widowControl/>
            <w:suppressAutoHyphens w:val="true"/>
            <w:spacing w:before="0" w:after="160"/>
            <w:jc w:val="end"/>
            <w:rPr>
              <w:rFonts w:ascii="Century Gothic" w:hAnsi="Century Gothic" w:eastAsia="" w:eastAsiaTheme="minorEastAsia"/>
              <w:b/>
              <w:sz w:val="30"/>
              <w:szCs w:val="30"/>
              <w:lang w:val="es-ES_tradnl" w:eastAsia="es-ES"/>
            </w:rPr>
          </w:pPr>
          <w:r>
            <w:rPr/>
            <w:drawing>
              <wp:inline distT="0" distB="0" distL="0" distR="0">
                <wp:extent cx="1996440" cy="428625"/>
                <wp:effectExtent l="0" t="0" r="0" b="0"/>
                <wp:docPr id="5"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720" w:hanging="360"/>
      </w:pPr>
      <w:rPr>
        <w:rFonts w:ascii="Calibri" w:hAnsi="Calibri" w:eastAsia="Calibri" w:cs="" w:asciiTheme="minorHAnsi" w:cstheme="minorBidi" w:eastAsiaTheme="minorHAnsi" w:hAnsiTheme="minorHAnsi"/>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s-CL"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d110ec"/>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s-CL" w:eastAsia="en-US" w:bidi="ar-SA"/>
    </w:rPr>
  </w:style>
  <w:style w:type="paragraph" w:styleId="Heading3">
    <w:name w:val="heading 3"/>
    <w:basedOn w:val="Normal"/>
    <w:next w:val="Normal"/>
    <w:link w:val="Ttulo3Car"/>
    <w:uiPriority w:val="9"/>
    <w:unhideWhenUsed/>
    <w:qFormat/>
    <w:rsid w:val="00d110ec"/>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rPr/>
  </w:style>
  <w:style w:type="character" w:styleId="Ttulo3Car" w:customStyle="1">
    <w:name w:val="Título 3 Car"/>
    <w:basedOn w:val="DefaultParagraphFont"/>
    <w:link w:val="Heading3"/>
    <w:uiPriority w:val="9"/>
    <w:rsid w:val="00d110ec"/>
    <w:rPr>
      <w:rFonts w:ascii="Calibri Light" w:hAnsi="Calibri Light" w:eastAsia="" w:cs="" w:asciiTheme="majorHAnsi" w:cstheme="majorBidi" w:eastAsiaTheme="majorEastAsia" w:hAnsiTheme="majorHAnsi"/>
      <w:color w:themeColor="accent1" w:themeShade="7f" w:val="1F3763"/>
    </w:rPr>
  </w:style>
  <w:style w:type="character" w:styleId="PiedepginaCar" w:customStyle="1">
    <w:name w:val="Pie de página Car"/>
    <w:basedOn w:val="DefaultParagraphFont"/>
    <w:link w:val="Footer"/>
    <w:uiPriority w:val="99"/>
    <w:rsid w:val="00d110ec"/>
    <w:rPr>
      <w:sz w:val="22"/>
      <w:szCs w:val="22"/>
    </w:rPr>
  </w:style>
  <w:style w:type="character" w:styleId="PrrafodelistaCar" w:customStyle="1">
    <w:name w:val="Párrafo de lista Car"/>
    <w:link w:val="ListParagraph"/>
    <w:uiPriority w:val="34"/>
    <w:rsid w:val="00d110ec"/>
    <w:rPr>
      <w:sz w:val="22"/>
      <w:szCs w:val="22"/>
    </w:rPr>
  </w:style>
  <w:style w:type="character" w:styleId="TextonotapieCar" w:customStyle="1">
    <w:name w:val="Texto nota pie Car"/>
    <w:basedOn w:val="DefaultParagraphFont"/>
    <w:link w:val="FootnoteText"/>
    <w:uiPriority w:val="99"/>
    <w:semiHidden/>
    <w:rsid w:val="00d110ec"/>
    <w:rPr>
      <w:sz w:val="20"/>
      <w:szCs w:val="20"/>
      <w:lang w:val="es-ES"/>
    </w:rPr>
  </w:style>
  <w:style w:type="character" w:styleId="FootnoteCharactersuser">
    <w:name w:val="Footnote Characters (user)"/>
    <w:unhideWhenUsed/>
    <w:rsid w:val="00d110ec"/>
    <w:rPr>
      <w:vertAlign w:val="superscript"/>
    </w:rPr>
  </w:style>
  <w:style w:type="character" w:styleId="FootnoteCharacters">
    <w:name w:val="Footnote Characters"/>
    <w:rPr>
      <w:vertAlign w:val="superscript"/>
    </w:rPr>
  </w:style>
  <w:style w:type="character" w:styleId="FootnoteReference">
    <w:name w:val="footnote reference"/>
    <w:rPr>
      <w:vertAlign w:val="superscript"/>
    </w:rPr>
  </w:style>
  <w:style w:type="character" w:styleId="EncabezadoCar" w:customStyle="1">
    <w:name w:val="Encabezado Car"/>
    <w:basedOn w:val="DefaultParagraphFont"/>
    <w:link w:val="Header"/>
    <w:uiPriority w:val="99"/>
    <w:rsid w:val="00565ae6"/>
    <w:rPr>
      <w:sz w:val="22"/>
      <w:szCs w:val="22"/>
    </w:rPr>
  </w:style>
  <w:style w:type="character" w:styleId="TextodegloboCar" w:customStyle="1">
    <w:name w:val="Texto de globo Car"/>
    <w:basedOn w:val="DefaultParagraphFont"/>
    <w:link w:val="BalloonText"/>
    <w:uiPriority w:val="99"/>
    <w:semiHidden/>
    <w:rsid w:val="00e65208"/>
    <w:rPr>
      <w:rFonts w:ascii="Segoe UI" w:hAnsi="Segoe UI" w:cs="Segoe UI"/>
      <w:sz w:val="18"/>
      <w:szCs w:val="18"/>
    </w:rPr>
  </w:style>
  <w:style w:type="character" w:styleId="CommentReference">
    <w:name w:val="annotation reference"/>
    <w:basedOn w:val="DefaultParagraphFont"/>
    <w:uiPriority w:val="99"/>
    <w:semiHidden/>
    <w:unhideWhenUsed/>
    <w:rsid w:val="008018e6"/>
    <w:rPr>
      <w:sz w:val="16"/>
      <w:szCs w:val="16"/>
    </w:rPr>
  </w:style>
  <w:style w:type="character" w:styleId="TextocomentarioCar" w:customStyle="1">
    <w:name w:val="Texto comentario Car"/>
    <w:basedOn w:val="DefaultParagraphFont"/>
    <w:link w:val="CommentText"/>
    <w:uiPriority w:val="99"/>
    <w:rsid w:val="008018e6"/>
    <w:rPr>
      <w:sz w:val="20"/>
      <w:szCs w:val="20"/>
    </w:rPr>
  </w:style>
  <w:style w:type="character" w:styleId="AsuntodelcomentarioCar" w:customStyle="1">
    <w:name w:val="Asunto del comentario Car"/>
    <w:basedOn w:val="TextocomentarioCar"/>
    <w:link w:val="annotationsubject"/>
    <w:uiPriority w:val="99"/>
    <w:semiHidden/>
    <w:rsid w:val="008018e6"/>
    <w:rPr>
      <w:b/>
      <w:bCs/>
      <w:sz w:val="20"/>
      <w:szCs w:val="20"/>
    </w:rPr>
  </w:style>
  <w:style w:type="character" w:styleId="Strong">
    <w:name w:val="Strong"/>
    <w:rPr>
      <w:b/>
      <w:bCs/>
    </w:rPr>
  </w:style>
  <w:style w:type="character" w:styleId="NumberingSymbols">
    <w:name w:val="Numbering Symbols"/>
    <w:rPr/>
  </w:style>
  <w:style w:type="character" w:styleId="EndnoteCharacters">
    <w:name w:val="Endnote Characters"/>
    <w:rPr>
      <w:vertAlign w:val="superscript"/>
    </w:rPr>
  </w:style>
  <w:style w:type="character" w:styleId="EndnoteCharactersuser">
    <w:name w:val="Endnote Characters (user)"/>
    <w:rPr>
      <w:vertAlign w:val="superscript"/>
    </w:rPr>
  </w:style>
  <w:style w:type="character" w:styleId="EndnoteReference">
    <w:name w:val="endnote reference"/>
    <w:rPr>
      <w:vertAlign w:val="superscript"/>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PiedepginaCar"/>
    <w:uiPriority w:val="99"/>
    <w:unhideWhenUsed/>
    <w:rsid w:val="00d110ec"/>
    <w:pPr>
      <w:tabs>
        <w:tab w:val="clear" w:pos="708"/>
        <w:tab w:val="center" w:pos="4419" w:leader="none"/>
        <w:tab w:val="right" w:pos="8838" w:leader="none"/>
      </w:tabs>
      <w:spacing w:lineRule="auto" w:line="240" w:before="0" w:after="0"/>
    </w:pPr>
    <w:rPr/>
  </w:style>
  <w:style w:type="paragraph" w:styleId="ListParagraph">
    <w:name w:val="List Paragraph"/>
    <w:basedOn w:val="Normal"/>
    <w:link w:val="PrrafodelistaCar"/>
    <w:uiPriority w:val="34"/>
    <w:qFormat/>
    <w:rsid w:val="00d110ec"/>
    <w:pPr>
      <w:spacing w:before="0" w:after="160"/>
      <w:ind w:start="720"/>
      <w:contextualSpacing/>
    </w:pPr>
    <w:rPr/>
  </w:style>
  <w:style w:type="paragraph" w:styleId="FootnoteText">
    <w:name w:val="footnote text"/>
    <w:basedOn w:val="Normal"/>
    <w:link w:val="TextonotapieCar"/>
    <w:uiPriority w:val="99"/>
    <w:semiHidden/>
    <w:unhideWhenUsed/>
    <w:rsid w:val="00d110ec"/>
    <w:pPr>
      <w:spacing w:lineRule="auto" w:line="240" w:before="0" w:after="0"/>
    </w:pPr>
    <w:rPr>
      <w:sz w:val="20"/>
      <w:szCs w:val="20"/>
      <w:lang w:val="es-ES"/>
    </w:rPr>
  </w:style>
  <w:style w:type="paragraph" w:styleId="Header">
    <w:name w:val="header"/>
    <w:basedOn w:val="Normal"/>
    <w:link w:val="EncabezadoCar"/>
    <w:uiPriority w:val="99"/>
    <w:unhideWhenUsed/>
    <w:rsid w:val="00565ae6"/>
    <w:pPr>
      <w:tabs>
        <w:tab w:val="clear" w:pos="708"/>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rsid w:val="00e65208"/>
    <w:pPr>
      <w:spacing w:lineRule="auto" w:line="240" w:before="0" w:after="0"/>
    </w:pPr>
    <w:rPr>
      <w:rFonts w:ascii="Segoe UI" w:hAnsi="Segoe UI" w:cs="Segoe UI"/>
      <w:sz w:val="18"/>
      <w:szCs w:val="18"/>
    </w:rPr>
  </w:style>
  <w:style w:type="paragraph" w:styleId="CommentText">
    <w:name w:val="annotation text"/>
    <w:basedOn w:val="Normal"/>
    <w:link w:val="TextocomentarioCar"/>
    <w:uiPriority w:val="99"/>
    <w:unhideWhenUsed/>
    <w:rsid w:val="008018e6"/>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rsid w:val="008018e6"/>
    <w:pPr/>
    <w:rPr>
      <w:b/>
      <w:bCs/>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paragraph" w:styleId="FrameContents">
    <w:name w:val="Frame Contents"/>
    <w:basedOn w:val="Normal"/>
    <w:pPr/>
    <w:rPr/>
  </w:style>
  <w:style w:type="paragraph" w:styleId="BlockQuotationuser">
    <w:name w:val="Block Quotation (user)"/>
    <w:basedOn w:val="Normal"/>
    <w:pPr>
      <w:spacing w:before="0" w:after="283"/>
      <w:ind w:hanging="0" w:start="567" w:end="567"/>
    </w:pPr>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d110ec"/>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1">
    <w:name w:val="Tabla con cuadrícula1"/>
    <w:basedOn w:val="Tablanormal"/>
    <w:uiPriority w:val="39"/>
    <w:rsid w:val="005673ed"/>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56</TotalTime>
  <Application>LibreOffice/26.8.0.3$Windows_X86_64 LibreOffice_project/bce0998afefdbc355585ca324285661a2170ba77</Application>
  <AppVersion>15.0000</AppVersion>
  <Pages>13</Pages>
  <Words>4138</Words>
  <Characters>25730</Characters>
  <CharactersWithSpaces>29638</CharactersWithSpaces>
  <Paragraphs>240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dc:description/>
  <dc:language>es-CL</dc:language>
  <cp:lastModifiedBy/>
  <dcterms:modified xsi:type="dcterms:W3CDTF">2026-09-02T17:47:34Z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