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 Презентация проекта</w:t>
      </w:r>
    </w:p>
    <w:p>
      <w:r>
        <w:t>Город, который помнит нас · рабочие материалы</w:t>
      </w:r>
    </w:p>
    <w:p>
      <w:pPr>
        <w:pStyle w:val="Heading1"/>
      </w:pPr>
      <w:r>
        <w:t>07. Презентация проекта</w:t>
      </w:r>
    </w:p>
    <w:p>
      <w:r>
        <w:t>Содержание можно перенести в Slides, PowerPoint или Canva. Визуальный стиль: тёмный городской фон, тёплый свет окон, архивная бумага, пустые строки и одна выразительная деталь. Используйте только оригинальные или лицензированные изображения.</w:t>
      </w:r>
    </w:p>
    <w:p>
      <w:pPr>
        <w:pStyle w:val="Heading2"/>
      </w:pPr>
      <w:r>
        <w:t>Слайд 1 — Название</w:t>
      </w:r>
    </w:p>
    <w:p>
      <w:r>
        <w:t>«Город, который помнит нас». Рабочий проект художественного романа. Жанровый ориентир: городское фэнтези / romantasy / мистический триллер.</w:t>
      </w:r>
    </w:p>
    <w:p>
      <w:pPr>
        <w:pStyle w:val="Heading2"/>
      </w:pPr>
      <w:r>
        <w:t>Слайд 2 — Логлайн</w:t>
      </w:r>
    </w:p>
    <w:p>
      <w:r>
        <w:t>Город стирает людей из памяти, но Мира продолжает помнить исчезнувших. Расследование приводит её к Элиану, связанному с системой забвения, и к вопросу о том, имеет ли общество право избавляться от боли ценой чужого существования.</w:t>
      </w:r>
    </w:p>
    <w:p>
      <w:pPr>
        <w:pStyle w:val="Heading2"/>
      </w:pPr>
      <w:r>
        <w:t>Слайд 3 — Читательское обещание</w:t>
      </w:r>
    </w:p>
    <w:p>
      <w:r>
        <w:t>Тайна с последствиями; атмосферный мир, где бытовые детали становятся уликами; конфликт памяти и милосердия; отношения, проверяемые моральным выбором; самостоятельная эмоциональная дуга.</w:t>
      </w:r>
    </w:p>
    <w:p>
      <w:pPr>
        <w:pStyle w:val="Heading2"/>
      </w:pPr>
      <w:r>
        <w:t>Слайд 4 — Тема</w:t>
      </w:r>
    </w:p>
    <w:p>
      <w:r>
        <w:t>Память связана с личностью, семьёй, утратой и общественной ответственностью. Фантастическое правило превращает тему в загадку: что остаётся от человека, если его никто не помнит?</w:t>
      </w:r>
    </w:p>
    <w:p>
      <w:pPr>
        <w:pStyle w:val="Heading2"/>
      </w:pPr>
      <w:r>
        <w:t>Слайд 5 — Мир</w:t>
      </w:r>
    </w:p>
    <w:p>
      <w:r>
        <w:t>Городские правила определяют, кто считается существовавшим. Документы, фотографии, улицы и ритуалы показывают последствия забвения. У магии есть ограничения и цена.</w:t>
      </w:r>
    </w:p>
    <w:p>
      <w:pPr>
        <w:pStyle w:val="Heading2"/>
      </w:pPr>
      <w:r>
        <w:t>Слайд 6 — Персонажи</w:t>
      </w:r>
    </w:p>
    <w:p>
      <w:r>
        <w:t>Мира хранит память о забытых. Элиан связан с механизмом забвения и сталкивается с ценой своей роли. Их цели и окончательные решения уточняются автором.</w:t>
      </w:r>
    </w:p>
    <w:p>
      <w:pPr>
        <w:pStyle w:val="Heading2"/>
      </w:pPr>
      <w:r>
        <w:t>Слайд 7 — Рынок</w:t>
      </w:r>
    </w:p>
    <w:p>
      <w:r>
        <w:t>Отраслевые отчёты показывают значимость художественной литературы и роль социальных рекомендаций, но динамика различается по странам и жанрам. Проект проверяет несколько формулировок и каналов до крупных расходов. Подробности и источники — в исследовании рынка.</w:t>
      </w:r>
    </w:p>
    <w:p>
      <w:pPr>
        <w:pStyle w:val="Heading2"/>
      </w:pPr>
      <w:r>
        <w:t>Слайд 8 — Отличие</w:t>
      </w:r>
    </w:p>
    <w:p>
      <w:r>
        <w:t>Главная особенность — наблюдаемые последствия забвения и моральная цена возвращения памяти. Отличие нужно доказать сценами, а не рекламными прилагательными.</w:t>
      </w:r>
    </w:p>
    <w:p>
      <w:pPr>
        <w:pStyle w:val="Heading2"/>
      </w:pPr>
      <w:r>
        <w:t>Слайд 9 — Разработка</w:t>
      </w:r>
    </w:p>
    <w:p>
      <w:r>
        <w:t>Авторское ядро → черновик → проверка причинно-следственных связей → бета-читатели → редактура → тест упаковки → выбор публикации.</w:t>
      </w:r>
    </w:p>
    <w:p>
      <w:pPr>
        <w:pStyle w:val="Heading2"/>
      </w:pPr>
      <w:r>
        <w:t>Слайд 10 — Продвижение</w:t>
      </w:r>
    </w:p>
    <w:p>
      <w:r>
        <w:t>Один основной канал, короткие оригинальные материалы, тест логлайна и обложки, фрагмент для добровольных читателей, честные отзывы и платные тесты только при наличии измеримого действия.</w:t>
      </w:r>
    </w:p>
    <w:p>
      <w:pPr>
        <w:pStyle w:val="Heading2"/>
      </w:pPr>
      <w:r>
        <w:t>Слайд 11 — Риски</w:t>
      </w:r>
    </w:p>
    <w:p>
      <w:r>
        <w:t>Слишком общая жанровая упаковка, слабое отличие, затянутый темп, несогласованная магия, зависимость от алгоритма. Меры: бета-читатели, конкурентный анализ, тесты и резервный канал.</w:t>
      </w:r>
    </w:p>
    <w:p>
      <w:pPr>
        <w:pStyle w:val="Heading2"/>
      </w:pPr>
      <w:r>
        <w:t>Слайд 12 — Следующий шаг</w:t>
      </w:r>
    </w:p>
    <w:p>
      <w:r>
        <w:t>Создать авторскую версию концепции и сильный тестовый фрагмент. После этого подготовить издательский пакет или план самостоятельной публикации с реальными сроками и ценами.</w:t>
      </w:r>
    </w:p>
    <w:p>
      <w:r>
        <w:t>Не заявляйте гарантированные продажи или вероятность успеха выше 90%. Разделяйте рыночные факты и творческие гипотезы.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Рабочий проект · перепроверяйте актуальность источников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