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Бюджет и метрики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06. Бюджет и метрики</w:t>
      </w:r>
    </w:p>
    <w:p>
      <w:r>
        <w:t>Точный бюджет без страны, формата, объёма рукописи, цены и условий площадки был бы выдумкой. Заполняйте таблицу реальными предложениями поставщиков.</w:t>
      </w:r>
    </w:p>
    <w:p>
      <w:pPr>
        <w:pStyle w:val="Heading2"/>
      </w:pPr>
      <w:r>
        <w:t>Сценарии</w:t>
      </w:r>
    </w:p>
    <w:p>
      <w:r>
        <w:t>Почти нулевой бюджет: собственная работа, бесплатные инструменты, органические публикации, добровольные бета-читатели, визуалы с разрешёнными правами. Риск — отсутствие профессиональной редакторской проверки.</w:t>
      </w:r>
    </w:p>
    <w:p>
      <w:r>
        <w:t>Небольшие целевые расходы: редакторская консультация, профессиональная обложка, небольшой рекламный тест после появления страницы, печатный пробник при необходимости.</w:t>
      </w:r>
    </w:p>
    <w:p>
      <w:r>
        <w:t>Издательский пакет: редактура, корректура, обложка, вёрстка, проверка договоров/прав, производство и PR. Требуются реальные коммерческие предложения; договоры и доли дохода нужно читать внимательно.</w:t>
      </w:r>
    </w:p>
    <w:p>
      <w:pPr>
        <w:pStyle w:val="Heading2"/>
      </w:pPr>
      <w:r>
        <w:t>Таблица для заполнения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Статья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Фактическая цена</w:t>
            </w:r>
          </w:p>
        </w:tc>
        <w:tc>
          <w:tcPr>
            <w:tcW w:type="dxa" w:w="1728"/>
          </w:tcPr>
          <w:p>
            <w:r>
              <w:t>Нужна сейчас?</w:t>
            </w:r>
          </w:p>
        </w:tc>
        <w:tc>
          <w:tcPr>
            <w:tcW w:type="dxa" w:w="1728"/>
          </w:tcPr>
          <w:p>
            <w:r>
              <w:t>Условие</w:t>
            </w:r>
          </w:p>
        </w:tc>
      </w:tr>
      <w:tr>
        <w:tc>
          <w:tcPr>
            <w:tcW w:type="dxa" w:w="1728"/>
          </w:tcPr>
          <w:p>
            <w:r>
              <w:t>Редактура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По стадии</w:t>
            </w:r>
          </w:p>
        </w:tc>
        <w:tc>
          <w:tcPr>
            <w:tcW w:type="dxa" w:w="1728"/>
          </w:tcPr>
          <w:p>
            <w:r>
              <w:t>Рукопись завершена</w:t>
            </w:r>
          </w:p>
        </w:tc>
      </w:tr>
      <w:tr>
        <w:tc>
          <w:tcPr>
            <w:tcW w:type="dxa" w:w="1728"/>
          </w:tcPr>
          <w:p>
            <w:r>
              <w:t>Корректура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Перед релизом</w:t>
            </w:r>
          </w:p>
        </w:tc>
        <w:tc>
          <w:tcPr>
            <w:tcW w:type="dxa" w:w="1728"/>
          </w:tcPr>
          <w:p>
            <w:r>
              <w:t>Финальная версия</w:t>
            </w:r>
          </w:p>
        </w:tc>
      </w:tr>
      <w:tr>
        <w:tc>
          <w:tcPr>
            <w:tcW w:type="dxa" w:w="1728"/>
          </w:tcPr>
          <w:p>
            <w:r>
              <w:t>Обложка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Перед релизом</w:t>
            </w:r>
          </w:p>
        </w:tc>
        <w:tc>
          <w:tcPr>
            <w:tcW w:type="dxa" w:w="1728"/>
          </w:tcPr>
          <w:p>
            <w:r>
              <w:t>Позиционирование проверено</w:t>
            </w:r>
          </w:p>
        </w:tc>
      </w:tr>
      <w:tr>
        <w:tc>
          <w:tcPr>
            <w:tcW w:type="dxa" w:w="1728"/>
          </w:tcPr>
          <w:p>
            <w:r>
              <w:t>Вёрстка/форматы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По формату</w:t>
            </w:r>
          </w:p>
        </w:tc>
        <w:tc>
          <w:tcPr>
            <w:tcW w:type="dxa" w:w="1728"/>
          </w:tcPr>
          <w:p>
            <w:r>
              <w:t>Площадка выбрана</w:t>
            </w:r>
          </w:p>
        </w:tc>
      </w:tr>
      <w:tr>
        <w:tc>
          <w:tcPr>
            <w:tcW w:type="dxa" w:w="1728"/>
          </w:tcPr>
          <w:p>
            <w:r>
              <w:t>Реклама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Есть страница и CTA</w:t>
            </w:r>
          </w:p>
        </w:tc>
      </w:tr>
      <w:tr>
        <w:tc>
          <w:tcPr>
            <w:tcW w:type="dxa" w:w="1728"/>
          </w:tcPr>
          <w:p>
            <w:r>
              <w:t>Печать пробника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___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Нужен физический экземпляр</w:t>
            </w:r>
          </w:p>
        </w:tc>
      </w:tr>
    </w:tbl>
    <w:p>
      <w:pPr>
        <w:pStyle w:val="Heading2"/>
      </w:pPr>
      <w:r>
        <w:t>Метрики</w:t>
      </w:r>
    </w:p>
    <w:p>
      <w:r>
        <w:t>Контент: публикации в неделю, охват, содержательные комментарии, сохранения, переходы.</w:t>
      </w:r>
    </w:p>
    <w:p>
      <w:r>
        <w:t>Интерес: подписки, запросы фрагмента, дочитывания, повторные посещения.</w:t>
      </w:r>
    </w:p>
    <w:p>
      <w:r>
        <w:t>Коммерция: клики на покупку, конверсия, покупки/предзаказы, стоимость привлечения, возвраты и честные отзывы, если доступны.</w:t>
      </w:r>
    </w:p>
    <w:p>
      <w:pPr>
        <w:pStyle w:val="Heading2"/>
      </w:pPr>
      <w:r>
        <w:t>Формулы</w:t>
      </w:r>
    </w:p>
    <w:p>
      <w:r>
        <w:t>Конверсия = покупки / посещения страницы × 100%.</w:t>
      </w:r>
    </w:p>
    <w:p>
      <w:r>
        <w:t>Стоимость целевого действия = расходы / число целевых действий.</w:t>
      </w:r>
    </w:p>
    <w:p>
      <w:r>
        <w:t>Доля содержательного отклика = содержательные ответы / все ответы.</w:t>
      </w:r>
    </w:p>
    <w:p>
      <w:r>
        <w:t>Сравнивайте показатели только при сопоставимых условиях; определения платформ могут различаться.</w:t>
      </w:r>
    </w:p>
    <w:p>
      <w:pPr>
        <w:pStyle w:val="Heading2"/>
      </w:pPr>
      <w:r>
        <w:t>Журнал экспериментов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Дата</w:t>
            </w:r>
          </w:p>
        </w:tc>
        <w:tc>
          <w:tcPr>
            <w:tcW w:type="dxa" w:w="1234"/>
          </w:tcPr>
          <w:p>
            <w:r>
              <w:t>Гипотеза</w:t>
            </w:r>
          </w:p>
        </w:tc>
        <w:tc>
          <w:tcPr>
            <w:tcW w:type="dxa" w:w="1234"/>
          </w:tcPr>
          <w:p>
            <w:r>
              <w:t>Материал</w:t>
            </w:r>
          </w:p>
        </w:tc>
        <w:tc>
          <w:tcPr>
            <w:tcW w:type="dxa" w:w="1234"/>
          </w:tcPr>
          <w:p>
            <w:r>
              <w:t>Аудитория</w:t>
            </w:r>
          </w:p>
        </w:tc>
        <w:tc>
          <w:tcPr>
            <w:tcW w:type="dxa" w:w="1234"/>
          </w:tcPr>
          <w:p>
            <w:r>
              <w:t>Расход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  <w:tc>
          <w:tcPr>
            <w:tcW w:type="dxa" w:w="1234"/>
          </w:tcPr>
          <w:p>
            <w:r>
              <w:t>Решение</w:t>
            </w:r>
          </w:p>
        </w:tc>
      </w:tr>
      <w:tr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Логлайн A лучше B</w:t>
            </w:r>
          </w:p>
        </w:tc>
        <w:tc>
          <w:tcPr>
            <w:tcW w:type="dxa" w:w="1234"/>
          </w:tcPr>
          <w:p>
            <w:r>
              <w:t>A/B</w:t>
            </w:r>
          </w:p>
        </w:tc>
        <w:tc>
          <w:tcPr>
            <w:tcW w:type="dxa" w:w="1234"/>
          </w:tcPr>
          <w:p>
            <w:r>
              <w:t>Читатели жанра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</w:tr>
      <w:tr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Визуал вызывает интерес</w:t>
            </w:r>
          </w:p>
        </w:tc>
        <w:tc>
          <w:tcPr>
            <w:tcW w:type="dxa" w:w="1234"/>
          </w:tcPr>
          <w:p>
            <w:r>
              <w:t>Пост</w:t>
            </w:r>
          </w:p>
        </w:tc>
        <w:tc>
          <w:tcPr>
            <w:tcW w:type="dxa" w:w="1234"/>
          </w:tcPr>
          <w:p>
            <w:r>
              <w:t>Основной канал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</w:tr>
      <w:tr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Фрагмент удерживает внимание</w:t>
            </w:r>
          </w:p>
        </w:tc>
        <w:tc>
          <w:tcPr>
            <w:tcW w:type="dxa" w:w="1234"/>
          </w:tcPr>
          <w:p>
            <w:r>
              <w:t>Отрывок</w:t>
            </w:r>
          </w:p>
        </w:tc>
        <w:tc>
          <w:tcPr>
            <w:tcW w:type="dxa" w:w="1234"/>
          </w:tcPr>
          <w:p>
            <w:r>
              <w:t>Бета-читатели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</w:tr>
    </w:tbl>
    <w:p>
      <w:r>
        <w:t>Не масштабируйте рекламу по лайкам. Заранее задавайте лимит времени/денег и меняйте по одной переменной. Маленькая выборка не доказывает спрос всего рынка. Не используйте «90% шанс успеха» как KPI — измеряйте этапы, обратную связь и контроль расходов.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