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png" ContentType="image/png"/>
  <Override PartName="/word/media/image4.jpeg" ContentType="image/jpeg"/>
  <Override PartName="/word/media/image5.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1">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2">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2"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4"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6"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8"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Test Plan</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Test Plan</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0"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Testing of a BrokerVerse OOTB implementation for a broker</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Testing of a BrokerVerse OOTB implementation for a broker</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4847_1139806449">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4849_1139806449">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4851_1139806449">
            <w:r>
              <w:rPr>
                <w:webHidden/>
                <w:rStyle w:val="IndexLink"/>
              </w:rPr>
              <w:t>3. Introduction</w:t>
              <w:tab/>
              <w:t>4</w:t>
            </w:r>
          </w:hyperlink>
        </w:p>
        <w:p>
          <w:pPr>
            <w:pStyle w:val="TOC2"/>
            <w:tabs>
              <w:tab w:val="clear" w:pos="900"/>
              <w:tab w:val="clear" w:pos="9350"/>
              <w:tab w:val="right" w:pos="9025" w:leader="dot"/>
            </w:tabs>
            <w:rPr/>
          </w:pPr>
          <w:hyperlink w:anchor="__RefHeading___Toc14853_1139806449">
            <w:r>
              <w:rPr>
                <w:webHidden/>
                <w:rStyle w:val="IndexLink"/>
              </w:rPr>
              <w:t>3.1 Purpose</w:t>
              <w:tab/>
              <w:t>4</w:t>
            </w:r>
          </w:hyperlink>
        </w:p>
        <w:p>
          <w:pPr>
            <w:pStyle w:val="TOC2"/>
            <w:tabs>
              <w:tab w:val="clear" w:pos="900"/>
              <w:tab w:val="clear" w:pos="9350"/>
              <w:tab w:val="right" w:pos="9025" w:leader="dot"/>
            </w:tabs>
            <w:rPr/>
          </w:pPr>
          <w:hyperlink w:anchor="__RefHeading___Toc14855_1139806449">
            <w:r>
              <w:rPr>
                <w:webHidden/>
                <w:rStyle w:val="IndexLink"/>
              </w:rPr>
              <w:t>3.2 References</w:t>
              <w:tab/>
              <w:t>5</w:t>
            </w:r>
          </w:hyperlink>
        </w:p>
        <w:p>
          <w:pPr>
            <w:pStyle w:val="TOC1"/>
            <w:tabs>
              <w:tab w:val="clear" w:pos="900"/>
              <w:tab w:val="clear" w:pos="9350"/>
              <w:tab w:val="right" w:pos="9025" w:leader="dot"/>
            </w:tabs>
            <w:rPr/>
          </w:pPr>
          <w:hyperlink w:anchor="__RefHeading___Toc14857_1139806449">
            <w:r>
              <w:rPr>
                <w:webHidden/>
                <w:rStyle w:val="IndexLink"/>
              </w:rPr>
              <w:t>4. Scope</w:t>
              <w:tab/>
              <w:t>6</w:t>
            </w:r>
          </w:hyperlink>
        </w:p>
        <w:p>
          <w:pPr>
            <w:pStyle w:val="TOC2"/>
            <w:tabs>
              <w:tab w:val="clear" w:pos="900"/>
              <w:tab w:val="clear" w:pos="9350"/>
              <w:tab w:val="right" w:pos="9025" w:leader="dot"/>
            </w:tabs>
            <w:rPr/>
          </w:pPr>
          <w:hyperlink w:anchor="__RefHeading___Toc14859_1139806449">
            <w:r>
              <w:rPr>
                <w:webHidden/>
                <w:rStyle w:val="IndexLink"/>
              </w:rPr>
              <w:t>4.1 In scope per module</w:t>
              <w:tab/>
              <w:t>6</w:t>
            </w:r>
          </w:hyperlink>
        </w:p>
        <w:p>
          <w:pPr>
            <w:pStyle w:val="TOC2"/>
            <w:tabs>
              <w:tab w:val="clear" w:pos="900"/>
              <w:tab w:val="clear" w:pos="9350"/>
              <w:tab w:val="right" w:pos="9025" w:leader="dot"/>
            </w:tabs>
            <w:rPr/>
          </w:pPr>
          <w:hyperlink w:anchor="__RefHeading___Toc14861_1139806449">
            <w:r>
              <w:rPr>
                <w:webHidden/>
                <w:rStyle w:val="IndexLink"/>
              </w:rPr>
              <w:t>4.2 Out of scope</w:t>
              <w:tab/>
              <w:t>8</w:t>
            </w:r>
          </w:hyperlink>
        </w:p>
        <w:p>
          <w:pPr>
            <w:pStyle w:val="TOC1"/>
            <w:tabs>
              <w:tab w:val="clear" w:pos="900"/>
              <w:tab w:val="clear" w:pos="9350"/>
              <w:tab w:val="right" w:pos="9025" w:leader="dot"/>
            </w:tabs>
            <w:rPr/>
          </w:pPr>
          <w:hyperlink w:anchor="__RefHeading___Toc14863_1139806449">
            <w:r>
              <w:rPr>
                <w:webHidden/>
                <w:rStyle w:val="IndexLink"/>
              </w:rPr>
              <w:t>5. Schedule</w:t>
              <w:tab/>
              <w:t>9</w:t>
            </w:r>
          </w:hyperlink>
        </w:p>
        <w:p>
          <w:pPr>
            <w:pStyle w:val="TOC2"/>
            <w:tabs>
              <w:tab w:val="clear" w:pos="900"/>
              <w:tab w:val="clear" w:pos="9350"/>
              <w:tab w:val="right" w:pos="9025" w:leader="dot"/>
            </w:tabs>
            <w:rPr/>
          </w:pPr>
          <w:hyperlink w:anchor="__RefHeading___Toc14865_1139806449">
            <w:r>
              <w:rPr>
                <w:webHidden/>
                <w:rStyle w:val="IndexLink"/>
              </w:rPr>
              <w:t>5.1 Test activities by phase</w:t>
              <w:tab/>
              <w:t>9</w:t>
            </w:r>
          </w:hyperlink>
        </w:p>
        <w:p>
          <w:pPr>
            <w:pStyle w:val="TOC2"/>
            <w:tabs>
              <w:tab w:val="clear" w:pos="900"/>
              <w:tab w:val="clear" w:pos="9350"/>
              <w:tab w:val="right" w:pos="9025" w:leader="dot"/>
            </w:tabs>
            <w:rPr/>
          </w:pPr>
          <w:hyperlink w:anchor="__RefHeading___Toc14867_1139806449">
            <w:r>
              <w:rPr>
                <w:webHidden/>
                <w:rStyle w:val="IndexLink"/>
              </w:rPr>
              <w:t>5.2 Test cycles</w:t>
              <w:tab/>
              <w:t>9</w:t>
            </w:r>
          </w:hyperlink>
        </w:p>
        <w:p>
          <w:pPr>
            <w:pStyle w:val="TOC2"/>
            <w:tabs>
              <w:tab w:val="clear" w:pos="900"/>
              <w:tab w:val="clear" w:pos="9350"/>
              <w:tab w:val="right" w:pos="9025" w:leader="dot"/>
            </w:tabs>
            <w:rPr/>
          </w:pPr>
          <w:hyperlink w:anchor="__RefHeading___Toc14869_1139806449">
            <w:r>
              <w:rPr>
                <w:webHidden/>
                <w:rStyle w:val="IndexLink"/>
              </w:rPr>
              <w:t>5.3 Calendar by broker size</w:t>
              <w:tab/>
              <w:t>10</w:t>
            </w:r>
          </w:hyperlink>
        </w:p>
        <w:p>
          <w:pPr>
            <w:pStyle w:val="TOC1"/>
            <w:tabs>
              <w:tab w:val="clear" w:pos="900"/>
              <w:tab w:val="clear" w:pos="9350"/>
              <w:tab w:val="right" w:pos="9025" w:leader="dot"/>
            </w:tabs>
            <w:rPr/>
          </w:pPr>
          <w:hyperlink w:anchor="__RefHeading___Toc14871_1139806449">
            <w:r>
              <w:rPr>
                <w:webHidden/>
                <w:rStyle w:val="IndexLink"/>
              </w:rPr>
              <w:t>6. Test cases and traceability</w:t>
              <w:tab/>
              <w:t>11</w:t>
            </w:r>
          </w:hyperlink>
        </w:p>
        <w:p>
          <w:pPr>
            <w:pStyle w:val="TOC1"/>
            <w:tabs>
              <w:tab w:val="clear" w:pos="900"/>
              <w:tab w:val="clear" w:pos="9350"/>
              <w:tab w:val="right" w:pos="9025" w:leader="dot"/>
            </w:tabs>
            <w:rPr/>
          </w:pPr>
          <w:hyperlink w:anchor="__RefHeading___Toc14873_1139806449">
            <w:r>
              <w:rPr>
                <w:webHidden/>
                <w:rStyle w:val="IndexLink"/>
              </w:rPr>
              <w:t>7. Deliverables</w:t>
              <w:tab/>
              <w:t>12</w:t>
            </w:r>
          </w:hyperlink>
        </w:p>
        <w:p>
          <w:pPr>
            <w:pStyle w:val="TOC1"/>
            <w:tabs>
              <w:tab w:val="clear" w:pos="900"/>
              <w:tab w:val="clear" w:pos="9350"/>
              <w:tab w:val="right" w:pos="9025" w:leader="dot"/>
            </w:tabs>
            <w:rPr/>
          </w:pPr>
          <w:hyperlink w:anchor="__RefHeading___Toc14875_1139806449">
            <w:r>
              <w:rPr>
                <w:webHidden/>
                <w:rStyle w:val="IndexLink"/>
              </w:rPr>
              <w:t>8. Resourcing</w:t>
              <w:tab/>
              <w:t>13</w:t>
            </w:r>
          </w:hyperlink>
        </w:p>
        <w:p>
          <w:pPr>
            <w:pStyle w:val="TOC1"/>
            <w:tabs>
              <w:tab w:val="clear" w:pos="900"/>
              <w:tab w:val="clear" w:pos="9350"/>
              <w:tab w:val="right" w:pos="9025" w:leader="dot"/>
            </w:tabs>
            <w:rPr/>
          </w:pPr>
          <w:hyperlink w:anchor="__RefHeading___Toc14877_1139806449">
            <w:r>
              <w:rPr>
                <w:webHidden/>
                <w:rStyle w:val="IndexLink"/>
              </w:rPr>
              <w:t>9. Suspension and resumption</w:t>
              <w:tab/>
              <w:t>14</w:t>
            </w:r>
          </w:hyperlink>
        </w:p>
        <w:p>
          <w:pPr>
            <w:pStyle w:val="TOC2"/>
            <w:tabs>
              <w:tab w:val="clear" w:pos="900"/>
              <w:tab w:val="clear" w:pos="9350"/>
              <w:tab w:val="right" w:pos="9025" w:leader="dot"/>
            </w:tabs>
            <w:rPr/>
          </w:pPr>
          <w:hyperlink w:anchor="__RefHeading___Toc14879_1139806449">
            <w:r>
              <w:rPr>
                <w:webHidden/>
                <w:rStyle w:val="IndexLink"/>
              </w:rPr>
              <w:t>9.1 Suspension criteria</w:t>
              <w:tab/>
              <w:t>14</w:t>
            </w:r>
          </w:hyperlink>
        </w:p>
        <w:p>
          <w:pPr>
            <w:pStyle w:val="TOC2"/>
            <w:tabs>
              <w:tab w:val="clear" w:pos="900"/>
              <w:tab w:val="clear" w:pos="9350"/>
              <w:tab w:val="right" w:pos="9025" w:leader="dot"/>
            </w:tabs>
            <w:rPr/>
          </w:pPr>
          <w:hyperlink w:anchor="__RefHeading___Toc14881_1139806449">
            <w:r>
              <w:rPr>
                <w:webHidden/>
                <w:rStyle w:val="IndexLink"/>
              </w:rPr>
              <w:t>9.2 Resumption criteria</w:t>
              <w:tab/>
              <w:t>14</w:t>
            </w:r>
          </w:hyperlink>
        </w:p>
        <w:p>
          <w:pPr>
            <w:pStyle w:val="TOC1"/>
            <w:tabs>
              <w:tab w:val="clear" w:pos="900"/>
              <w:tab w:val="clear" w:pos="9350"/>
              <w:tab w:val="right" w:pos="9025" w:leader="dot"/>
            </w:tabs>
            <w:rPr/>
          </w:pPr>
          <w:hyperlink w:anchor="__RefHeading___Toc14883_1139806449">
            <w:r>
              <w:rPr>
                <w:webHidden/>
                <w:rStyle w:val="IndexLink"/>
              </w:rPr>
              <w:t>10. Sign-off</w:t>
              <w:tab/>
              <w:t>15</w:t>
            </w:r>
          </w:hyperlink>
        </w:p>
        <w:p>
          <w:pPr>
            <w:pStyle w:val="TOC1"/>
            <w:tabs>
              <w:tab w:val="clear" w:pos="900"/>
              <w:tab w:val="clear" w:pos="9350"/>
              <w:tab w:val="right" w:pos="9025" w:leader="dot"/>
            </w:tabs>
            <w:rPr/>
          </w:pPr>
          <w:hyperlink w:anchor="__RefHeading___Toc14885_1139806449">
            <w:r>
              <w:rPr>
                <w:webHidden/>
                <w:rStyle w:val="IndexLink"/>
                <w:i w:val="false"/>
                <w:iCs w:val="false"/>
              </w:rPr>
              <w:t>11. Document Sign-Off</w:t>
            </w:r>
            <w:r>
              <w:rPr>
                <w:rStyle w:val="IndexLink"/>
              </w:rPr>
              <w:tab/>
              <w:t>16</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4847_11398064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 scope per module, schedule by phase and broker size, test cycles from SIT to hypercare, deliverables, resourcing, suspension and resumption, sign-off</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4849_11398064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Quality assurance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Requirements traceability matrix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Letter of authority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Post-dated cheque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PSGC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Standard Geographic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Trial balance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4851_1139806449"/>
      <w:bookmarkEnd w:id="6"/>
      <w:r>
        <w:rPr>
          <w:rFonts w:eastAsia="Segoe UI" w:cs="Segoe UI" w:ascii="Segoe UI" w:hAnsi="Segoe UI"/>
          <w:b/>
          <w:color w:val="0F4761"/>
          <w:sz w:val="32"/>
        </w:rPr>
        <w:t>3.  Introduction</w:t>
      </w:r>
    </w:p>
    <w:p>
      <w:pPr>
        <w:pStyle w:val="Heading2"/>
        <w:rPr/>
      </w:pPr>
      <w:bookmarkStart w:id="7" w:name="__RefHeading___Toc14853_1139806449"/>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plan applies the BrokerVerse Test Strategy to the implementation of BrokerVerse OOTB for one broker. It lists what is tested in each module, when each test cycle runs in the implementation plan of the broker's size, who tests, what is delivered, when testing stops and resumes, and who signs off.</w:t>
      </w:r>
    </w:p>
    <w:p>
      <w:pPr>
        <w:pStyle w:val="Normal"/>
        <w:spacing w:lineRule="auto" w:line="276" w:before="0" w:after="120"/>
        <w:rPr/>
      </w:pPr>
      <w:r>
        <w:rPr>
          <w:rFonts w:eastAsia="Segoe UI" w:cs="Segoe UI" w:ascii="Segoe UI" w:hAnsi="Segoe UI"/>
          <w:color w:val="101820"/>
          <w:sz w:val="21"/>
        </w:rPr>
        <w:t>Copy this plan at the end of discovery, fill in the broker's name, dates, testers and the broker-specific scenarios (marked [square brackets]), and keep it with the project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6008"/>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legal name]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size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8 weeks / Medium 12 weeks / Large 16 to 20 weeks]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tested</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[vX.Y.Z-rc.N, then vX.Y.Z]</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date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go-live date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 (iorta TechNXT)</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coordinator (broker)</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r>
    </w:tbl>
    <w:p>
      <w:pPr>
        <w:pStyle w:val="Normal"/>
        <w:spacing w:before="0" w:after="80"/>
        <w:rPr/>
      </w:pPr>
      <w:r>
        <w:rPr/>
      </w:r>
    </w:p>
    <w:p>
      <w:pPr>
        <w:pStyle w:val="Heading2"/>
        <w:rPr/>
      </w:pPr>
      <w:bookmarkStart w:id="8" w:name="__RefHeading___Toc14855_1139806449"/>
      <w:bookmarkEnd w:id="8"/>
      <w:r>
        <w:rPr>
          <w:rFonts w:eastAsia="Segoe UI" w:cs="Segoe UI"/>
          <w:b/>
          <w:color w:val="0F4761"/>
          <w:sz w:val="26"/>
        </w:rPr>
        <w:t>3.2  References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 in this plan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Strategy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Levels, types, environments, data, entry and exit criteria, defect severity, CI gates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Approach and Plan; Implementation Plan workbook</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Phases and weeks by broker size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workbook</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by module (sheet Test Cases), traceability to automated tests (Traceability), process catalogue to test cases (Requirements Traceability), defects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docs/onboarding/UAT_SCRIPTS.md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scripts per role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Strategy and Production Rollout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 refreshes, masking, rehearsal, cutover runbook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and Cutover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reconciliation, go/no-go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and Go-Live Acceptance Certificates; Hypercare Exit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Sign-off forms</w:t>
            </w:r>
          </w:p>
        </w:tc>
      </w:tr>
    </w:tbl>
    <w:p>
      <w:pPr>
        <w:pStyle w:val="Heading1"/>
        <w:rPr/>
      </w:pPr>
      <w:r>
        <w:br w:type="page"/>
      </w:r>
      <w:bookmarkStart w:id="9" w:name="__RefHeading___Toc14857_1139806449"/>
      <w:bookmarkEnd w:id="9"/>
      <w:r>
        <w:rPr>
          <w:rFonts w:eastAsia="Segoe UI" w:cs="Segoe UI" w:ascii="Segoe UI" w:hAnsi="Segoe UI"/>
          <w:b/>
          <w:color w:val="0F4761"/>
          <w:sz w:val="32"/>
        </w:rPr>
        <w:t>4.  Scope</w:t>
      </w:r>
    </w:p>
    <w:p>
      <w:pPr>
        <w:pStyle w:val="Heading2"/>
        <w:rPr/>
      </w:pPr>
      <w:bookmarkStart w:id="10" w:name="__RefHeading___Toc14859_1139806449"/>
      <w:bookmarkEnd w:id="10"/>
      <w:r>
        <w:rPr>
          <w:rFonts w:eastAsia="Segoe UI" w:cs="Segoe UI"/>
          <w:b/>
          <w:color w:val="0F4761"/>
          <w:sz w:val="26"/>
        </w:rPr>
        <w:t>4.1  In scope per module</w:t>
      </w:r>
    </w:p>
    <w:p>
      <w:pPr>
        <w:pStyle w:val="Normal"/>
        <w:spacing w:lineRule="auto" w:line="276" w:before="0" w:after="120"/>
        <w:rPr/>
      </w:pPr>
      <w:r>
        <w:rPr>
          <w:rFonts w:eastAsia="Segoe UI" w:cs="Segoe UI" w:ascii="Segoe UI" w:hAnsi="Segoe UI"/>
          <w:color w:val="101820"/>
          <w:sz w:val="21"/>
        </w:rPr>
        <w:t>The test case prefixes refer to the sheet Test Cases of the Test Cases workbook. Modules switched off for the broker in discovery are marked out of scope in the copy of this plan.</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09"/>
        <w:gridCol w:w="2301"/>
        <w:gridCol w:w="2301"/>
        <w:gridCol w:w="2301"/>
      </w:tblGrid>
      <w:tr>
        <w:trPr>
          <w:tblHeader w:val="true"/>
        </w:trPr>
        <w:tc>
          <w:tcPr>
            <w:tcW w:w="21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Module</w:t>
            </w:r>
          </w:p>
        </w:tc>
        <w:tc>
          <w:tcPr>
            <w:tcW w:w="23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is tested for the broker</w:t>
            </w:r>
          </w:p>
        </w:tc>
        <w:tc>
          <w:tcPr>
            <w:tcW w:w="23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Test cases</w:t>
            </w:r>
          </w:p>
        </w:tc>
        <w:tc>
          <w:tcPr>
            <w:tcW w:w="23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UAT scripts</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security, users and roles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password policy, lockout, two-step verification, users per role, authority matrix, delegations, segregation of duties, masking of personal identifiers by role</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 BV-USR, BV-RBA, BV-NPC</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A1 to A3, K11</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reference masters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PSGC regions, provinces, cities and municipalities, barangays, ZIP codes, banks, ID types, salutations, holidays, IC insurer list</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BV-PHM, BV-MST</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A5, A8</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Navigation, help and screen behaviour</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Side menu by role with Master sections, menu search, Help panel (F1), skeleton loading, screen check per role</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BV-NAV, BV-SCR</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A9</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numbering, audit trail</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 document numbering, schedules, e-mail outbox, Audit Trail screen</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BV-CFG, BV-AUD, BV-EML</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A6, A7</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 in the flow</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Templates, governing template, rating factors, acceptance rules (refer, decline, loading with authority), document templates with merge fields, market mapping</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BV-PCF, BV-PCR</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P6, P7</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 workbench and environment tools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and migration workbooks, validate, errors workbook, load, reconciliation, environment comparison, transaction reset, masking tool, release pipeline</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BV-GOL, BV-GLW</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A10, A11, T1 to T3</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My Work</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My Items, My Team by reporting line, My Tasks, Calendar</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BV-MYW</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W1 to W3</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quotation, placement</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quick quote, quotations and customer response, requests for quotation, placement slips, cover notes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BV-PRS, BV-QQT, BV-QUO, BV-RFQ, BV-OPX</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S1 to S4, P1 to P3, O6</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servicing</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Issuance, endorsements, computed cancellation (pro-rata, short-period), renewals, CTPL COC series and authentication</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BV-POL, BV-END, BV-REN, BV-OPX, BV-INT</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 P5, O2, O7, O8</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Registration, documents and checklist, motor repairs and letters of authority, settlement, settlements paid through the broker</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BV-CLM, BV-OPX, BV-ACX</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C1 to C7, F18</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collection and money</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 receipts, collections, credit control, instalment invoices, post-dated cheques, disbursement, remittance, direct bill, petty cash, bank payment files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BV-PAY, BV-RCT, BV-COL, BV-DSB, BV-REM, BV-DBL, BV-PCH, BV-ACX, BV-INT</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 to F6, F9 to F11</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and incentives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matrix, referrer commission, licence check before payout, overriding and contingent commission, incentives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BV-COM, BV-INC, BV-ICC, BV-BIR</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F12, K9</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period end</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period end, bank and insurer reconciliation, accounts payable, fixed assets and depreciation</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BV-JNL, BV-PER, BV-BNK, BV-INR, BV-ACX</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F6, F7, F16, F17, M1 to M6</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(BIR)</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2307, VAT summary, SAWT, QAP, SLSP, 0619-E, 1601-EQ, 1604-E, 2551Q, DAT files, EOPT sales invoices, CAS books, EIS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BV-TAX, BV-BIR</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F8, F13 to F15</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onboarding before first policy, juridical clients, signatories and beneficial owners, risk rating, EDD, screening lists and hits, transaction alerts, cases, AMLC report files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BV-AML</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K1 to K6, O9</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and NPC compliance</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register and payout block, fit and proper, insurer authority, IC annual statement and production report, complaints register, breach register, consent and data subject requests, field encryption</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BV-ICC, BV-NPC</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K7 to K12, O10, M7</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Distribution</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assignment, distribution channels, dealer programmes, fleet schedules, marine open covers, facultative reinsurance, comparison reports, campaigns, report builder and BI extract</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BV-DST</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S7 to S11, P8 to P10</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Connectors and outbox, SMS and Viber templates, CTPL authentication, insurer API, bank payment files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BV-INT</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A12, A13</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Theme and Branding, logo, sign-in picture, brand packs, branded documents, reports and e-mails, e-signatures mapped to documents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BV-BRD</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A14, A15</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Treaties, cessions, recoveries, facultative placements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BV-RIN, BV-DST</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P8</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and dashboards</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catalogue, dashboards, scheduled reports, report builder</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BV-RPT, BV-DSH, BV-DST</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S6, S11, C5</w:t>
            </w:r>
          </w:p>
        </w:tc>
      </w:tr>
      <w:tr>
        <w:trPr/>
        <w:tc>
          <w:tcPr>
            <w:tcW w:w="21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Features in development (package G)</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activity log, quote wizard covers and risk fields from the Product Configurator, supplier BIR 2307, fixed asset disposal</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BV-PKG</w:t>
            </w:r>
          </w:p>
        </w:tc>
        <w:tc>
          <w:tcPr>
            <w:tcW w:w="2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Added when the release that carries them is deployed</w:t>
            </w:r>
          </w:p>
        </w:tc>
      </w:tr>
    </w:tbl>
    <w:p>
      <w:pPr>
        <w:pStyle w:val="Normal"/>
        <w:spacing w:before="0" w:after="80"/>
        <w:rPr/>
      </w:pPr>
      <w:r>
        <w:rPr/>
      </w:r>
    </w:p>
    <w:p>
      <w:pPr>
        <w:pStyle w:val="Heading2"/>
        <w:rPr/>
      </w:pPr>
      <w:bookmarkStart w:id="11" w:name="__RefHeading___Toc14861_1139806449"/>
      <w:bookmarkEnd w:id="11"/>
      <w:r>
        <w:rPr>
          <w:rFonts w:eastAsia="Segoe UI" w:cs="Segoe UI"/>
          <w:b/>
          <w:color w:val="0F4761"/>
          <w:sz w:val="26"/>
        </w:rPr>
        <w:t>4.2  Out of scope</w:t>
      </w:r>
    </w:p>
    <w:p>
      <w:pPr>
        <w:pStyle w:val="Normal"/>
        <w:numPr>
          <w:ilvl w:val="0"/>
          <w:numId w:val="1"/>
        </w:numPr>
        <w:spacing w:before="0" w:after="60"/>
        <w:rPr/>
      </w:pPr>
      <w:r>
        <w:rPr>
          <w:rFonts w:eastAsia="Segoe UI" w:cs="Segoe UI" w:ascii="Segoe UI" w:hAnsi="Segoe UI"/>
          <w:color w:val="101820"/>
          <w:sz w:val="21"/>
        </w:rPr>
        <w:t>Retesting the product's internal code paths already covered by the automated suites; the implementation relies on the green CI run of the release tag.</w:t>
      </w:r>
    </w:p>
    <w:p>
      <w:pPr>
        <w:pStyle w:val="Normal"/>
        <w:numPr>
          <w:ilvl w:val="0"/>
          <w:numId w:val="1"/>
        </w:numPr>
        <w:spacing w:before="0" w:after="60"/>
        <w:rPr/>
      </w:pPr>
      <w:r>
        <w:rPr>
          <w:rFonts w:eastAsia="Segoe UI" w:cs="Segoe UI" w:ascii="Segoe UI" w:hAnsi="Segoe UI"/>
          <w:color w:val="101820"/>
          <w:sz w:val="21"/>
        </w:rPr>
        <w:t>Browsers other than current Chromium-based browsers and mobile layouts, unless agreed in discovery.</w:t>
      </w:r>
    </w:p>
    <w:p>
      <w:pPr>
        <w:pStyle w:val="Normal"/>
        <w:numPr>
          <w:ilvl w:val="0"/>
          <w:numId w:val="1"/>
        </w:numPr>
        <w:spacing w:before="0" w:after="60"/>
        <w:rPr/>
      </w:pPr>
      <w:r>
        <w:rPr>
          <w:rFonts w:eastAsia="Segoe UI" w:cs="Segoe UI" w:ascii="Segoe UI" w:hAnsi="Segoe UI"/>
          <w:color w:val="101820"/>
          <w:sz w:val="21"/>
        </w:rPr>
        <w:t>Certification by third parties (CTPL authentication provider, LTO, insurer APIs, banks, BIR EIS, AMLC portal): the system is tested in test mode; certification is done with each partner during onboarding.</w:t>
      </w:r>
    </w:p>
    <w:p>
      <w:pPr>
        <w:pStyle w:val="Normal"/>
        <w:numPr>
          <w:ilvl w:val="0"/>
          <w:numId w:val="1"/>
        </w:numPr>
        <w:spacing w:before="0" w:after="60"/>
        <w:rPr/>
      </w:pPr>
      <w:r>
        <w:rPr>
          <w:rFonts w:eastAsia="Segoe UI" w:cs="Segoe UI" w:ascii="Segoe UI" w:hAnsi="Segoe UI"/>
          <w:color w:val="101820"/>
          <w:sz w:val="21"/>
        </w:rPr>
        <w:t>Load and penetration testing are planned separately (go-live conditions) and reported on their own.</w:t>
      </w:r>
      <w:r>
        <w:br w:type="page"/>
      </w:r>
    </w:p>
    <w:p>
      <w:pPr>
        <w:pStyle w:val="Heading1"/>
        <w:rPr/>
      </w:pPr>
      <w:bookmarkStart w:id="12" w:name="__RefHeading___Toc14863_1139806449"/>
      <w:bookmarkEnd w:id="12"/>
      <w:r>
        <w:rPr>
          <w:rFonts w:eastAsia="Segoe UI" w:cs="Segoe UI" w:ascii="Segoe UI" w:hAnsi="Segoe UI"/>
          <w:b/>
          <w:color w:val="0F4761"/>
          <w:sz w:val="32"/>
        </w:rPr>
        <w:t>5.  Schedule</w:t>
      </w:r>
    </w:p>
    <w:p>
      <w:pPr>
        <w:pStyle w:val="Heading2"/>
        <w:rPr/>
      </w:pPr>
      <w:bookmarkStart w:id="13" w:name="__RefHeading___Toc14865_1139806449"/>
      <w:bookmarkEnd w:id="13"/>
      <w:r>
        <w:rPr>
          <w:rFonts w:eastAsia="Segoe UI" w:cs="Segoe UI"/>
          <w:b/>
          <w:color w:val="0F4761"/>
          <w:sz w:val="26"/>
        </w:rPr>
        <w:t>5.1  Test activities by phase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37"/>
        <w:gridCol w:w="3828"/>
        <w:gridCol w:w="3349"/>
      </w:tblGrid>
      <w:tr>
        <w:trPr>
          <w:tblHeader w:val="true"/>
        </w:trPr>
        <w:tc>
          <w:tcPr>
            <w:tcW w:w="18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Implementation phase</w:t>
            </w:r>
          </w:p>
        </w:tc>
        <w:tc>
          <w:tcPr>
            <w:tcW w:w="38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Test activities</w:t>
            </w:r>
          </w:p>
        </w:tc>
        <w:tc>
          <w:tcPr>
            <w:tcW w:w="33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Plan copied and dated; testers named; test environments ordered with the environment set</w:t>
            </w:r>
          </w:p>
        </w:tc>
        <w:tc>
          <w:tcPr>
            <w:tcW w:w="3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 project managers</w:t>
            </w:r>
          </w:p>
        </w:tc>
      </w:tr>
      <w:tr>
        <w:trPr/>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Broker-specific scenarios written from the workshops; regulatory values to confirm listed (AML settings, BIR settings, IC settings, complaint deadlines); RTM filtered to the broker's scope</w:t>
            </w:r>
          </w:p>
        </w:tc>
        <w:tc>
          <w:tcPr>
            <w:tcW w:w="3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 business analyst</w:t>
            </w:r>
          </w:p>
        </w:tc>
      </w:tr>
      <w:tr>
        <w:trPr/>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set-up</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Smoke test on each environment; CI run of the release tag green; environment names checked</w:t>
            </w:r>
          </w:p>
        </w:tc>
        <w:tc>
          <w:tcPr>
            <w:tcW w:w="3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 lead</w:t>
            </w:r>
          </w:p>
        </w:tc>
      </w:tr>
      <w:tr>
        <w:trPr/>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quotation premiums and taxes against manual calculations; environment comparison after each promotion</w:t>
            </w:r>
          </w:p>
        </w:tc>
        <w:tc>
          <w:tcPr>
            <w:tcW w:w="3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Consultants, QA</w:t>
            </w:r>
          </w:p>
        </w:tc>
      </w:tr>
      <w:tr>
        <w:trPr/>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Validation and reconciliation of each mock load; errors workbooks</w:t>
            </w:r>
          </w:p>
        </w:tc>
        <w:tc>
          <w:tcPr>
            <w:tcW w:w="3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 broker data owner</w:t>
            </w:r>
          </w:p>
        </w:tc>
      </w:tr>
      <w:tr>
        <w:trPr/>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integration test</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cycles 1 and 2</w:t>
            </w:r>
          </w:p>
        </w:tc>
        <w:tc>
          <w:tcPr>
            <w:tcW w:w="3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 and testers</w:t>
            </w:r>
          </w:p>
        </w:tc>
      </w:tr>
      <w:tr>
        <w:trPr/>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on UAT environment; UAT scripts used as exercises</w:t>
            </w:r>
          </w:p>
        </w:tc>
        <w:tc>
          <w:tcPr>
            <w:tcW w:w="3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Trainers, key users</w:t>
            </w:r>
          </w:p>
        </w:tc>
      </w:tr>
      <w:tr>
        <w:trPr/>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acceptance test</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cycles 1 and 2, regression on the fixes, sign-off</w:t>
            </w:r>
          </w:p>
        </w:tc>
        <w:tc>
          <w:tcPr>
            <w:tcW w:w="3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users, QA support</w:t>
            </w:r>
          </w:p>
        </w:tc>
      </w:tr>
      <w:tr>
        <w:trPr/>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rehearsal in Pre-Prod; cutover verification in Production</w:t>
            </w:r>
          </w:p>
        </w:tc>
        <w:tc>
          <w:tcPr>
            <w:tcW w:w="3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 DevOps, Accounting Manager</w:t>
            </w:r>
          </w:p>
        </w:tc>
      </w:tr>
      <w:tr>
        <w:trPr/>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then weekly checks; first month-end close; hypercare exit</w:t>
            </w:r>
          </w:p>
        </w:tc>
        <w:tc>
          <w:tcPr>
            <w:tcW w:w="3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team, key users</w:t>
            </w:r>
          </w:p>
        </w:tc>
      </w:tr>
    </w:tbl>
    <w:p>
      <w:pPr>
        <w:pStyle w:val="Normal"/>
        <w:spacing w:before="0" w:after="80"/>
        <w:rPr/>
      </w:pPr>
      <w:r>
        <w:rPr/>
      </w:r>
    </w:p>
    <w:p>
      <w:pPr>
        <w:pStyle w:val="Heading2"/>
        <w:rPr/>
      </w:pPr>
      <w:bookmarkStart w:id="14" w:name="__RefHeading___Toc14867_1139806449"/>
      <w:bookmarkEnd w:id="14"/>
      <w:r>
        <w:rPr>
          <w:rFonts w:eastAsia="Segoe UI" w:cs="Segoe UI"/>
          <w:b/>
          <w:color w:val="0F4761"/>
          <w:sz w:val="26"/>
        </w:rPr>
        <w:t>5.2  Test cycles</w:t>
      </w:r>
    </w:p>
    <w:p>
      <w:pPr>
        <w:pStyle w:val="Normal"/>
        <w:jc w:val="center"/>
        <w:rPr/>
      </w:pPr>
      <w:r>
        <w:rPr/>
        <w:drawing>
          <wp:inline distT="0" distB="0" distL="0" distR="0">
            <wp:extent cx="5760085" cy="777875"/>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777875"/>
                    </a:xfrm>
                    <a:prstGeom prst="rect">
                      <a:avLst/>
                    </a:prstGeom>
                  </pic:spPr>
                </pic:pic>
              </a:graphicData>
            </a:graphic>
          </wp:inline>
        </w:drawing>
      </w:r>
    </w:p>
    <w:p>
      <w:pPr>
        <w:pStyle w:val="Normal"/>
        <w:jc w:val="center"/>
        <w:rPr/>
      </w:pPr>
      <w:r>
        <w:rPr>
          <w:rFonts w:eastAsia="Segoe UI" w:cs="Segoe UI" w:ascii="Segoe UI" w:hAnsi="Segoe UI"/>
          <w:i/>
          <w:color w:val="555F6D"/>
          <w:sz w:val="18"/>
        </w:rPr>
        <w:t>Test cycles from SIT to hypercare</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27"/>
        <w:gridCol w:w="1753"/>
        <w:gridCol w:w="2357"/>
        <w:gridCol w:w="2358"/>
        <w:gridCol w:w="1221"/>
      </w:tblGrid>
      <w:tr>
        <w:trPr>
          <w:tblHeader w:val="true"/>
        </w:trPr>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Cycle</w:t>
            </w:r>
          </w:p>
        </w:tc>
        <w:tc>
          <w:tcPr>
            <w:tcW w:w="17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Environment</w:t>
            </w:r>
          </w:p>
        </w:tc>
        <w:tc>
          <w:tcPr>
            <w:tcW w:w="23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Data</w:t>
            </w:r>
          </w:p>
        </w:tc>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Content</w:t>
            </w:r>
          </w:p>
        </w:tc>
        <w:tc>
          <w:tcPr>
            <w:tcW w:w="12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Duration</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cycle 1</w:t>
            </w:r>
          </w:p>
        </w:tc>
        <w:tc>
          <w:tcPr>
            <w:tcW w:w="1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(small, medium) or SIT (large)</w:t>
            </w:r>
          </w:p>
        </w:tc>
        <w:tc>
          <w:tcPr>
            <w:tcW w:w="23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Synthetic data from </w:t>
            </w:r>
            <w:r>
              <w:rPr>
                <w:rFonts w:eastAsia="Consolas" w:cs="Consolas" w:ascii="Consolas" w:hAnsi="Consolas"/>
                <w:color w:val="101820"/>
                <w:kern w:val="0"/>
                <w:sz w:val="14"/>
                <w:szCs w:val="24"/>
                <w:lang w:val="en-US" w:eastAsia="ja-JP" w:bidi="ar-SA"/>
              </w:rPr>
              <w:t>uat-scenario.js</w:t>
            </w:r>
            <w:r>
              <w:rPr>
                <w:rFonts w:eastAsia="Segoe UI" w:cs="Segoe UI" w:ascii="Segoe UI" w:hAnsi="Segoe UI"/>
                <w:color w:val="101820"/>
                <w:kern w:val="0"/>
                <w:sz w:val="16"/>
                <w:szCs w:val="24"/>
                <w:lang w:val="en-US" w:eastAsia="ja-JP" w:bidi="ar-SA"/>
              </w:rPr>
              <w:t>; the broker's configuration</w:t>
            </w:r>
          </w:p>
        </w:tc>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scenario on the configured system; life-cycle plan; test cases of every in-scope module; screen check per role</w:t>
            </w:r>
          </w:p>
        </w:tc>
        <w:tc>
          <w:tcPr>
            <w:tcW w:w="1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week</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cycle 2</w:t>
            </w:r>
          </w:p>
        </w:tc>
        <w:tc>
          <w:tcPr>
            <w:tcW w:w="1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w:t>
            </w:r>
          </w:p>
        </w:tc>
        <w:tc>
          <w:tcPr>
            <w:tcW w:w="23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cycle 1; for a large broker the migrated data of mock load 2</w:t>
            </w:r>
          </w:p>
        </w:tc>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Re-test of cycle 1 defects; broker-specific scenarios; full UAT scenario again; SIT exit report</w:t>
            </w:r>
          </w:p>
        </w:tc>
        <w:tc>
          <w:tcPr>
            <w:tcW w:w="1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week</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cycle 1</w:t>
            </w:r>
          </w:p>
        </w:tc>
        <w:tc>
          <w:tcPr>
            <w:tcW w:w="1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w:t>
            </w:r>
          </w:p>
        </w:tc>
        <w:tc>
          <w:tcPr>
            <w:tcW w:w="23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broker's configuration and the latest mock load</w:t>
            </w:r>
          </w:p>
        </w:tc>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scripts of every role, broker scenarios</w:t>
            </w:r>
          </w:p>
        </w:tc>
        <w:tc>
          <w:tcPr>
            <w:tcW w:w="1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week</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cycle 2</w:t>
            </w:r>
          </w:p>
        </w:tc>
        <w:tc>
          <w:tcPr>
            <w:tcW w:w="1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w:t>
            </w:r>
          </w:p>
        </w:tc>
        <w:tc>
          <w:tcPr>
            <w:tcW w:w="23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cycle 1, after fixes and the next mock load</w:t>
            </w:r>
          </w:p>
        </w:tc>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Re-test of cycle 1 defects; scripts that failed or were not run; sign-off</w:t>
            </w:r>
          </w:p>
        </w:tc>
        <w:tc>
          <w:tcPr>
            <w:tcW w:w="1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week</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Regression</w:t>
            </w:r>
          </w:p>
        </w:tc>
        <w:tc>
          <w:tcPr>
            <w:tcW w:w="1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CI, then UAT</w:t>
            </w:r>
          </w:p>
        </w:tc>
        <w:tc>
          <w:tcPr>
            <w:tcW w:w="23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Automated suites; UAT scenario</w:t>
            </w:r>
          </w:p>
        </w:tc>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Full backend and front-end suites on the release tag; UAT scenario on the tag deployed to UAT; re-test of every fixed defect</w:t>
            </w:r>
          </w:p>
        </w:tc>
        <w:tc>
          <w:tcPr>
            <w:tcW w:w="1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With each fix deployment</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rehearsal</w:t>
            </w:r>
          </w:p>
        </w:tc>
        <w:tc>
          <w:tcPr>
            <w:tcW w:w="1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Pre-Prod (restored from Production)</w:t>
            </w:r>
          </w:p>
        </w:tc>
        <w:tc>
          <w:tcPr>
            <w:tcW w:w="23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Fresh extract (last mock load)</w:t>
            </w:r>
          </w:p>
        </w:tc>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npm run rehearsal:golive</w:t>
            </w:r>
            <w:r>
              <w:rPr>
                <w:rFonts w:eastAsia="Segoe UI" w:cs="Segoe UI" w:ascii="Segoe UI" w:hAnsi="Segoe UI"/>
                <w:color w:val="101820"/>
                <w:kern w:val="0"/>
                <w:sz w:val="16"/>
                <w:szCs w:val="24"/>
                <w:lang w:val="en-US" w:eastAsia="ja-JP" w:bidi="ar-SA"/>
              </w:rPr>
              <w:t>; environment comparison UAT against Pre-Prod; masking verification if testers without production access take part; cutover timings</w:t>
            </w:r>
          </w:p>
        </w:tc>
        <w:tc>
          <w:tcPr>
            <w:tcW w:w="1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to 3 days</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Cutover verification</w:t>
            </w:r>
          </w:p>
        </w:tc>
        <w:tc>
          <w:tcPr>
            <w:tcW w:w="1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w:t>
            </w:r>
          </w:p>
        </w:tc>
        <w:tc>
          <w:tcPr>
            <w:tcW w:w="23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Final extract</w:t>
            </w:r>
          </w:p>
        </w:tc>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Reconciliation of counts and totals; trial balance and receivables control account; go-live lock; smoke test (client, quotation, policy, receipt)</w:t>
            </w:r>
          </w:p>
        </w:tc>
        <w:tc>
          <w:tcPr>
            <w:tcW w:w="1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Cutover weekend</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w:t>
            </w:r>
          </w:p>
        </w:tc>
        <w:tc>
          <w:tcPr>
            <w:tcW w:w="1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w:t>
            </w:r>
          </w:p>
        </w:tc>
        <w:tc>
          <w:tcPr>
            <w:tcW w:w="23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Live business</w:t>
            </w:r>
          </w:p>
        </w:tc>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First receipts, remittances, bank imports, scheduled jobs, first month-end close, BIR working papers of the first month</w:t>
            </w:r>
          </w:p>
        </w:tc>
        <w:tc>
          <w:tcPr>
            <w:tcW w:w="1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to 6 weeks by size</w:t>
            </w:r>
          </w:p>
        </w:tc>
      </w:tr>
    </w:tbl>
    <w:p>
      <w:pPr>
        <w:pStyle w:val="Normal"/>
        <w:spacing w:before="0" w:after="80"/>
        <w:rPr/>
      </w:pPr>
      <w:r>
        <w:rPr/>
      </w:r>
    </w:p>
    <w:p>
      <w:pPr>
        <w:pStyle w:val="Heading2"/>
        <w:rPr/>
      </w:pPr>
      <w:bookmarkStart w:id="15" w:name="__RefHeading___Toc14869_1139806449"/>
      <w:bookmarkEnd w:id="15"/>
      <w:r>
        <w:rPr>
          <w:rFonts w:eastAsia="Segoe UI" w:cs="Segoe UI"/>
          <w:b/>
          <w:color w:val="0F4761"/>
          <w:sz w:val="26"/>
        </w:rPr>
        <w:t>5.3  Calendar by broker size</w:t>
      </w:r>
    </w:p>
    <w:p>
      <w:pPr>
        <w:pStyle w:val="Normal"/>
        <w:spacing w:lineRule="auto" w:line="276" w:before="0" w:after="120"/>
        <w:rPr/>
      </w:pPr>
      <w:r>
        <w:rPr>
          <w:rFonts w:eastAsia="Segoe UI" w:cs="Segoe UI" w:ascii="Segoe UI" w:hAnsi="Segoe UI"/>
          <w:color w:val="101820"/>
          <w:sz w:val="21"/>
        </w:rPr>
        <w:t>The weeks follow the timelines of the Implementation Approach and Plan.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66"/>
        <w:gridCol w:w="2025"/>
        <w:gridCol w:w="2208"/>
        <w:gridCol w:w="2115"/>
      </w:tblGrid>
      <w:tr>
        <w:trPr>
          <w:tblHeader w:val="true"/>
        </w:trPr>
        <w:tc>
          <w:tcPr>
            <w:tcW w:w="26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Cycle</w:t>
            </w:r>
          </w:p>
        </w:tc>
        <w:tc>
          <w:tcPr>
            <w:tcW w:w="20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Small broker (8 weeks)</w:t>
            </w:r>
          </w:p>
        </w:tc>
        <w:tc>
          <w:tcPr>
            <w:tcW w:w="22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Medium broker (12 weeks)</w:t>
            </w:r>
          </w:p>
        </w:tc>
        <w:tc>
          <w:tcPr>
            <w:tcW w:w="21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Large broker (20 weeks)</w:t>
            </w:r>
          </w:p>
        </w:tc>
      </w:tr>
      <w:tr>
        <w:trPr/>
        <w:tc>
          <w:tcPr>
            <w:tcW w:w="2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values to confirm</w:t>
            </w:r>
          </w:p>
        </w:tc>
        <w:tc>
          <w:tcPr>
            <w:tcW w:w="2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2</w:t>
            </w:r>
          </w:p>
        </w:tc>
        <w:tc>
          <w:tcPr>
            <w:tcW w:w="22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3</w:t>
            </w:r>
          </w:p>
        </w:tc>
        <w:tc>
          <w:tcPr>
            <w:tcW w:w="21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4 to 5</w:t>
            </w:r>
          </w:p>
        </w:tc>
      </w:tr>
      <w:tr>
        <w:trPr/>
        <w:tc>
          <w:tcPr>
            <w:tcW w:w="2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cycle 1</w:t>
            </w:r>
          </w:p>
        </w:tc>
        <w:tc>
          <w:tcPr>
            <w:tcW w:w="2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4 (in Dev)</w:t>
            </w:r>
          </w:p>
        </w:tc>
        <w:tc>
          <w:tcPr>
            <w:tcW w:w="22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6 (in Dev)</w:t>
            </w:r>
          </w:p>
        </w:tc>
        <w:tc>
          <w:tcPr>
            <w:tcW w:w="21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9 (in SIT)</w:t>
            </w:r>
          </w:p>
        </w:tc>
      </w:tr>
      <w:tr>
        <w:trPr/>
        <w:tc>
          <w:tcPr>
            <w:tcW w:w="2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cycle 2 and exit</w:t>
            </w:r>
          </w:p>
        </w:tc>
        <w:tc>
          <w:tcPr>
            <w:tcW w:w="2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4 (in Dev)</w:t>
            </w:r>
          </w:p>
        </w:tc>
        <w:tc>
          <w:tcPr>
            <w:tcW w:w="22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7 (in Dev)</w:t>
            </w:r>
          </w:p>
        </w:tc>
        <w:tc>
          <w:tcPr>
            <w:tcW w:w="21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10 to 11 (in SIT)</w:t>
            </w:r>
          </w:p>
        </w:tc>
      </w:tr>
      <w:tr>
        <w:trPr/>
        <w:tc>
          <w:tcPr>
            <w:tcW w:w="2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1</w:t>
            </w:r>
          </w:p>
        </w:tc>
        <w:tc>
          <w:tcPr>
            <w:tcW w:w="2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5</w:t>
            </w:r>
          </w:p>
        </w:tc>
        <w:tc>
          <w:tcPr>
            <w:tcW w:w="22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8</w:t>
            </w:r>
          </w:p>
        </w:tc>
        <w:tc>
          <w:tcPr>
            <w:tcW w:w="21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12</w:t>
            </w:r>
          </w:p>
        </w:tc>
      </w:tr>
      <w:tr>
        <w:trPr/>
        <w:tc>
          <w:tcPr>
            <w:tcW w:w="2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2 and sign-off</w:t>
            </w:r>
          </w:p>
        </w:tc>
        <w:tc>
          <w:tcPr>
            <w:tcW w:w="2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6</w:t>
            </w:r>
          </w:p>
        </w:tc>
        <w:tc>
          <w:tcPr>
            <w:tcW w:w="22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9</w:t>
            </w:r>
          </w:p>
        </w:tc>
        <w:tc>
          <w:tcPr>
            <w:tcW w:w="21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13</w:t>
            </w:r>
          </w:p>
        </w:tc>
      </w:tr>
      <w:tr>
        <w:trPr/>
        <w:tc>
          <w:tcPr>
            <w:tcW w:w="2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rehearsal in Pre-Prod</w:t>
            </w:r>
          </w:p>
        </w:tc>
        <w:tc>
          <w:tcPr>
            <w:tcW w:w="2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6</w:t>
            </w:r>
          </w:p>
        </w:tc>
        <w:tc>
          <w:tcPr>
            <w:tcW w:w="22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9 (mock load 3)</w:t>
            </w:r>
          </w:p>
        </w:tc>
        <w:tc>
          <w:tcPr>
            <w:tcW w:w="21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14 (mock load 4)</w:t>
            </w:r>
          </w:p>
        </w:tc>
      </w:tr>
      <w:tr>
        <w:trPr/>
        <w:tc>
          <w:tcPr>
            <w:tcW w:w="2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 verification</w:t>
            </w:r>
          </w:p>
        </w:tc>
        <w:tc>
          <w:tcPr>
            <w:tcW w:w="2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week 6</w:t>
            </w:r>
          </w:p>
        </w:tc>
        <w:tc>
          <w:tcPr>
            <w:tcW w:w="22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week 9</w:t>
            </w:r>
          </w:p>
        </w:tc>
        <w:tc>
          <w:tcPr>
            <w:tcW w:w="21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week 14</w:t>
            </w:r>
          </w:p>
        </w:tc>
      </w:tr>
      <w:tr>
        <w:trPr/>
        <w:tc>
          <w:tcPr>
            <w:tcW w:w="2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2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7 to 8</w:t>
            </w:r>
          </w:p>
        </w:tc>
        <w:tc>
          <w:tcPr>
            <w:tcW w:w="22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10 to 12</w:t>
            </w:r>
          </w:p>
        </w:tc>
        <w:tc>
          <w:tcPr>
            <w:tcW w:w="21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15 to 20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For a small broker the two SIT cycles share week 4 (cycle 1 early in the week, cycle 2 after the fixes).</w:t>
      </w:r>
      <w:r>
        <w:br w:type="page"/>
      </w:r>
    </w:p>
    <w:p>
      <w:pPr>
        <w:pStyle w:val="Heading1"/>
        <w:rPr/>
      </w:pPr>
      <w:bookmarkStart w:id="16" w:name="__RefHeading___Toc14871_1139806449"/>
      <w:bookmarkEnd w:id="16"/>
      <w:r>
        <w:rPr>
          <w:rFonts w:eastAsia="Segoe UI" w:cs="Segoe UI" w:ascii="Segoe UI" w:hAnsi="Segoe UI"/>
          <w:b/>
          <w:color w:val="0F4761"/>
          <w:sz w:val="32"/>
        </w:rPr>
        <w:t>6.  Test cases and traceability</w:t>
      </w:r>
    </w:p>
    <w:p>
      <w:pPr>
        <w:pStyle w:val="Normal"/>
        <w:numPr>
          <w:ilvl w:val="0"/>
          <w:numId w:val="1"/>
        </w:numPr>
        <w:spacing w:before="0" w:after="60"/>
        <w:rPr/>
      </w:pPr>
      <w:r>
        <w:rPr>
          <w:rFonts w:eastAsia="Segoe UI" w:cs="Segoe UI" w:ascii="Segoe UI" w:hAnsi="Segoe UI"/>
          <w:color w:val="101820"/>
          <w:sz w:val="21"/>
        </w:rPr>
        <w:t>The Test Cases workbook holds the cases per module with pre-conditions, steps, test data, expected result, regulatory reference, priority and persona.</w:t>
      </w:r>
    </w:p>
    <w:p>
      <w:pPr>
        <w:pStyle w:val="Normal"/>
        <w:numPr>
          <w:ilvl w:val="0"/>
          <w:numId w:val="1"/>
        </w:numPr>
        <w:spacing w:before="0" w:after="60"/>
        <w:rPr/>
      </w:pPr>
      <w:r>
        <w:rPr>
          <w:rFonts w:eastAsia="Segoe UI" w:cs="Segoe UI" w:ascii="Segoe UI" w:hAnsi="Segoe UI"/>
          <w:color w:val="101820"/>
          <w:sz w:val="21"/>
        </w:rPr>
        <w:t>The sheet Requirements Traceability maps each process of the fit catalogue (process IDs 1.01 to 15.16 of the PH Fit and ASEAN Rollout Assessment) to its test cases and to the automated test files that cover it. A process in the broker's scope without a test case is a gap of this plan and is closed before SIT.</w:t>
      </w:r>
    </w:p>
    <w:p>
      <w:pPr>
        <w:pStyle w:val="Normal"/>
        <w:numPr>
          <w:ilvl w:val="0"/>
          <w:numId w:val="1"/>
        </w:numPr>
        <w:spacing w:before="0" w:after="60"/>
        <w:rPr/>
      </w:pPr>
      <w:r>
        <w:rPr>
          <w:rFonts w:eastAsia="Segoe UI" w:cs="Segoe UI" w:ascii="Segoe UI" w:hAnsi="Segoe UI"/>
          <w:color w:val="101820"/>
          <w:sz w:val="21"/>
        </w:rPr>
        <w:t xml:space="preserve">UAT scripts are numbered by role in </w:t>
      </w:r>
      <w:r>
        <w:rPr>
          <w:rFonts w:eastAsia="Consolas" w:cs="Consolas" w:ascii="Consolas" w:hAnsi="Consolas"/>
          <w:color w:val="101820"/>
          <w:sz w:val="19"/>
        </w:rPr>
        <w:t>docs/onboarding/UAT_SCRIPTS.md</w:t>
      </w:r>
      <w:r>
        <w:rPr>
          <w:rFonts w:eastAsia="Segoe UI" w:cs="Segoe UI" w:ascii="Segoe UI" w:hAnsi="Segoe UI"/>
          <w:color w:val="101820"/>
          <w:sz w:val="21"/>
        </w:rPr>
        <w:t>: A (System Administrator), S (Sales &amp; Marketing), P (Processing Team), O (Operations), C (Claims), F (Accounting), M (Accounting Manager), W (My Work, every role), K (Compliance Officer and the compliance registers), T (IT checks of the test environments).</w:t>
      </w:r>
    </w:p>
    <w:p>
      <w:pPr>
        <w:pStyle w:val="Normal"/>
        <w:numPr>
          <w:ilvl w:val="0"/>
          <w:numId w:val="1"/>
        </w:numPr>
        <w:spacing w:before="0" w:after="60"/>
        <w:rPr/>
      </w:pPr>
      <w:r>
        <w:rPr>
          <w:rFonts w:eastAsia="Segoe UI" w:cs="Segoe UI" w:ascii="Segoe UI" w:hAnsi="Segoe UI"/>
          <w:color w:val="101820"/>
          <w:sz w:val="21"/>
        </w:rPr>
        <w:t>Broker-specific scenarios get IDs BV-BRK-nnn and a row in the workbook copy of the project.</w:t>
      </w:r>
    </w:p>
    <w:p>
      <w:pPr>
        <w:pStyle w:val="Normal"/>
        <w:numPr>
          <w:ilvl w:val="0"/>
          <w:numId w:val="1"/>
        </w:numPr>
        <w:spacing w:before="0" w:after="60"/>
        <w:rPr/>
      </w:pPr>
      <w:r>
        <w:rPr>
          <w:rFonts w:eastAsia="Segoe UI" w:cs="Segoe UI" w:ascii="Segoe UI" w:hAnsi="Segoe UI"/>
          <w:color w:val="101820"/>
          <w:sz w:val="21"/>
        </w:rPr>
        <w:t>Priority: High cases run in every cycle; Medium in SIT cycle 1 and UAT cycle 1 and when touched by a fix; Low once.</w:t>
      </w:r>
      <w:r>
        <w:br w:type="page"/>
      </w:r>
    </w:p>
    <w:p>
      <w:pPr>
        <w:pStyle w:val="Heading1"/>
        <w:rPr/>
      </w:pPr>
      <w:bookmarkStart w:id="17" w:name="__RefHeading___Toc14873_1139806449"/>
      <w:bookmarkEnd w:id="17"/>
      <w:r>
        <w:rPr>
          <w:rFonts w:eastAsia="Segoe UI" w:cs="Segoe UI" w:ascii="Segoe UI" w:hAnsi="Segoe UI"/>
          <w:b/>
          <w:color w:val="0F4761"/>
          <w:sz w:val="32"/>
        </w:rPr>
        <w:t>7.  Deliverables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20"/>
        <w:gridCol w:w="1229"/>
        <w:gridCol w:w="2281"/>
        <w:gridCol w:w="2282"/>
      </w:tblGrid>
      <w:tr>
        <w:trPr>
          <w:tblHeader w:val="true"/>
        </w:trPr>
        <w:tc>
          <w:tcPr>
            <w:tcW w:w="32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Deliverable</w:t>
            </w:r>
          </w:p>
        </w:tc>
        <w:tc>
          <w:tcPr>
            <w:tcW w:w="12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22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c>
          <w:tcPr>
            <w:tcW w:w="228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Accepted by</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Plan (this document, filled in)</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discovery</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 project managers</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workbook for the broker (scope filtered, broker scenarios added)</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SIT cycle 1</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project manager</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Smoke test record per environment</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set-up</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 lead</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comparison workbooks</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promotion</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 lead</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reconciliation workbooks</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mock load</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report (results, defects, UAT scenario run log)</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SIT</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project manager</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results per script and defect log</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UAT cycle</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coordinator</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owners</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Certificate</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UAT</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sponsor</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 parties</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rehearsal run log and timings</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Summary Report</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go/no-go</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 verification record (final reconciliation)</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 Accounting Manager</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r>
      <w:tr>
        <w:trPr/>
        <w:tc>
          <w:tcPr>
            <w:tcW w:w="32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 and exit</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hypercare</w:t>
            </w:r>
          </w:p>
        </w:tc>
        <w:tc>
          <w:tcPr>
            <w:tcW w:w="22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22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sponsor, production support</w:t>
            </w:r>
          </w:p>
        </w:tc>
      </w:tr>
    </w:tbl>
    <w:p>
      <w:pPr>
        <w:pStyle w:val="Heading1"/>
        <w:rPr/>
      </w:pPr>
      <w:r>
        <w:br w:type="page"/>
      </w:r>
      <w:bookmarkStart w:id="18" w:name="__RefHeading___Toc14875_1139806449"/>
      <w:bookmarkEnd w:id="18"/>
      <w:r>
        <w:rPr>
          <w:rFonts w:eastAsia="Segoe UI" w:cs="Segoe UI" w:ascii="Segoe UI" w:hAnsi="Segoe UI"/>
          <w:b/>
          <w:color w:val="0F4761"/>
          <w:sz w:val="32"/>
        </w:rPr>
        <w:t>8.  Resourcing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9"/>
        <w:gridCol w:w="907"/>
        <w:gridCol w:w="907"/>
        <w:gridCol w:w="1464"/>
        <w:gridCol w:w="3038"/>
      </w:tblGrid>
      <w:tr>
        <w:trPr>
          <w:tblHeader w:val="true"/>
        </w:trPr>
        <w:tc>
          <w:tcPr>
            <w:tcW w:w="26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Role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w:t>
            </w:r>
          </w:p>
        </w:tc>
        <w:tc>
          <w:tcPr>
            <w:tcW w:w="14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w:t>
            </w:r>
          </w:p>
        </w:tc>
        <w:tc>
          <w:tcPr>
            <w:tcW w:w="30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Notes</w:t>
            </w:r>
          </w:p>
        </w:tc>
      </w:tr>
      <w:tr>
        <w:trPr/>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QA lead (iorta TechNXT)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0.5</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0.5</w:t>
            </w:r>
          </w:p>
        </w:tc>
        <w:tc>
          <w:tcPr>
            <w:tcW w:w="14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3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From discovery to hypercare exit</w:t>
            </w:r>
          </w:p>
        </w:tc>
      </w:tr>
      <w:tr>
        <w:trPr/>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Testers (iorta TechNXT)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4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3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and UAT support</w:t>
            </w:r>
          </w:p>
        </w:tc>
      </w:tr>
      <w:tr>
        <w:trPr/>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DevOps lead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0.25</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0.25</w:t>
            </w:r>
          </w:p>
        </w:tc>
        <w:tc>
          <w:tcPr>
            <w:tcW w:w="14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0.5</w:t>
            </w:r>
          </w:p>
        </w:tc>
        <w:tc>
          <w:tcPr>
            <w:tcW w:w="3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Environments, pipeline, comparison, masking, rehearsal</w:t>
            </w:r>
          </w:p>
        </w:tc>
      </w:tr>
      <w:tr>
        <w:trPr/>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Migration lead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0.5</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0.5</w:t>
            </w:r>
          </w:p>
        </w:tc>
        <w:tc>
          <w:tcPr>
            <w:tcW w:w="14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3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loads, rehearsal, cutover</w:t>
            </w:r>
          </w:p>
        </w:tc>
      </w:tr>
      <w:tr>
        <w:trPr/>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key users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per team</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per team</w:t>
            </w:r>
          </w:p>
        </w:tc>
        <w:tc>
          <w:tcPr>
            <w:tcW w:w="14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per team per region</w:t>
            </w:r>
          </w:p>
        </w:tc>
        <w:tc>
          <w:tcPr>
            <w:tcW w:w="3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At least 50% during UAT (SOW)</w:t>
            </w:r>
          </w:p>
        </w:tc>
      </w:tr>
      <w:tr>
        <w:trPr/>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Accounting Manager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 time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 time</w:t>
            </w:r>
          </w:p>
        </w:tc>
        <w:tc>
          <w:tcPr>
            <w:tcW w:w="14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 time</w:t>
            </w:r>
          </w:p>
        </w:tc>
        <w:tc>
          <w:tcPr>
            <w:tcW w:w="3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tax, reconciliations</w:t>
            </w:r>
          </w:p>
        </w:tc>
      </w:tr>
      <w:tr>
        <w:trPr/>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compliance officer, DPO, tax adviser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needed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needed</w:t>
            </w:r>
          </w:p>
        </w:tc>
        <w:tc>
          <w:tcPr>
            <w:tcW w:w="14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needed</w:t>
            </w:r>
          </w:p>
        </w:tc>
        <w:tc>
          <w:tcPr>
            <w:tcW w:w="3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Confirm regulatory values and outputs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Figures are full-time equivalents during the test phases and are recommendations to confirm in the project plan.</w:t>
      </w:r>
      <w:r>
        <w:br w:type="page"/>
      </w:r>
    </w:p>
    <w:p>
      <w:pPr>
        <w:pStyle w:val="Heading1"/>
        <w:rPr/>
      </w:pPr>
      <w:bookmarkStart w:id="19" w:name="__RefHeading___Toc14877_1139806449"/>
      <w:bookmarkEnd w:id="19"/>
      <w:r>
        <w:rPr>
          <w:rFonts w:eastAsia="Segoe UI" w:cs="Segoe UI" w:ascii="Segoe UI" w:hAnsi="Segoe UI"/>
          <w:b/>
          <w:color w:val="0F4761"/>
          <w:sz w:val="32"/>
        </w:rPr>
        <w:t>9.  Suspension and resumption</w:t>
      </w:r>
    </w:p>
    <w:p>
      <w:pPr>
        <w:pStyle w:val="Heading2"/>
        <w:rPr/>
      </w:pPr>
      <w:bookmarkStart w:id="20" w:name="__RefHeading___Toc14879_1139806449"/>
      <w:bookmarkEnd w:id="20"/>
      <w:r>
        <w:rPr>
          <w:rFonts w:eastAsia="Segoe UI" w:cs="Segoe UI"/>
          <w:b/>
          <w:color w:val="0F4761"/>
          <w:sz w:val="26"/>
        </w:rPr>
        <w:t>9.1  Suspension criteria</w:t>
      </w:r>
    </w:p>
    <w:p>
      <w:pPr>
        <w:pStyle w:val="Normal"/>
        <w:spacing w:lineRule="auto" w:line="276" w:before="0" w:after="120"/>
        <w:rPr/>
      </w:pPr>
      <w:r>
        <w:rPr>
          <w:rFonts w:eastAsia="Segoe UI" w:cs="Segoe UI" w:ascii="Segoe UI" w:hAnsi="Segoe UI"/>
          <w:color w:val="101820"/>
          <w:sz w:val="21"/>
        </w:rPr>
        <w:t>Testing of a cycle is suspended, by the QA lead with the broker's project manager, when:</w:t>
      </w:r>
    </w:p>
    <w:p>
      <w:pPr>
        <w:pStyle w:val="Normal"/>
        <w:numPr>
          <w:ilvl w:val="0"/>
          <w:numId w:val="4"/>
        </w:numPr>
        <w:spacing w:before="0" w:after="60"/>
        <w:rPr/>
      </w:pPr>
      <w:r>
        <w:rPr>
          <w:rFonts w:eastAsia="Segoe UI" w:cs="Segoe UI" w:ascii="Segoe UI" w:hAnsi="Segoe UI"/>
          <w:color w:val="101820"/>
          <w:sz w:val="21"/>
        </w:rPr>
        <w:t>The environment is unavailable for more than 4 working hours, or the deployed build is not the planned tag.</w:t>
      </w:r>
    </w:p>
    <w:p>
      <w:pPr>
        <w:pStyle w:val="Normal"/>
        <w:numPr>
          <w:ilvl w:val="0"/>
          <w:numId w:val="2"/>
        </w:numPr>
        <w:spacing w:before="0" w:after="60"/>
        <w:rPr/>
      </w:pPr>
      <w:r>
        <w:rPr>
          <w:rFonts w:eastAsia="Segoe UI" w:cs="Segoe UI" w:ascii="Segoe UI" w:hAnsi="Segoe UI"/>
          <w:color w:val="101820"/>
          <w:sz w:val="21"/>
        </w:rPr>
        <w:t>A severity 1 defect blocks a core flow (sign-in, quotation to policy, receipt, remittance, journal posting, month-end close).</w:t>
      </w:r>
    </w:p>
    <w:p>
      <w:pPr>
        <w:pStyle w:val="Normal"/>
        <w:numPr>
          <w:ilvl w:val="0"/>
          <w:numId w:val="2"/>
        </w:numPr>
        <w:spacing w:before="0" w:after="60"/>
        <w:rPr/>
      </w:pPr>
      <w:r>
        <w:rPr>
          <w:rFonts w:eastAsia="Segoe UI" w:cs="Segoe UI" w:ascii="Segoe UI" w:hAnsi="Segoe UI"/>
          <w:color w:val="101820"/>
          <w:sz w:val="21"/>
        </w:rPr>
        <w:t>More than 20% of the cases run in a day fail for the same cause (configuration, data or build).</w:t>
      </w:r>
    </w:p>
    <w:p>
      <w:pPr>
        <w:pStyle w:val="Normal"/>
        <w:numPr>
          <w:ilvl w:val="0"/>
          <w:numId w:val="2"/>
        </w:numPr>
        <w:spacing w:before="0" w:after="60"/>
        <w:rPr/>
      </w:pPr>
      <w:r>
        <w:rPr>
          <w:rFonts w:eastAsia="Segoe UI" w:cs="Segoe UI" w:ascii="Segoe UI" w:hAnsi="Segoe UI"/>
          <w:color w:val="101820"/>
          <w:sz w:val="21"/>
        </w:rPr>
        <w:t>The mock load used by the cycle does not reconcile.</w:t>
      </w:r>
    </w:p>
    <w:p>
      <w:pPr>
        <w:pStyle w:val="Normal"/>
        <w:numPr>
          <w:ilvl w:val="0"/>
          <w:numId w:val="2"/>
        </w:numPr>
        <w:spacing w:before="0" w:after="60"/>
        <w:rPr/>
      </w:pPr>
      <w:r>
        <w:rPr>
          <w:rFonts w:eastAsia="Segoe UI" w:cs="Segoe UI" w:ascii="Segoe UI" w:hAnsi="Segoe UI"/>
          <w:color w:val="101820"/>
          <w:sz w:val="21"/>
        </w:rPr>
        <w:t>Personal data is found unmasked in an environment where testers without production access work: work stops at once and the incident is logged in the breach register.</w:t>
      </w:r>
    </w:p>
    <w:p>
      <w:pPr>
        <w:pStyle w:val="Heading2"/>
        <w:rPr/>
      </w:pPr>
      <w:bookmarkStart w:id="21" w:name="__RefHeading___Toc14881_1139806449"/>
      <w:bookmarkEnd w:id="21"/>
      <w:r>
        <w:rPr>
          <w:rFonts w:eastAsia="Segoe UI" w:cs="Segoe UI"/>
          <w:b/>
          <w:color w:val="0F4761"/>
          <w:sz w:val="26"/>
        </w:rPr>
        <w:t>9.2  Resumption criteria</w:t>
      </w:r>
    </w:p>
    <w:p>
      <w:pPr>
        <w:pStyle w:val="Normal"/>
        <w:spacing w:lineRule="auto" w:line="276" w:before="0" w:after="120"/>
        <w:rPr/>
      </w:pPr>
      <w:r>
        <w:rPr>
          <w:rFonts w:eastAsia="Segoe UI" w:cs="Segoe UI" w:ascii="Segoe UI" w:hAnsi="Segoe UI"/>
          <w:color w:val="101820"/>
          <w:sz w:val="21"/>
        </w:rPr>
        <w:t>Testing resumes when the cause is removed and confirmed: the environment is back with the planned tag and its smoke test passed; the blocking defect is fixed, deployed and re-tested; the configuration or data is corrected and compared again; or, for personal data, the copy is masked and the verification scan ends with exit code 0. Cases run during the suspended period are run again.</w:t>
      </w:r>
      <w:r>
        <w:br w:type="page"/>
      </w:r>
    </w:p>
    <w:p>
      <w:pPr>
        <w:pStyle w:val="Heading1"/>
        <w:rPr/>
      </w:pPr>
      <w:bookmarkStart w:id="22" w:name="__RefHeading___Toc14883_1139806449"/>
      <w:bookmarkEnd w:id="22"/>
      <w:r>
        <w:rPr>
          <w:rFonts w:eastAsia="Segoe UI" w:cs="Segoe UI" w:ascii="Segoe UI" w:hAnsi="Segoe UI"/>
          <w:b/>
          <w:color w:val="0F4761"/>
          <w:sz w:val="32"/>
        </w:rPr>
        <w:t>10.  Sign-off</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23"/>
        <w:gridCol w:w="3794"/>
        <w:gridCol w:w="3796"/>
      </w:tblGrid>
      <w:tr>
        <w:trPr>
          <w:tblHeader w:val="true"/>
        </w:trPr>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Gate</w:t>
            </w:r>
          </w:p>
        </w:tc>
        <w:tc>
          <w:tcPr>
            <w:tcW w:w="37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Criteria (Test Strategy)</w:t>
            </w:r>
          </w:p>
        </w:tc>
        <w:tc>
          <w:tcPr>
            <w:tcW w:w="37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Signed by</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w:t>
            </w:r>
          </w:p>
        </w:tc>
        <w:tc>
          <w:tcPr>
            <w:tcW w:w="3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end-to-end flows passed; no open severity 1 or 2 defect</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lead; broker project manager</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w:t>
            </w:r>
          </w:p>
        </w:tc>
        <w:tc>
          <w:tcPr>
            <w:tcW w:w="3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UAT scripts passed or accepted with a workaround; no open severity 1 or 2 defect; severity 3 and 4 items listed</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process owner and the broker sponsor (UAT Sign-off Certificate)</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 accepted</w:t>
            </w:r>
          </w:p>
        </w:tc>
        <w:tc>
          <w:tcPr>
            <w:tcW w:w="3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rehearsal checks passed; reconciliation agreed; comparison shows environment-specific differences only</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 broker Accounting Manager</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 decision</w:t>
            </w:r>
          </w:p>
        </w:tc>
        <w:tc>
          <w:tcPr>
            <w:tcW w:w="3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Go/no-go criteria of the Data Migration and Cutover Plan</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acceptance</w:t>
            </w:r>
          </w:p>
        </w:tc>
        <w:tc>
          <w:tcPr>
            <w:tcW w:w="3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transacting; first receipts, remittances and bank imports processed</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sponsor (Go-Live Acceptance Certificate)</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w:t>
            </w:r>
          </w:p>
        </w:tc>
        <w:tc>
          <w:tcPr>
            <w:tcW w:w="3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severity 1 or 2 issue; first close completed; handover accepted</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sponsor; production support (Hypercare Exit and Handover Certificate)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23" w:name="__RefHeading___Toc14885_1139806449"/>
      <w:bookmarkStart w:id="24" w:name="_Toc233203395"/>
      <w:bookmarkEnd w:id="23"/>
      <w:r>
        <w:rPr>
          <w:rStyle w:val="BookTitle"/>
          <w:bCs w:val="false"/>
          <w:i w:val="false"/>
          <w:iCs w:val="false"/>
          <w:spacing w:val="0"/>
        </w:rPr>
        <w:t>11.  Document Sign-Off</w:t>
      </w:r>
      <w:bookmarkEnd w:id="2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Broker-specific scenarios, test dates and named testers are filled in at the end of discovery</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project manager and broker project manager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0">
            <wp:simplePos x="0" y="0"/>
            <wp:positionH relativeFrom="margin">
              <wp:align>center</wp:align>
            </wp:positionH>
            <wp:positionV relativeFrom="margin">
              <wp:align>center</wp:align>
            </wp:positionV>
            <wp:extent cx="7548245" cy="10677525"/>
            <wp:effectExtent l="0" t="0" r="0" b="0"/>
            <wp:wrapNone/>
            <wp:docPr id="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
                    <pic:cNvPicPr>
                      <a:picLocks noChangeAspect="1" noChangeArrowheads="1"/>
                    </pic:cNvPicPr>
                  </pic:nvPicPr>
                  <pic:blipFill>
                    <a:blip r:embed="rId5"/>
                    <a:stretch>
                      <a:fillRect/>
                    </a:stretch>
                  </pic:blipFill>
                  <pic:spPr bwMode="auto">
                    <a:xfrm>
                      <a:off x="0" y="0"/>
                      <a:ext cx="7548245" cy="10677525"/>
                    </a:xfrm>
                    <a:prstGeom prst="rect">
                      <a:avLst/>
                    </a:prstGeom>
                  </pic:spPr>
                </pic:pic>
              </a:graphicData>
            </a:graphic>
          </wp:anchor>
        </w:drawing>
      </w:r>
    </w:p>
    <w:sectPr>
      <w:footerReference w:type="default" r:id="rId6"/>
      <w:footerReference w:type="first" r:id="rId7"/>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8">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8">
          <wp:simplePos x="0" y="0"/>
          <wp:positionH relativeFrom="page">
            <wp:align>left</wp:align>
          </wp:positionH>
          <wp:positionV relativeFrom="paragraph">
            <wp:posOffset>-708025</wp:posOffset>
          </wp:positionV>
          <wp:extent cx="8778240" cy="885190"/>
          <wp:effectExtent l="0" t="0" r="0" b="0"/>
          <wp:wrapNone/>
          <wp:docPr id="11"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5.png"/>
</Relationships>
</file>

<file path=word/_rels/footer2.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2026-10-04T09:05:25Z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