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7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8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8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0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2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4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6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audience and lifecycle stage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audience and lifecycle stage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146_207083567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48_207083567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50_207083567">
            <w:r>
              <w:rPr>
                <w:webHidden/>
                <w:rStyle w:val="IndexLink"/>
              </w:rPr>
              <w:t>3. How to use this index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52_207083567">
            <w:r>
              <w:rPr>
                <w:webHidden/>
                <w:rStyle w:val="IndexLink"/>
              </w:rPr>
              <w:t>4. Index by audience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54_207083567">
            <w:r>
              <w:rPr>
                <w:webHidden/>
                <w:rStyle w:val="IndexLink"/>
              </w:rPr>
              <w:t>5. Index by lifecycle stage</w:t>
              <w:tab/>
              <w:t>6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56_207083567">
            <w:r>
              <w:rPr>
                <w:webHidden/>
                <w:rStyle w:val="IndexLink"/>
              </w:rPr>
              <w:t>6. File list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58_207083567">
            <w:r>
              <w:rPr>
                <w:webHidden/>
                <w:rStyle w:val="IndexLink"/>
              </w:rPr>
              <w:t>6.1 Sales and pre-sales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60_207083567">
            <w:r>
              <w:rPr>
                <w:webHidden/>
                <w:rStyle w:val="IndexLink"/>
              </w:rPr>
              <w:t>6.2 Contracting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62_207083567">
            <w:r>
              <w:rPr>
                <w:webHidden/>
                <w:rStyle w:val="IndexLink"/>
              </w:rPr>
              <w:t>6.3 Implementation and go-live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64_207083567">
            <w:r>
              <w:rPr>
                <w:webHidden/>
                <w:rStyle w:val="IndexLink"/>
              </w:rPr>
              <w:t>6.4 Development and support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66_207083567">
            <w:r>
              <w:rPr>
                <w:webHidden/>
                <w:rStyle w:val="IndexLink"/>
              </w:rPr>
              <w:t>7. INTERNAL documents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68_207083567">
            <w:r>
              <w:rPr>
                <w:webHidden/>
                <w:rStyle w:val="IndexLink"/>
              </w:rPr>
              <w:t>8. Building the documents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170_207083567">
            <w:r>
              <w:rPr>
                <w:webHidden/>
                <w:rStyle w:val="IndexLink"/>
                <w:i w:val="false"/>
                <w:iCs w:val="false"/>
              </w:rPr>
              <w:t>9. Document Sign-Off</w:t>
            </w:r>
            <w:r>
              <w:rPr>
                <w:rStyle w:val="IndexLink"/>
              </w:rPr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3146_207083567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3148_207083567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protection officer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NDA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Non-disclosure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Privacy impact assessment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RAID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RACI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Responsible, Accountable, Consulted, Informed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ROI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Service level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Disaster recovery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SaaS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Software as a service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3150_207083567"/>
      <w:bookmarkEnd w:id="6"/>
      <w:r>
        <w:rPr>
          <w:rFonts w:eastAsia="Segoe UI" w:cs="Segoe UI" w:ascii="Segoe UI" w:hAnsi="Segoe UI"/>
          <w:b/>
          <w:color w:val="0F4761"/>
          <w:sz w:val="32"/>
        </w:rPr>
        <w:t>3.  How to use this index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with its purpose, its audience and the stage of the customer lifecycle in which it is used.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Client-facing</w:t>
      </w:r>
      <w:r>
        <w:rPr>
          <w:rFonts w:eastAsia="Segoe UI" w:cs="Segoe UI" w:ascii="Segoe UI" w:hAnsi="Segoe UI"/>
          <w:color w:val="101820"/>
          <w:sz w:val="21"/>
        </w:rPr>
        <w:t xml:space="preserve"> files may be given to the broker, normally from the stage shown.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INTERNAL</w:t>
      </w:r>
      <w:r>
        <w:rPr>
          <w:rFonts w:eastAsia="Segoe UI" w:cs="Segoe UI" w:ascii="Segoe UI" w:hAnsi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eastAsia="Consolas" w:cs="Consolas" w:ascii="Consolas" w:hAnsi="Consolas"/>
          <w:color w:val="101820"/>
          <w:sz w:val="19"/>
        </w:rPr>
        <w:t>_INTERNAL</w:t>
      </w:r>
      <w:r>
        <w:rPr>
          <w:rFonts w:eastAsia="Segoe UI" w:cs="Segoe UI" w:ascii="Segoe UI" w:hAnsi="Segoe UI"/>
          <w:color w:val="101820"/>
          <w:sz w:val="21"/>
        </w:rPr>
        <w:t xml:space="preserve"> where the document is a sales tool.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Lifecycle stages: Pre-sales, Contracting, Implementation, Go-live, Support.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Documents are kept in </w:t>
      </w:r>
      <w:r>
        <w:rPr>
          <w:rFonts w:eastAsia="Consolas" w:cs="Consolas" w:ascii="Consolas" w:hAnsi="Consolas"/>
          <w:color w:val="101820"/>
          <w:sz w:val="19"/>
        </w:rPr>
        <w:t>docs/package</w:t>
      </w:r>
      <w:r>
        <w:rPr>
          <w:rFonts w:eastAsia="Segoe UI" w:cs="Segoe UI" w:ascii="Segoe UI" w:hAnsi="Segoe UI"/>
          <w:color w:val="101820"/>
          <w:sz w:val="21"/>
        </w:rPr>
        <w:t xml:space="preserve">: </w:t>
      </w:r>
      <w:r>
        <w:rPr>
          <w:rFonts w:eastAsia="Consolas" w:cs="Consolas" w:ascii="Consolas" w:hAnsi="Consolas"/>
          <w:color w:val="101820"/>
          <w:sz w:val="19"/>
        </w:rPr>
        <w:t>out/</w:t>
      </w:r>
      <w:r>
        <w:rPr>
          <w:rFonts w:eastAsia="Segoe UI" w:cs="Segoe UI" w:ascii="Segoe UI" w:hAnsi="Segoe UI"/>
          <w:color w:val="101820"/>
          <w:sz w:val="21"/>
        </w:rPr>
        <w:t xml:space="preserve"> holds the built Word, PDF and Excel files, </w:t>
      </w:r>
      <w:r>
        <w:rPr>
          <w:rFonts w:eastAsia="Consolas" w:cs="Consolas" w:ascii="Consolas" w:hAnsi="Consolas"/>
          <w:color w:val="101820"/>
          <w:sz w:val="19"/>
        </w:rPr>
        <w:t>out/contracts/</w:t>
      </w:r>
      <w:r>
        <w:rPr>
          <w:rFonts w:eastAsia="Segoe UI" w:cs="Segoe UI" w:ascii="Segoe UI" w:hAnsi="Segoe UI"/>
          <w:color w:val="101820"/>
          <w:sz w:val="21"/>
        </w:rPr>
        <w:t xml:space="preserve"> the contract pack, </w:t>
      </w:r>
      <w:r>
        <w:rPr>
          <w:rFonts w:eastAsia="Consolas" w:cs="Consolas" w:ascii="Consolas" w:hAnsi="Consolas"/>
          <w:color w:val="101820"/>
          <w:sz w:val="19"/>
        </w:rPr>
        <w:t>sales/</w:t>
      </w:r>
      <w:r>
        <w:rPr>
          <w:rFonts w:eastAsia="Segoe UI" w:cs="Segoe UI" w:ascii="Segoe UI" w:hAnsi="Segoe UI"/>
          <w:color w:val="101820"/>
          <w:sz w:val="21"/>
        </w:rPr>
        <w:t xml:space="preserve"> the sales kit (with copies of the sales documents built in </w:t>
      </w:r>
      <w:r>
        <w:rPr>
          <w:rFonts w:eastAsia="Consolas" w:cs="Consolas" w:ascii="Consolas" w:hAnsi="Consolas"/>
          <w:color w:val="101820"/>
          <w:sz w:val="19"/>
        </w:rPr>
        <w:t>out/</w:t>
      </w:r>
      <w:r>
        <w:rPr>
          <w:rFonts w:eastAsia="Segoe UI" w:cs="Segoe UI" w:ascii="Segoe UI" w:hAnsi="Segoe UI"/>
          <w:color w:val="101820"/>
          <w:sz w:val="21"/>
        </w:rPr>
        <w:t xml:space="preserve">),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the text sources and </w:t>
      </w:r>
      <w:r>
        <w:rPr>
          <w:rFonts w:eastAsia="Consolas" w:cs="Consolas" w:ascii="Consolas" w:hAnsi="Consolas"/>
          <w:color w:val="101820"/>
          <w:sz w:val="19"/>
        </w:rPr>
        <w:t>tools/</w:t>
      </w:r>
      <w:r>
        <w:rPr>
          <w:rFonts w:eastAsia="Segoe UI" w:cs="Segoe UI" w:ascii="Segoe UI" w:hAnsi="Segoe UI"/>
          <w:color w:val="101820"/>
          <w:sz w:val="21"/>
        </w:rPr>
        <w:t xml:space="preserve"> the builders.</w:t>
      </w:r>
      <w:r>
        <w:br w:type="page"/>
      </w:r>
    </w:p>
    <w:p>
      <w:pPr>
        <w:pStyle w:val="Heading1"/>
        <w:rPr/>
      </w:pPr>
      <w:bookmarkStart w:id="7" w:name="__RefHeading___Toc3152_207083567"/>
      <w:bookmarkEnd w:id="7"/>
      <w:r>
        <w:rPr>
          <w:rFonts w:eastAsia="Segoe UI" w:cs="Segoe UI" w:ascii="Segoe UI" w:hAnsi="Segoe UI"/>
          <w:b/>
          <w:color w:val="0F4761"/>
          <w:sz w:val="32"/>
        </w:rPr>
        <w:t>4.  Index by audience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3"/>
        <w:gridCol w:w="6180"/>
      </w:tblGrid>
      <w:tr>
        <w:trPr>
          <w:tblHeader w:val="true"/>
        </w:trPr>
        <w:tc>
          <w:tcPr>
            <w:tcW w:w="28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61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Start with</w:t>
            </w:r>
          </w:p>
        </w:tc>
      </w:tr>
      <w:tr>
        <w:trPr/>
        <w:tc>
          <w:tcPr>
            <w:tcW w:w="28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 (26 files)</w:t>
            </w:r>
          </w:p>
        </w:tc>
        <w:tc>
          <w:tcPr>
            <w:tcW w:w="61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Functionality, Demo Script, FAQ and Objection Handling, Rate Card, Battlecard (INTERNAL), Negotiation Playbook (INTERNAL)</w:t>
            </w:r>
          </w:p>
        </w:tc>
      </w:tr>
      <w:tr>
        <w:trPr/>
        <w:tc>
          <w:tcPr>
            <w:tcW w:w="28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 (31 files)</w:t>
            </w:r>
          </w:p>
        </w:tc>
        <w:tc>
          <w:tcPr>
            <w:tcW w:w="61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Approach and Plan, Discovery Workbook Guide, Fit-Gap Register, RAID Log, Data Migration and Cutover Plan, User Manual</w:t>
            </w:r>
          </w:p>
        </w:tc>
      </w:tr>
      <w:tr>
        <w:trPr/>
        <w:tc>
          <w:tcPr>
            <w:tcW w:w="28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 (10 files)</w:t>
            </w:r>
          </w:p>
        </w:tc>
        <w:tc>
          <w:tcPr>
            <w:tcW w:w="61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Technical Reference, API and Dependency Catalogue, Data Dictionary, Release Notes Template</w:t>
            </w:r>
          </w:p>
        </w:tc>
      </w:tr>
      <w:tr>
        <w:trPr/>
        <w:tc>
          <w:tcPr>
            <w:tcW w:w="28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(21 files)</w:t>
            </w:r>
          </w:p>
        </w:tc>
        <w:tc>
          <w:tcPr>
            <w:tcW w:w="61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rPr/>
        <w:tc>
          <w:tcPr>
            <w:tcW w:w="28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 (38 files)</w:t>
            </w:r>
          </w:p>
        </w:tc>
        <w:tc>
          <w:tcPr>
            <w:tcW w:w="61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(INTERNAL), Commercial Proposal Note (INTERNAL), Release Notes and Roadmap, Architecture, Infrastructure, Security and Data Privacy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3154_207083567"/>
      <w:bookmarkEnd w:id="8"/>
      <w:r>
        <w:rPr>
          <w:rFonts w:eastAsia="Segoe UI" w:cs="Segoe UI" w:ascii="Segoe UI" w:hAnsi="Segoe UI"/>
          <w:b/>
          <w:color w:val="0F4761"/>
          <w:sz w:val="32"/>
        </w:rPr>
        <w:t>5.  Index by lifecycle stage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35"/>
        <w:gridCol w:w="6978"/>
      </w:tblGrid>
      <w:tr>
        <w:trPr>
          <w:tblHeader w:val="true"/>
        </w:trPr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Stage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 used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Brochure; One Page Brochure; Client Presentation; Product Functionality; Demo Script; FAQ and Objection Handling; Prospect Email Templates; Prospect Email Templates; Commercial Proposal Rate Card; ROI Calculator; Price Book (INTERNAL); Competitive Battlecard INTERNAL (INTERNAL); OOTB Strategy and Playbook (INTERNAL); Commercial Proposal Note (INTERNAL); Commercials and Pricing (INTERNAL); Security Due Diligence Questionnaire; Architecture Infrastructure Security and Privacy; Philippine Regulatory Compliance Matrix; Release Notes and Roadmap; Mutual Non Disclosure Agreement; Implementation Approach and Plan; Test Summary Report;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 Email Templates; Prospect Email Templates; Commercial Proposal Rate Card; Price Book (INTERNAL); Negotiation Playbook INTERNAL (INTERNAL); OOTB Strategy and Playbook (INTERNAL); Commercial Proposal Note (INTERNAL); Commercials and Pricing (INTERNAL); Security Due Diligence Questionnaire; Architecture Infrastructure Security and Privacy;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Production Support Approach and Standards; Business Continuity and Disaster Recovery Plan;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(INTERNAL); Architecture Infrastructure Security and Privacy; Philippine Regulatory Compliance Matrix; Implementation Statement of Work; Customer Responsibilities and RACI Annex; Change Request Procedure and Form; Implementation Approach and Plan; Implementation Plan; Discovery Workbook Guide; Discovery and Configuration Workbook; Fit Gap Register; RAID Log Template; Project Status Report Template; Data Migration and Cutover Plan; Data Dictionary; Privacy Impact Assessment and Records of Processing Templates; Training Plan; User Manual; Reports Book; Communication Templates and Touchpoints; Communication Touchpoints; Schedules and Batch Jobs; Test Cases; Technical Reference; API and Dependency Catalogue;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(INTERNAL); Release Notes and Roadmap; UAT and Go Live Acceptance Certificates; Hypercare Exit and Handover Certificate; RAID Log Template; Project Status Report Template; Data Migration and Cutover Plan; Privacy Impact Assessment and Records of Processing Templates; User Manual; Schedules and Batch Jobs; Test Cases; Test Summary Report; Go No Go and Management Register (INTERNAL); Production Support Approach and Standards;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(INTERNAL); Release Notes and Roadmap; Annual Maintenance Support and SLA; Hosting and Infrastructure Services Agreement; Service Catalogue and Rate Annex; Change Request Procedure and Form; Exit and Transition Plan; Hypercare Exit and Handover Certificate; Data Dictionary; User Manual; Reports Book; Communication Templates and Touchpoints; Communication Touchpoints; Schedules and Batch Jobs; Technical Reference; API and Dependency Catalogue; Release Notes Template; Production Support Approach and Standards; Business Continuity and Disaster Recovery Plan; OOTB Documentation Pack Index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3156_207083567"/>
      <w:bookmarkEnd w:id="9"/>
      <w:r>
        <w:rPr>
          <w:rFonts w:eastAsia="Segoe UI" w:cs="Segoe UI" w:ascii="Segoe UI" w:hAnsi="Segoe UI"/>
          <w:b/>
          <w:color w:val="0F4761"/>
          <w:sz w:val="32"/>
        </w:rPr>
        <w:t>6.  File list</w:t>
      </w:r>
    </w:p>
    <w:p>
      <w:pPr>
        <w:pStyle w:val="Heading2"/>
        <w:rPr/>
      </w:pPr>
      <w:bookmarkStart w:id="10" w:name="__RefHeading___Toc3158_207083567"/>
      <w:bookmarkEnd w:id="10"/>
      <w:r>
        <w:rPr>
          <w:rFonts w:eastAsia="Segoe UI" w:cs="Segoe UI"/>
          <w:b/>
          <w:color w:val="0F4761"/>
          <w:sz w:val="26"/>
        </w:rPr>
        <w:t>6.1  Sales and pre-sales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4"/>
        <w:gridCol w:w="2254"/>
        <w:gridCol w:w="2254"/>
        <w:gridCol w:w="2253"/>
      </w:tblGrid>
      <w:tr>
        <w:trPr>
          <w:tblHeader w:val="true"/>
        </w:trPr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Two-page product brochure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iNXT_BrokerVerse_One_Page_Brochure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png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One-page summary for a first e-mail or a trade event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iNXT_BrokerVerse_Client_Presentation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pptx,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presentation deck for the first meeting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iNXT_BrokerVerse_Product_Functionality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product does, module by module, with the vendor comparison checklist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iNXT_BrokerVerse_Demo_Script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Scripted product demonstration with personas, data and timings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iNXT_BrokerVerse_FAQ_and_Objection_Handling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Answers to common questions and objections; known limits to disclose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E-mails from first contact to the welcome after signing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txt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Plain-text copy of the prospect e-mails for pasting into a mail client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iNXT_BrokerVerse_Commercial_Proposal_Rate_Card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card and commercial proposal given to the broker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iNXT_BrokerVerse_ROI_Calculator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Return on investment calculator filled in with the broker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iNXT_BrokerVerse_Price_Book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 book with quick quote, packages and negotiation limits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iNXT_BrokerVerse_Competitive_Battlecard_INTERNAL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Competitor positioning and proof points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iNXT_BrokerVerse_OOTB_Strategy_and_Playbook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iorta TechNXT sells, delivers, supports and evolves the OOTB product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Sales, 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BrokerVerse_Commercial_Proposal_Note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Pricing rationale, market positioning and commercial assumptions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BrokerVerse_Commercials_and_Pricing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Formula-driven pricing model behind the rate card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BrokerVerse_Security_Due_Diligence_Questionnaire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Pre-answered security and outsourcing due diligence questionnaire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BrokerVerse_Architecture_Infrastructure_Security_and_Privacy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hosting options, security controls and data privacy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BrokerVerse_Philippine_Regulatory_Compliance_Matrix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the product supports IC, BIR, premium tax, CTPL, DPA and AMLA obligations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BrokerVerse_Release_Notes_and_Roadmap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release 1.0 delivers, known limitations, versioning policy and indicative roadmap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Go-live, Support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BrokerVerse_Implementation_Approach_and_Plan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Method, phases, plans by size, roles, governance and risks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BrokerVerse_Test_Summary_Report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Results of the release test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BrokerVerse_OOTB_Documentation_Pack_Index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This index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3160_207083567"/>
      <w:bookmarkEnd w:id="11"/>
      <w:r>
        <w:rPr>
          <w:rFonts w:eastAsia="Segoe UI" w:cs="Segoe UI"/>
          <w:b/>
          <w:color w:val="0F4761"/>
          <w:sz w:val="26"/>
        </w:rPr>
        <w:t>6.2  Contracting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623"/>
        <w:gridCol w:w="2016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iNXT_BrokerVerse_Contract_Pack_Index_and_Cover_Letter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Index of the contract pack and cover letter to the broker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iNXT_BrokerVerse_Mutual_Non_Disclosure_Agreement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Mutual NDA before detailed discussions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iNXT_BrokerVerse_Letter_of_Award_and_Proposal_Acceptance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letter of award and acceptance of the proposal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iNXT_BrokerVerse_Master_Services_Agreement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iNXT_BrokerVerse_Order_Form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Form: size, model, prices, hosting and dates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iNXT_BrokerVerse_Perpetual_Software_Licence_Agreement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schedule for the perpetual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iNXT_BrokerVerse_Software_Subscription_Agreement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schedule for the SaaS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iNXT_BrokerVerse_Implementation_Statement_of_Work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scope, milestones, acceptance and governance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iNXT_BrokerVerse_Annual_Maintenance_Support_and_SLA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maintenance, support and service levels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iNXT_BrokerVerse_Hosting_and_Infrastructure_Services_Agreement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services, data location, backups and recovery objectives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iNXT_BrokerVerse_Data_Processing_Agreement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 under the Data Privacy 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iNXT_BrokerVerse_Service_Catalogue_and_Rate_Annex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services and day rates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iNXT_BrokerVerse_Customer_Responsibilities_and_RACI_Annex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provides and who does what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iNXT_BrokerVerse_Change_Request_Procedure_and_Form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 and form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iNXT_BrokerVerse_Source_Code_Escrow_Agreement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source code escrow with the perpetual licence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iNXT_BrokerVerse_Exit_and_Transition_Plan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return and transition at the end of the contract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iNXT_BrokerVerse_UAT_and_Go_Live_Acceptance_Certificates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go-live acceptance certificates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iNXT_BrokerVerse_Hypercare_Exit_and_Handover_Certificate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exit and handover to support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3162_207083567"/>
      <w:bookmarkEnd w:id="12"/>
      <w:r>
        <w:rPr>
          <w:rFonts w:eastAsia="Segoe UI" w:cs="Segoe UI"/>
          <w:b/>
          <w:color w:val="0F4761"/>
          <w:sz w:val="26"/>
        </w:rPr>
        <w:t>6.3  Implementation and go-live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57"/>
        <w:gridCol w:w="2458"/>
        <w:gridCol w:w="2459"/>
        <w:gridCol w:w="1638"/>
      </w:tblGrid>
      <w:tr>
        <w:trPr>
          <w:tblHeader w:val="true"/>
        </w:trPr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Gantt plans for the three sizes and the RACI matrix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BrokerVerse_Discovery_Workbook_Guide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to run the discovery and configuration workshops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BrokerVerse_Discovery_and_Configuration_Workbook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decisions captured in discovery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BrokerVerse_Fit_Gap_Register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 of requirements classed Fit, Configure, Procedure or Gap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BrokerVerse_RAID_Log_Template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Risks, assumptions, issues and dependencies with scoring and summary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BrokerVerse_Project_Status_Report_Template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Weekly or fortnightly status and steering committee report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BrokerVerse_Data_Migration_and_Cutover_Plan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data, templates, mock loads, reconciliation and cutover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BrokerVerse_Data_Dictionary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Tables, columns, relationships, personal data and retention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BrokerVerse_Privacy_Impact_Assessment_and_Records_of_Processing_Templates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PIA and records of processing pre-filled for the broker DPO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BrokerVerse_Training_Plan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and change management by role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BrokerVerse_User_Manual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manual for the seven roles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BrokerVerse_Reports_Book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report, dashboard and export with its columns and rules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BrokerVerse_Communication_Templates_and_Touchpoints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e-mail, notification and printed document the system sends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Companion workbook of the communication templates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BrokerVerse_Schedules_and_Batch_Jobs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jobs, batch processes and the operational run book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BrokerVerse_Test_Cases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 cases, traceability and defects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BrokerVerse_Go_No_Go_and_Management_Register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recommendation, go-live conditions, risks, plans and decisions needed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Delivery, Development, Support,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BrokerVerse_Technical_Reference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Code base, modules, security implementation and how to extend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BrokerVerse_API_and_Dependency_Catalogue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API route with its permission and the screens that call it</w:t>
            </w:r>
          </w:p>
        </w:tc>
        <w:tc>
          <w:tcPr>
            <w:tcW w:w="24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3164_207083567"/>
      <w:bookmarkEnd w:id="13"/>
      <w:r>
        <w:rPr>
          <w:rFonts w:eastAsia="Segoe UI" w:cs="Segoe UI"/>
          <w:b/>
          <w:color w:val="0F4761"/>
          <w:sz w:val="26"/>
        </w:rPr>
        <w:t>6.4  Development and support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50"/>
        <w:gridCol w:w="2835"/>
        <w:gridCol w:w="1599"/>
        <w:gridCol w:w="1729"/>
      </w:tblGrid>
      <w:tr>
        <w:trPr>
          <w:tblHeader w:val="true"/>
        </w:trPr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7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iNXT_BrokerVerse_Negotiation_Playbook_INTERNAL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Discount limits, trade-offs and approval rules in negotiation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7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notes for each patch, minor or major release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</w:tr>
      <w:tr>
        <w:trPr/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BrokerVerse_Production_Support_Approach_and_Standards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model, severities, change and release management, monitoring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Go-live, Support</w:t>
            </w:r>
          </w:p>
        </w:tc>
      </w:tr>
      <w:tr>
        <w:trPr/>
        <w:tc>
          <w:tcPr>
            <w:tcW w:w="2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BrokerVerse_Business_Continuity_and_Disaster_Recovery_Plan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Backups, recovery objectives, scenarios and DR tests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</w:tbl>
    <w:p>
      <w:pPr>
        <w:pStyle w:val="Heading1"/>
        <w:rPr/>
      </w:pPr>
      <w:r>
        <w:br w:type="page"/>
      </w:r>
      <w:bookmarkStart w:id="14" w:name="__RefHeading___Toc3166_207083567"/>
      <w:bookmarkEnd w:id="14"/>
      <w:r>
        <w:rPr>
          <w:rFonts w:eastAsia="Segoe UI" w:cs="Segoe UI" w:ascii="Segoe UI" w:hAnsi="Segoe UI"/>
          <w:b/>
          <w:color w:val="0F4761"/>
          <w:sz w:val="32"/>
        </w:rPr>
        <w:t>7.  INTERNAL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files never leave iorta TechNXT: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sales/iNXT_BrokerVerse_Price_Book</w:t>
      </w:r>
      <w:r>
        <w:rPr>
          <w:rFonts w:eastAsia="Segoe UI" w:cs="Segoe UI" w:ascii="Segoe UI" w:hAnsi="Segoe UI"/>
          <w:color w:val="101820"/>
          <w:sz w:val="21"/>
        </w:rPr>
        <w:t xml:space="preserve"> (xlsx): Price book with quick quote, packages and negotiation limits.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out/iNXT_BrokerVerse_Competitive_Battlecard_INTERNAL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Competitor positioning and proof points.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out/iNXT_BrokerVerse_Negotiation_Playbook_INTERNAL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Discount limits, trade-offs and approval rules in negotiation.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out/iNXT_BrokerVerse_OOTB_Strategy_and_Playbook</w:t>
      </w:r>
      <w:r>
        <w:rPr>
          <w:rFonts w:eastAsia="Segoe UI" w:cs="Segoe UI" w:ascii="Segoe UI" w:hAnsi="Segoe UI"/>
          <w:color w:val="101820"/>
          <w:sz w:val="21"/>
        </w:rPr>
        <w:t xml:space="preserve"> (docx, pdf): How iorta TechNXT sells, delivers, supports and evolves the OOTB product.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out/BrokerVerse_Commercial_Proposal_Note</w:t>
      </w:r>
      <w:r>
        <w:rPr>
          <w:rFonts w:eastAsia="Segoe UI" w:cs="Segoe UI" w:ascii="Segoe UI" w:hAnsi="Segoe UI"/>
          <w:color w:val="101820"/>
          <w:sz w:val="21"/>
        </w:rPr>
        <w:t xml:space="preserve"> (docx, pdf): Pricing rationale, market positioning and commercial assumptions.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out/BrokerVerse_Commercials_and_Pricing</w:t>
      </w:r>
      <w:r>
        <w:rPr>
          <w:rFonts w:eastAsia="Segoe UI" w:cs="Segoe UI" w:ascii="Segoe UI" w:hAnsi="Segoe UI"/>
          <w:color w:val="101820"/>
          <w:sz w:val="21"/>
        </w:rPr>
        <w:t xml:space="preserve"> (xlsx): Formula-driven pricing model behind the rate card.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out/BrokerVerse_Go_No_Go_and_Management_Register</w:t>
      </w:r>
      <w:r>
        <w:rPr>
          <w:rFonts w:eastAsia="Segoe UI" w:cs="Segoe UI" w:ascii="Segoe UI" w:hAnsi="Segoe UI"/>
          <w:color w:val="101820"/>
          <w:sz w:val="21"/>
        </w:rPr>
        <w:t xml:space="preserve"> (docx, pdf): Release recommendation, go-live conditions, risks, plans and decisions needed.</w:t>
      </w:r>
      <w:r>
        <w:br w:type="page"/>
      </w:r>
    </w:p>
    <w:p>
      <w:pPr>
        <w:pStyle w:val="Heading1"/>
        <w:rPr/>
      </w:pPr>
      <w:bookmarkStart w:id="15" w:name="__RefHeading___Toc3168_207083567"/>
      <w:bookmarkEnd w:id="15"/>
      <w:r>
        <w:rPr>
          <w:rFonts w:eastAsia="Segoe UI" w:cs="Segoe UI" w:ascii="Segoe UI" w:hAnsi="Segoe UI"/>
          <w:b/>
          <w:color w:val="0F4761"/>
          <w:sz w:val="32"/>
        </w:rPr>
        <w:t>8.  Building the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Each Word and PDF document is built from its text source in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into the iorta TechNXT template: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cd docs/package/tools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build_doc.py ../source/&lt;name&gt;.md ../out/&lt;File_Name&gt;.docx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refresh.py ../out/&lt;File_Name&gt;.docx      (contents page and PDF)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Product Functionality document also needs </w:t>
      </w:r>
      <w:r>
        <w:rPr>
          <w:rFonts w:eastAsia="Consolas" w:cs="Consolas" w:ascii="Consolas" w:hAnsi="Consolas"/>
          <w:color w:val="101820"/>
          <w:sz w:val="19"/>
        </w:rPr>
        <w:t>python3 brochure/widths.py</w:t>
      </w:r>
      <w:r>
        <w:rPr>
          <w:rFonts w:eastAsia="Segoe UI" w:cs="Segoe UI" w:ascii="Segoe UI" w:hAnsi="Segoe UI"/>
          <w:color w:val="101820"/>
          <w:sz w:val="21"/>
        </w:rPr>
        <w:t xml:space="preserve"> on the .docx before </w:t>
      </w:r>
      <w:r>
        <w:rPr>
          <w:rFonts w:eastAsia="Consolas" w:cs="Consolas" w:ascii="Consolas" w:hAnsi="Consolas"/>
          <w:color w:val="101820"/>
          <w:sz w:val="19"/>
        </w:rPr>
        <w:t>refresh.py</w:t>
      </w:r>
      <w:r>
        <w:rPr>
          <w:rFonts w:eastAsia="Segoe UI" w:cs="Segoe UI" w:ascii="Segoe UI" w:hAnsi="Segoe UI"/>
          <w:color w:val="101820"/>
          <w:sz w:val="21"/>
        </w:rPr>
        <w:t>. The workbooks have their own builders (</w:t>
      </w:r>
      <w:r>
        <w:rPr>
          <w:rFonts w:eastAsia="Consolas" w:cs="Consolas" w:ascii="Consolas" w:hAnsi="Consolas"/>
          <w:color w:val="101820"/>
          <w:sz w:val="19"/>
        </w:rPr>
        <w:t>build_project_templates_xlsx.py</w:t>
      </w:r>
      <w:r>
        <w:rPr>
          <w:rFonts w:eastAsia="Segoe UI" w:cs="Segoe UI" w:ascii="Segoe UI" w:hAnsi="Segoe UI"/>
          <w:color w:val="101820"/>
          <w:sz w:val="21"/>
        </w:rPr>
        <w:t xml:space="preserve"> for the Fit-Gap Register and the RAID Log, </w:t>
      </w:r>
      <w:r>
        <w:rPr>
          <w:rFonts w:eastAsia="Consolas" w:cs="Consolas" w:ascii="Consolas" w:hAnsi="Consolas"/>
          <w:color w:val="101820"/>
          <w:sz w:val="19"/>
        </w:rPr>
        <w:t>build_plan_xlsx.py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build_discovery_workbook.py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build_pricing.py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build_price_book.py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build_roi.py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build_questionnaire_xlsx.py</w:t>
      </w:r>
      <w:r>
        <w:rPr>
          <w:rFonts w:eastAsia="Segoe UI" w:cs="Segoe UI" w:ascii="Segoe UI" w:hAnsi="Segoe UI"/>
          <w:color w:val="101820"/>
          <w:sz w:val="21"/>
        </w:rPr>
        <w:t xml:space="preserve">). After rebuilding a sales document, copy the .docx and .pdf to </w:t>
      </w:r>
      <w:r>
        <w:rPr>
          <w:rFonts w:eastAsia="Consolas" w:cs="Consolas" w:ascii="Consolas" w:hAnsi="Consolas"/>
          <w:color w:val="101820"/>
          <w:sz w:val="19"/>
        </w:rPr>
        <w:t>sales/</w:t>
      </w:r>
      <w:r>
        <w:rPr>
          <w:rFonts w:eastAsia="Segoe UI" w:cs="Segoe UI" w:ascii="Segoe UI" w:hAnsi="Segoe UI"/>
          <w:color w:val="101820"/>
          <w:sz w:val="21"/>
        </w:rPr>
        <w:t xml:space="preserve">. Writing rules: </w:t>
      </w:r>
      <w:r>
        <w:rPr>
          <w:rFonts w:eastAsia="Consolas" w:cs="Consolas" w:ascii="Consolas" w:hAnsi="Consolas"/>
          <w:color w:val="101820"/>
          <w:sz w:val="19"/>
        </w:rPr>
        <w:t>tools/WRITING_RULES.md</w:t>
      </w:r>
      <w:r>
        <w:rPr>
          <w:rFonts w:eastAsia="Segoe UI" w:cs="Segoe UI" w:ascii="Segoe UI" w:hAnsi="Segoe UI"/>
          <w:color w:val="101820"/>
          <w:sz w:val="21"/>
        </w:rPr>
        <w:t xml:space="preserve">. This index is generated by </w:t>
      </w:r>
      <w:r>
        <w:rPr>
          <w:rFonts w:eastAsia="Consolas" w:cs="Consolas" w:ascii="Consolas" w:hAnsi="Consolas"/>
          <w:color w:val="101820"/>
          <w:sz w:val="19"/>
        </w:rPr>
        <w:t>build_pack_index.py</w:t>
      </w:r>
      <w:r>
        <w:rPr>
          <w:rFonts w:eastAsia="Segoe UI" w:cs="Segoe UI" w:ascii="Segoe UI" w:hAnsi="Segoe UI"/>
          <w:color w:val="101820"/>
          <w:sz w:val="21"/>
        </w:rPr>
        <w:t>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16" w:name="__RefHeading___Toc3170_207083567"/>
      <w:bookmarkStart w:id="17" w:name="_Toc233203395"/>
      <w:bookmarkEnd w:id="16"/>
      <w:r>
        <w:rPr>
          <w:rStyle w:val="BookTitle"/>
          <w:bCs w:val="false"/>
          <w:i w:val="false"/>
          <w:iCs w:val="false"/>
          <w:spacing w:val="0"/>
        </w:rPr>
        <w:t>9.  Document Sign-Off</w:t>
      </w:r>
      <w:bookmarkEnd w:id="17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open items at the time of issue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6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5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5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2026-10-03T20:49:10Z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