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9.jpeg" ContentType="image/jpeg"/>
  <Override PartName="/word/media/image4.png" ContentType="image/png"/>
  <Override PartName="/word/media/image5.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6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5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5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5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Architecture, Infrastructure, Security and Data Privacy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Architecture, Infrastructure, Security and Data Privacy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355_1606252305">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5357_1606252305">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5359_1606252305">
            <w:r>
              <w:rPr>
                <w:webHidden/>
                <w:rStyle w:val="IndexLink"/>
              </w:rPr>
              <w:t>3. Introduction</w:t>
              <w:tab/>
              <w:t>6</w:t>
            </w:r>
          </w:hyperlink>
        </w:p>
        <w:p>
          <w:pPr>
            <w:pStyle w:val="TOC2"/>
            <w:tabs>
              <w:tab w:val="clear" w:pos="900"/>
              <w:tab w:val="clear" w:pos="9350"/>
              <w:tab w:val="right" w:pos="9025" w:leader="dot"/>
            </w:tabs>
            <w:rPr/>
          </w:pPr>
          <w:hyperlink w:anchor="__RefHeading___Toc15361_1606252305">
            <w:r>
              <w:rPr>
                <w:webHidden/>
                <w:rStyle w:val="IndexLink"/>
              </w:rPr>
              <w:t>3.1 Purpose</w:t>
              <w:tab/>
              <w:t>6</w:t>
            </w:r>
          </w:hyperlink>
        </w:p>
        <w:p>
          <w:pPr>
            <w:pStyle w:val="TOC2"/>
            <w:tabs>
              <w:tab w:val="clear" w:pos="900"/>
              <w:tab w:val="clear" w:pos="9350"/>
              <w:tab w:val="right" w:pos="9025" w:leader="dot"/>
            </w:tabs>
            <w:rPr/>
          </w:pPr>
          <w:hyperlink w:anchor="__RefHeading___Toc15363_1606252305">
            <w:r>
              <w:rPr>
                <w:webHidden/>
                <w:rStyle w:val="IndexLink"/>
              </w:rPr>
              <w:t>3.2 Sources and conventions</w:t>
              <w:tab/>
              <w:t>6</w:t>
            </w:r>
          </w:hyperlink>
        </w:p>
        <w:p>
          <w:pPr>
            <w:pStyle w:val="TOC2"/>
            <w:tabs>
              <w:tab w:val="clear" w:pos="900"/>
              <w:tab w:val="clear" w:pos="9350"/>
              <w:tab w:val="right" w:pos="9025" w:leader="dot"/>
            </w:tabs>
            <w:rPr/>
          </w:pPr>
          <w:hyperlink w:anchor="__RefHeading___Toc15365_1606252305">
            <w:r>
              <w:rPr>
                <w:webHidden/>
                <w:rStyle w:val="IndexLink"/>
              </w:rPr>
              <w:t>3.3 Related documents</w:t>
              <w:tab/>
              <w:t>6</w:t>
            </w:r>
          </w:hyperlink>
        </w:p>
        <w:p>
          <w:pPr>
            <w:pStyle w:val="TOC1"/>
            <w:tabs>
              <w:tab w:val="clear" w:pos="900"/>
              <w:tab w:val="clear" w:pos="9350"/>
              <w:tab w:val="right" w:pos="9025" w:leader="dot"/>
            </w:tabs>
            <w:rPr/>
          </w:pPr>
          <w:hyperlink w:anchor="__RefHeading___Toc15367_1606252305">
            <w:r>
              <w:rPr>
                <w:webHidden/>
                <w:rStyle w:val="IndexLink"/>
              </w:rPr>
              <w:t>4. Solution overview and logical architecture</w:t>
              <w:tab/>
              <w:t>7</w:t>
            </w:r>
          </w:hyperlink>
        </w:p>
        <w:p>
          <w:pPr>
            <w:pStyle w:val="TOC2"/>
            <w:tabs>
              <w:tab w:val="clear" w:pos="900"/>
              <w:tab w:val="clear" w:pos="9350"/>
              <w:tab w:val="right" w:pos="9025" w:leader="dot"/>
            </w:tabs>
            <w:rPr/>
          </w:pPr>
          <w:hyperlink w:anchor="__RefHeading___Toc15369_1606252305">
            <w:r>
              <w:rPr>
                <w:webHidden/>
                <w:rStyle w:val="IndexLink"/>
              </w:rPr>
              <w:t>4.1 What BrokerVerse does</w:t>
              <w:tab/>
              <w:t>7</w:t>
            </w:r>
          </w:hyperlink>
        </w:p>
        <w:p>
          <w:pPr>
            <w:pStyle w:val="TOC2"/>
            <w:tabs>
              <w:tab w:val="clear" w:pos="900"/>
              <w:tab w:val="clear" w:pos="9350"/>
              <w:tab w:val="right" w:pos="9025" w:leader="dot"/>
            </w:tabs>
            <w:rPr/>
          </w:pPr>
          <w:hyperlink w:anchor="__RefHeading___Toc15371_1606252305">
            <w:r>
              <w:rPr>
                <w:webHidden/>
                <w:rStyle w:val="IndexLink"/>
              </w:rPr>
              <w:t>4.2 Architecture at a glance</w:t>
              <w:tab/>
              <w:t>7</w:t>
            </w:r>
          </w:hyperlink>
        </w:p>
        <w:p>
          <w:pPr>
            <w:pStyle w:val="TOC2"/>
            <w:tabs>
              <w:tab w:val="clear" w:pos="900"/>
              <w:tab w:val="clear" w:pos="9350"/>
              <w:tab w:val="right" w:pos="9025" w:leader="dot"/>
            </w:tabs>
            <w:rPr/>
          </w:pPr>
          <w:hyperlink w:anchor="__RefHeading___Toc15373_1606252305">
            <w:r>
              <w:rPr>
                <w:webHidden/>
                <w:rStyle w:val="IndexLink"/>
              </w:rPr>
              <w:t>4.3 Logical components</w:t>
              <w:tab/>
              <w:t>8</w:t>
            </w:r>
          </w:hyperlink>
        </w:p>
        <w:p>
          <w:pPr>
            <w:pStyle w:val="TOC2"/>
            <w:tabs>
              <w:tab w:val="clear" w:pos="900"/>
              <w:tab w:val="clear" w:pos="9350"/>
              <w:tab w:val="right" w:pos="9025" w:leader="dot"/>
            </w:tabs>
            <w:rPr/>
          </w:pPr>
          <w:hyperlink w:anchor="__RefHeading___Toc15375_1606252305">
            <w:r>
              <w:rPr>
                <w:webHidden/>
                <w:rStyle w:val="IndexLink"/>
              </w:rPr>
              <w:t>4.4 Business modules</w:t>
              <w:tab/>
              <w:t>9</w:t>
            </w:r>
          </w:hyperlink>
        </w:p>
        <w:p>
          <w:pPr>
            <w:pStyle w:val="TOC2"/>
            <w:tabs>
              <w:tab w:val="clear" w:pos="900"/>
              <w:tab w:val="clear" w:pos="9350"/>
              <w:tab w:val="right" w:pos="9025" w:leader="dot"/>
            </w:tabs>
            <w:rPr/>
          </w:pPr>
          <w:hyperlink w:anchor="__RefHeading___Toc15377_1606252305">
            <w:r>
              <w:rPr>
                <w:webHidden/>
                <w:rStyle w:val="IndexLink"/>
              </w:rPr>
              <w:t>4.5 Integrations</w:t>
              <w:tab/>
              <w:t>9</w:t>
            </w:r>
          </w:hyperlink>
        </w:p>
        <w:p>
          <w:pPr>
            <w:pStyle w:val="TOC1"/>
            <w:tabs>
              <w:tab w:val="clear" w:pos="900"/>
              <w:tab w:val="clear" w:pos="9350"/>
              <w:tab w:val="right" w:pos="9025" w:leader="dot"/>
            </w:tabs>
            <w:rPr/>
          </w:pPr>
          <w:hyperlink w:anchor="__RefHeading___Toc15379_1606252305">
            <w:r>
              <w:rPr>
                <w:webHidden/>
                <w:rStyle w:val="IndexLink"/>
              </w:rPr>
              <w:t>5. Technology stack and versions</w:t>
              <w:tab/>
              <w:t>11</w:t>
            </w:r>
          </w:hyperlink>
        </w:p>
        <w:p>
          <w:pPr>
            <w:pStyle w:val="TOC2"/>
            <w:tabs>
              <w:tab w:val="clear" w:pos="900"/>
              <w:tab w:val="clear" w:pos="9350"/>
              <w:tab w:val="right" w:pos="9025" w:leader="dot"/>
            </w:tabs>
            <w:rPr/>
          </w:pPr>
          <w:hyperlink w:anchor="__RefHeading___Toc15381_1606252305">
            <w:r>
              <w:rPr>
                <w:webHidden/>
                <w:rStyle w:val="IndexLink"/>
              </w:rPr>
              <w:t>5.1 Runtime and platform</w:t>
              <w:tab/>
              <w:t>11</w:t>
            </w:r>
          </w:hyperlink>
        </w:p>
        <w:p>
          <w:pPr>
            <w:pStyle w:val="TOC2"/>
            <w:tabs>
              <w:tab w:val="clear" w:pos="900"/>
              <w:tab w:val="clear" w:pos="9350"/>
              <w:tab w:val="right" w:pos="9025" w:leader="dot"/>
            </w:tabs>
            <w:rPr/>
          </w:pPr>
          <w:hyperlink w:anchor="__RefHeading___Toc15383_1606252305">
            <w:r>
              <w:rPr>
                <w:webHidden/>
                <w:rStyle w:val="IndexLink"/>
              </w:rPr>
              <w:t>5.2 Backend dependencies</w:t>
              <w:tab/>
              <w:t>11</w:t>
            </w:r>
          </w:hyperlink>
        </w:p>
        <w:p>
          <w:pPr>
            <w:pStyle w:val="TOC2"/>
            <w:tabs>
              <w:tab w:val="clear" w:pos="900"/>
              <w:tab w:val="clear" w:pos="9350"/>
              <w:tab w:val="right" w:pos="9025" w:leader="dot"/>
            </w:tabs>
            <w:rPr/>
          </w:pPr>
          <w:hyperlink w:anchor="__RefHeading___Toc15385_1606252305">
            <w:r>
              <w:rPr>
                <w:webHidden/>
                <w:rStyle w:val="IndexLink"/>
              </w:rPr>
              <w:t>5.3 Front-end dependencies</w:t>
              <w:tab/>
              <w:t>11</w:t>
            </w:r>
          </w:hyperlink>
        </w:p>
        <w:p>
          <w:pPr>
            <w:pStyle w:val="TOC1"/>
            <w:tabs>
              <w:tab w:val="clear" w:pos="900"/>
              <w:tab w:val="clear" w:pos="9350"/>
              <w:tab w:val="right" w:pos="9025" w:leader="dot"/>
            </w:tabs>
            <w:rPr/>
          </w:pPr>
          <w:hyperlink w:anchor="__RefHeading___Toc15387_1606252305">
            <w:r>
              <w:rPr>
                <w:webHidden/>
                <w:rStyle w:val="IndexLink"/>
              </w:rPr>
              <w:t>6. Deployment architecture options</w:t>
              <w:tab/>
              <w:t>13</w:t>
            </w:r>
          </w:hyperlink>
        </w:p>
        <w:p>
          <w:pPr>
            <w:pStyle w:val="TOC2"/>
            <w:tabs>
              <w:tab w:val="clear" w:pos="900"/>
              <w:tab w:val="clear" w:pos="9350"/>
              <w:tab w:val="right" w:pos="9025" w:leader="dot"/>
            </w:tabs>
            <w:rPr/>
          </w:pPr>
          <w:hyperlink w:anchor="__RefHeading___Toc15389_1606252305">
            <w:r>
              <w:rPr>
                <w:webHidden/>
                <w:rStyle w:val="IndexLink"/>
              </w:rPr>
              <w:t>6.1 Common building blocks</w:t>
              <w:tab/>
              <w:t>13</w:t>
            </w:r>
          </w:hyperlink>
        </w:p>
        <w:p>
          <w:pPr>
            <w:pStyle w:val="TOC2"/>
            <w:tabs>
              <w:tab w:val="clear" w:pos="900"/>
              <w:tab w:val="clear" w:pos="9350"/>
              <w:tab w:val="right" w:pos="9025" w:leader="dot"/>
            </w:tabs>
            <w:rPr/>
          </w:pPr>
          <w:hyperlink w:anchor="__RefHeading___Toc15391_1606252305">
            <w:r>
              <w:rPr>
                <w:webHidden/>
                <w:rStyle w:val="IndexLink"/>
              </w:rPr>
              <w:t>6.2 Environment layout</w:t>
              <w:tab/>
              <w:t>13</w:t>
            </w:r>
          </w:hyperlink>
        </w:p>
        <w:p>
          <w:pPr>
            <w:pStyle w:val="TOC2"/>
            <w:tabs>
              <w:tab w:val="clear" w:pos="900"/>
              <w:tab w:val="clear" w:pos="9350"/>
              <w:tab w:val="right" w:pos="9025" w:leader="dot"/>
            </w:tabs>
            <w:rPr/>
          </w:pPr>
          <w:hyperlink w:anchor="__RefHeading___Toc15393_1606252305">
            <w:r>
              <w:rPr>
                <w:webHidden/>
                <w:rStyle w:val="IndexLink"/>
              </w:rPr>
              <w:t>6.3 Network zones</w:t>
              <w:tab/>
              <w:t>13</w:t>
            </w:r>
          </w:hyperlink>
        </w:p>
        <w:p>
          <w:pPr>
            <w:pStyle w:val="TOC2"/>
            <w:tabs>
              <w:tab w:val="clear" w:pos="900"/>
              <w:tab w:val="clear" w:pos="9350"/>
              <w:tab w:val="right" w:pos="9025" w:leader="dot"/>
            </w:tabs>
            <w:rPr/>
          </w:pPr>
          <w:hyperlink w:anchor="__RefHeading___Toc15395_1606252305">
            <w:r>
              <w:rPr>
                <w:webHidden/>
                <w:rStyle w:val="IndexLink"/>
              </w:rPr>
              <w:t>6.4 Option A: customer cloud on AWS (Singapore)</w:t>
              <w:tab/>
              <w:t>14</w:t>
            </w:r>
          </w:hyperlink>
        </w:p>
        <w:p>
          <w:pPr>
            <w:pStyle w:val="TOC2"/>
            <w:tabs>
              <w:tab w:val="clear" w:pos="900"/>
              <w:tab w:val="clear" w:pos="9350"/>
              <w:tab w:val="right" w:pos="9025" w:leader="dot"/>
            </w:tabs>
            <w:rPr/>
          </w:pPr>
          <w:hyperlink w:anchor="__RefHeading___Toc15397_1606252305">
            <w:r>
              <w:rPr>
                <w:webHidden/>
                <w:rStyle w:val="IndexLink"/>
              </w:rPr>
              <w:t>6.5 Option B: Microsoft Azure (Southeast Asia)</w:t>
              <w:tab/>
              <w:t>15</w:t>
            </w:r>
          </w:hyperlink>
        </w:p>
        <w:p>
          <w:pPr>
            <w:pStyle w:val="TOC2"/>
            <w:tabs>
              <w:tab w:val="clear" w:pos="900"/>
              <w:tab w:val="clear" w:pos="9350"/>
              <w:tab w:val="right" w:pos="9025" w:leader="dot"/>
            </w:tabs>
            <w:rPr/>
          </w:pPr>
          <w:hyperlink w:anchor="__RefHeading___Toc15399_1606252305">
            <w:r>
              <w:rPr>
                <w:webHidden/>
                <w:rStyle w:val="IndexLink"/>
              </w:rPr>
              <w:t>6.6 Option C: local partner or on-premise data centre in the Philippines</w:t>
              <w:tab/>
              <w:t>16</w:t>
            </w:r>
          </w:hyperlink>
        </w:p>
        <w:p>
          <w:pPr>
            <w:pStyle w:val="TOC2"/>
            <w:tabs>
              <w:tab w:val="clear" w:pos="900"/>
              <w:tab w:val="clear" w:pos="9350"/>
              <w:tab w:val="right" w:pos="9025" w:leader="dot"/>
            </w:tabs>
            <w:rPr/>
          </w:pPr>
          <w:hyperlink w:anchor="__RefHeading___Toc15401_1606252305">
            <w:r>
              <w:rPr>
                <w:webHidden/>
                <w:rStyle w:val="IndexLink"/>
              </w:rPr>
              <w:t>6.7 Sizing by broker size</w:t>
              <w:tab/>
              <w:t>16</w:t>
            </w:r>
          </w:hyperlink>
        </w:p>
        <w:p>
          <w:pPr>
            <w:pStyle w:val="TOC2"/>
            <w:tabs>
              <w:tab w:val="clear" w:pos="900"/>
              <w:tab w:val="clear" w:pos="9350"/>
              <w:tab w:val="right" w:pos="9025" w:leader="dot"/>
            </w:tabs>
            <w:rPr/>
          </w:pPr>
          <w:hyperlink w:anchor="__RefHeading___Toc15403_1606252305">
            <w:r>
              <w:rPr>
                <w:webHidden/>
                <w:rStyle w:val="IndexLink"/>
              </w:rPr>
              <w:t>6.8 Indicative monthly cost</w:t>
              <w:tab/>
              <w:t>17</w:t>
            </w:r>
          </w:hyperlink>
        </w:p>
        <w:p>
          <w:pPr>
            <w:pStyle w:val="TOC1"/>
            <w:tabs>
              <w:tab w:val="clear" w:pos="900"/>
              <w:tab w:val="clear" w:pos="9350"/>
              <w:tab w:val="right" w:pos="9025" w:leader="dot"/>
            </w:tabs>
            <w:rPr/>
          </w:pPr>
          <w:hyperlink w:anchor="__RefHeading___Toc15405_1606252305">
            <w:r>
              <w:rPr>
                <w:webHidden/>
                <w:rStyle w:val="IndexLink"/>
              </w:rPr>
              <w:t>7. CI/CD and release management</w:t>
              <w:tab/>
              <w:t>18</w:t>
            </w:r>
          </w:hyperlink>
        </w:p>
        <w:p>
          <w:pPr>
            <w:pStyle w:val="TOC2"/>
            <w:tabs>
              <w:tab w:val="clear" w:pos="900"/>
              <w:tab w:val="clear" w:pos="9350"/>
              <w:tab w:val="right" w:pos="9025" w:leader="dot"/>
            </w:tabs>
            <w:rPr/>
          </w:pPr>
          <w:hyperlink w:anchor="__RefHeading___Toc15407_1606252305">
            <w:r>
              <w:rPr>
                <w:webHidden/>
                <w:rStyle w:val="IndexLink"/>
              </w:rPr>
              <w:t>7.1 Workflows in the repository</w:t>
              <w:tab/>
              <w:t>18</w:t>
            </w:r>
          </w:hyperlink>
        </w:p>
        <w:p>
          <w:pPr>
            <w:pStyle w:val="TOC2"/>
            <w:tabs>
              <w:tab w:val="clear" w:pos="900"/>
              <w:tab w:val="clear" w:pos="9350"/>
              <w:tab w:val="right" w:pos="9025" w:leader="dot"/>
            </w:tabs>
            <w:rPr/>
          </w:pPr>
          <w:hyperlink w:anchor="__RefHeading___Toc15409_1606252305">
            <w:r>
              <w:rPr>
                <w:webHidden/>
                <w:rStyle w:val="IndexLink"/>
              </w:rPr>
              <w:t>7.2 Release process</w:t>
              <w:tab/>
              <w:t>18</w:t>
            </w:r>
          </w:hyperlink>
        </w:p>
        <w:p>
          <w:pPr>
            <w:pStyle w:val="TOC2"/>
            <w:tabs>
              <w:tab w:val="clear" w:pos="900"/>
              <w:tab w:val="clear" w:pos="9350"/>
              <w:tab w:val="right" w:pos="9025" w:leader="dot"/>
            </w:tabs>
            <w:rPr/>
          </w:pPr>
          <w:hyperlink w:anchor="__RefHeading___Toc15411_1606252305">
            <w:r>
              <w:rPr>
                <w:webHidden/>
                <w:rStyle w:val="IndexLink"/>
              </w:rPr>
              <w:t>7.3 Environment configuration and secrets</w:t>
              <w:tab/>
              <w:t>19</w:t>
            </w:r>
          </w:hyperlink>
        </w:p>
        <w:p>
          <w:pPr>
            <w:pStyle w:val="TOC2"/>
            <w:tabs>
              <w:tab w:val="clear" w:pos="900"/>
              <w:tab w:val="clear" w:pos="9350"/>
              <w:tab w:val="right" w:pos="9025" w:leader="dot"/>
            </w:tabs>
            <w:rPr/>
          </w:pPr>
          <w:hyperlink w:anchor="__RefHeading___Toc15413_1606252305">
            <w:r>
              <w:rPr>
                <w:webHidden/>
                <w:rStyle w:val="IndexLink"/>
              </w:rPr>
              <w:t>7.4 Database migrations on start</w:t>
              <w:tab/>
              <w:t>19</w:t>
            </w:r>
          </w:hyperlink>
        </w:p>
        <w:p>
          <w:pPr>
            <w:pStyle w:val="TOC1"/>
            <w:tabs>
              <w:tab w:val="clear" w:pos="900"/>
              <w:tab w:val="clear" w:pos="9350"/>
              <w:tab w:val="right" w:pos="9025" w:leader="dot"/>
            </w:tabs>
            <w:rPr/>
          </w:pPr>
          <w:hyperlink w:anchor="__RefHeading___Toc15415_1606252305">
            <w:r>
              <w:rPr>
                <w:webHidden/>
                <w:rStyle w:val="IndexLink"/>
              </w:rPr>
              <w:t>8. High availability, backup and recovery</w:t>
              <w:tab/>
              <w:t>21</w:t>
            </w:r>
          </w:hyperlink>
        </w:p>
        <w:p>
          <w:pPr>
            <w:pStyle w:val="TOC2"/>
            <w:tabs>
              <w:tab w:val="clear" w:pos="900"/>
              <w:tab w:val="clear" w:pos="9350"/>
              <w:tab w:val="right" w:pos="9025" w:leader="dot"/>
            </w:tabs>
            <w:rPr/>
          </w:pPr>
          <w:hyperlink w:anchor="__RefHeading___Toc15417_1606252305">
            <w:r>
              <w:rPr>
                <w:webHidden/>
                <w:rStyle w:val="IndexLink"/>
              </w:rPr>
              <w:t>8.1 Resilience properties of the application</w:t>
              <w:tab/>
              <w:t>21</w:t>
            </w:r>
          </w:hyperlink>
        </w:p>
        <w:p>
          <w:pPr>
            <w:pStyle w:val="TOC2"/>
            <w:tabs>
              <w:tab w:val="clear" w:pos="900"/>
              <w:tab w:val="clear" w:pos="9350"/>
              <w:tab w:val="right" w:pos="9025" w:leader="dot"/>
            </w:tabs>
            <w:rPr/>
          </w:pPr>
          <w:hyperlink w:anchor="__RefHeading___Toc15419_1606252305">
            <w:r>
              <w:rPr>
                <w:webHidden/>
                <w:rStyle w:val="IndexLink"/>
              </w:rPr>
              <w:t>8.2 Recovery objectives</w:t>
              <w:tab/>
              <w:t>22</w:t>
            </w:r>
          </w:hyperlink>
        </w:p>
        <w:p>
          <w:pPr>
            <w:pStyle w:val="TOC2"/>
            <w:tabs>
              <w:tab w:val="clear" w:pos="900"/>
              <w:tab w:val="clear" w:pos="9350"/>
              <w:tab w:val="right" w:pos="9025" w:leader="dot"/>
            </w:tabs>
            <w:rPr/>
          </w:pPr>
          <w:hyperlink w:anchor="__RefHeading___Toc15421_1606252305">
            <w:r>
              <w:rPr>
                <w:webHidden/>
                <w:rStyle w:val="IndexLink"/>
              </w:rPr>
              <w:t>8.3 Backup</w:t>
              <w:tab/>
              <w:t>22</w:t>
            </w:r>
          </w:hyperlink>
        </w:p>
        <w:p>
          <w:pPr>
            <w:pStyle w:val="TOC2"/>
            <w:tabs>
              <w:tab w:val="clear" w:pos="900"/>
              <w:tab w:val="clear" w:pos="9350"/>
              <w:tab w:val="right" w:pos="9025" w:leader="dot"/>
            </w:tabs>
            <w:rPr/>
          </w:pPr>
          <w:hyperlink w:anchor="__RefHeading___Toc15423_1606252305">
            <w:r>
              <w:rPr>
                <w:webHidden/>
                <w:rStyle w:val="IndexLink"/>
              </w:rPr>
              <w:t>8.4 Archival and housekeeping</w:t>
              <w:tab/>
              <w:t>23</w:t>
            </w:r>
          </w:hyperlink>
        </w:p>
        <w:p>
          <w:pPr>
            <w:pStyle w:val="TOC2"/>
            <w:tabs>
              <w:tab w:val="clear" w:pos="900"/>
              <w:tab w:val="clear" w:pos="9350"/>
              <w:tab w:val="right" w:pos="9025" w:leader="dot"/>
            </w:tabs>
            <w:rPr/>
          </w:pPr>
          <w:hyperlink w:anchor="__RefHeading___Toc15425_1606252305">
            <w:r>
              <w:rPr>
                <w:webHidden/>
                <w:rStyle w:val="IndexLink"/>
              </w:rPr>
              <w:t>8.5 Monitoring and alerting</w:t>
              <w:tab/>
              <w:t>24</w:t>
            </w:r>
          </w:hyperlink>
        </w:p>
        <w:p>
          <w:pPr>
            <w:pStyle w:val="TOC1"/>
            <w:tabs>
              <w:tab w:val="clear" w:pos="900"/>
              <w:tab w:val="clear" w:pos="9350"/>
              <w:tab w:val="right" w:pos="9025" w:leader="dot"/>
            </w:tabs>
            <w:rPr/>
          </w:pPr>
          <w:hyperlink w:anchor="__RefHeading___Toc15427_1606252305">
            <w:r>
              <w:rPr>
                <w:webHidden/>
                <w:rStyle w:val="IndexLink"/>
              </w:rPr>
              <w:t>9. Security architecture</w:t>
              <w:tab/>
              <w:t>26</w:t>
            </w:r>
          </w:hyperlink>
        </w:p>
        <w:p>
          <w:pPr>
            <w:pStyle w:val="TOC2"/>
            <w:tabs>
              <w:tab w:val="clear" w:pos="900"/>
              <w:tab w:val="clear" w:pos="9350"/>
              <w:tab w:val="right" w:pos="9025" w:leader="dot"/>
            </w:tabs>
            <w:rPr/>
          </w:pPr>
          <w:hyperlink w:anchor="__RefHeading___Toc15429_1606252305">
            <w:r>
              <w:rPr>
                <w:webHidden/>
                <w:rStyle w:val="IndexLink"/>
              </w:rPr>
              <w:t>9.1 Identity and authentication</w:t>
              <w:tab/>
              <w:t>26</w:t>
            </w:r>
          </w:hyperlink>
        </w:p>
        <w:p>
          <w:pPr>
            <w:pStyle w:val="TOC2"/>
            <w:tabs>
              <w:tab w:val="clear" w:pos="900"/>
              <w:tab w:val="clear" w:pos="9350"/>
              <w:tab w:val="right" w:pos="9025" w:leader="dot"/>
            </w:tabs>
            <w:rPr/>
          </w:pPr>
          <w:hyperlink w:anchor="__RefHeading___Toc15431_1606252305">
            <w:r>
              <w:rPr>
                <w:webHidden/>
                <w:rStyle w:val="IndexLink"/>
              </w:rPr>
              <w:t>9.2 Authorisation, maker-checker and segregation of duties</w:t>
              <w:tab/>
              <w:t>26</w:t>
            </w:r>
          </w:hyperlink>
        </w:p>
        <w:p>
          <w:pPr>
            <w:pStyle w:val="TOC2"/>
            <w:tabs>
              <w:tab w:val="clear" w:pos="900"/>
              <w:tab w:val="clear" w:pos="9350"/>
              <w:tab w:val="right" w:pos="9025" w:leader="dot"/>
            </w:tabs>
            <w:rPr/>
          </w:pPr>
          <w:hyperlink w:anchor="__RefHeading___Toc15433_1606252305">
            <w:r>
              <w:rPr>
                <w:webHidden/>
                <w:rStyle w:val="IndexLink"/>
              </w:rPr>
              <w:t>9.3 Application security controls (OWASP Top 10, 2021)</w:t>
              <w:tab/>
              <w:t>27</w:t>
            </w:r>
          </w:hyperlink>
        </w:p>
        <w:p>
          <w:pPr>
            <w:pStyle w:val="TOC2"/>
            <w:tabs>
              <w:tab w:val="clear" w:pos="900"/>
              <w:tab w:val="clear" w:pos="9350"/>
              <w:tab w:val="right" w:pos="9025" w:leader="dot"/>
            </w:tabs>
            <w:rPr/>
          </w:pPr>
          <w:hyperlink w:anchor="__RefHeading___Toc15435_1606252305">
            <w:r>
              <w:rPr>
                <w:webHidden/>
                <w:rStyle w:val="IndexLink"/>
              </w:rPr>
              <w:t>9.4 Encryption</w:t>
              <w:tab/>
              <w:t>28</w:t>
            </w:r>
          </w:hyperlink>
        </w:p>
        <w:p>
          <w:pPr>
            <w:pStyle w:val="TOC2"/>
            <w:tabs>
              <w:tab w:val="clear" w:pos="900"/>
              <w:tab w:val="clear" w:pos="9350"/>
              <w:tab w:val="right" w:pos="9025" w:leader="dot"/>
            </w:tabs>
            <w:rPr/>
          </w:pPr>
          <w:hyperlink w:anchor="__RefHeading___Toc15437_1606252305">
            <w:r>
              <w:rPr>
                <w:webHidden/>
                <w:rStyle w:val="IndexLink"/>
              </w:rPr>
              <w:t>9.5 Audit trail and logging</w:t>
              <w:tab/>
              <w:t>29</w:t>
            </w:r>
          </w:hyperlink>
        </w:p>
        <w:p>
          <w:pPr>
            <w:pStyle w:val="TOC2"/>
            <w:tabs>
              <w:tab w:val="clear" w:pos="900"/>
              <w:tab w:val="clear" w:pos="9350"/>
              <w:tab w:val="right" w:pos="9025" w:leader="dot"/>
            </w:tabs>
            <w:rPr/>
          </w:pPr>
          <w:hyperlink w:anchor="__RefHeading___Toc15439_1606252305">
            <w:r>
              <w:rPr>
                <w:webHidden/>
                <w:rStyle w:val="IndexLink"/>
              </w:rPr>
              <w:t>9.6 Vulnerability management</w:t>
              <w:tab/>
              <w:t>29</w:t>
            </w:r>
          </w:hyperlink>
        </w:p>
        <w:p>
          <w:pPr>
            <w:pStyle w:val="TOC2"/>
            <w:tabs>
              <w:tab w:val="clear" w:pos="900"/>
              <w:tab w:val="clear" w:pos="9350"/>
              <w:tab w:val="right" w:pos="9025" w:leader="dot"/>
            </w:tabs>
            <w:rPr/>
          </w:pPr>
          <w:hyperlink w:anchor="__RefHeading___Toc15441_1606252305">
            <w:r>
              <w:rPr>
                <w:webHidden/>
                <w:rStyle w:val="IndexLink"/>
              </w:rPr>
              <w:t>9.7 Penetration testing approach</w:t>
              <w:tab/>
              <w:t>29</w:t>
            </w:r>
          </w:hyperlink>
        </w:p>
        <w:p>
          <w:pPr>
            <w:pStyle w:val="TOC2"/>
            <w:tabs>
              <w:tab w:val="clear" w:pos="900"/>
              <w:tab w:val="clear" w:pos="9350"/>
              <w:tab w:val="right" w:pos="9025" w:leader="dot"/>
            </w:tabs>
            <w:rPr/>
          </w:pPr>
          <w:hyperlink w:anchor="__RefHeading___Toc15443_1606252305">
            <w:r>
              <w:rPr>
                <w:webHidden/>
                <w:rStyle w:val="IndexLink"/>
              </w:rPr>
              <w:t>9.8 Secure development lifecycle</w:t>
              <w:tab/>
              <w:t>30</w:t>
            </w:r>
          </w:hyperlink>
        </w:p>
        <w:p>
          <w:pPr>
            <w:pStyle w:val="TOC1"/>
            <w:tabs>
              <w:tab w:val="clear" w:pos="900"/>
              <w:tab w:val="clear" w:pos="9350"/>
              <w:tab w:val="right" w:pos="9025" w:leader="dot"/>
            </w:tabs>
            <w:rPr/>
          </w:pPr>
          <w:hyperlink w:anchor="__RefHeading___Toc15445_1606252305">
            <w:r>
              <w:rPr>
                <w:webHidden/>
                <w:rStyle w:val="IndexLink"/>
              </w:rPr>
              <w:t>10. Data privacy</w:t>
              <w:tab/>
              <w:t>31</w:t>
            </w:r>
          </w:hyperlink>
        </w:p>
        <w:p>
          <w:pPr>
            <w:pStyle w:val="TOC2"/>
            <w:tabs>
              <w:tab w:val="clear" w:pos="900"/>
              <w:tab w:val="clear" w:pos="9350"/>
              <w:tab w:val="right" w:pos="9025" w:leader="dot"/>
            </w:tabs>
            <w:rPr/>
          </w:pPr>
          <w:hyperlink w:anchor="__RefHeading___Toc15447_1606252305">
            <w:r>
              <w:rPr>
                <w:webHidden/>
                <w:rStyle w:val="IndexLink"/>
              </w:rPr>
              <w:t>10.1 Legal framework</w:t>
              <w:tab/>
              <w:t>31</w:t>
            </w:r>
          </w:hyperlink>
        </w:p>
        <w:p>
          <w:pPr>
            <w:pStyle w:val="TOC2"/>
            <w:tabs>
              <w:tab w:val="clear" w:pos="900"/>
              <w:tab w:val="clear" w:pos="9350"/>
              <w:tab w:val="right" w:pos="9025" w:leader="dot"/>
            </w:tabs>
            <w:rPr/>
          </w:pPr>
          <w:hyperlink w:anchor="__RefHeading___Toc15449_1606252305">
            <w:r>
              <w:rPr>
                <w:webHidden/>
                <w:rStyle w:val="IndexLink"/>
              </w:rPr>
              <w:t>10.2 Roles under the DPA</w:t>
              <w:tab/>
              <w:t>31</w:t>
            </w:r>
          </w:hyperlink>
        </w:p>
        <w:p>
          <w:pPr>
            <w:pStyle w:val="TOC2"/>
            <w:tabs>
              <w:tab w:val="clear" w:pos="900"/>
              <w:tab w:val="clear" w:pos="9350"/>
              <w:tab w:val="right" w:pos="9025" w:leader="dot"/>
            </w:tabs>
            <w:rPr/>
          </w:pPr>
          <w:hyperlink w:anchor="__RefHeading___Toc15451_1606252305">
            <w:r>
              <w:rPr>
                <w:webHidden/>
                <w:rStyle w:val="IndexLink"/>
              </w:rPr>
              <w:t>10.3 Personal data held in BrokerVerse</w:t>
              <w:tab/>
              <w:t>31</w:t>
            </w:r>
          </w:hyperlink>
        </w:p>
        <w:p>
          <w:pPr>
            <w:pStyle w:val="TOC2"/>
            <w:tabs>
              <w:tab w:val="clear" w:pos="900"/>
              <w:tab w:val="clear" w:pos="9350"/>
              <w:tab w:val="right" w:pos="9025" w:leader="dot"/>
            </w:tabs>
            <w:rPr/>
          </w:pPr>
          <w:hyperlink w:anchor="__RefHeading___Toc15453_1606252305">
            <w:r>
              <w:rPr>
                <w:webHidden/>
                <w:rStyle w:val="IndexLink"/>
              </w:rPr>
              <w:t>10.4 Lawful basis and consent</w:t>
              <w:tab/>
              <w:t>32</w:t>
            </w:r>
          </w:hyperlink>
        </w:p>
        <w:p>
          <w:pPr>
            <w:pStyle w:val="TOC2"/>
            <w:tabs>
              <w:tab w:val="clear" w:pos="900"/>
              <w:tab w:val="clear" w:pos="9350"/>
              <w:tab w:val="right" w:pos="9025" w:leader="dot"/>
            </w:tabs>
            <w:rPr/>
          </w:pPr>
          <w:hyperlink w:anchor="__RefHeading___Toc15455_1606252305">
            <w:r>
              <w:rPr>
                <w:webHidden/>
                <w:rStyle w:val="IndexLink"/>
              </w:rPr>
              <w:t>10.5 Data subject rights</w:t>
              <w:tab/>
              <w:t>32</w:t>
            </w:r>
          </w:hyperlink>
        </w:p>
        <w:p>
          <w:pPr>
            <w:pStyle w:val="TOC2"/>
            <w:tabs>
              <w:tab w:val="clear" w:pos="900"/>
              <w:tab w:val="clear" w:pos="9350"/>
              <w:tab w:val="right" w:pos="9025" w:leader="dot"/>
            </w:tabs>
            <w:rPr/>
          </w:pPr>
          <w:hyperlink w:anchor="__RefHeading___Toc15457_1606252305">
            <w:r>
              <w:rPr>
                <w:webHidden/>
                <w:rStyle w:val="IndexLink"/>
              </w:rPr>
              <w:t>10.6 Retention and disposal</w:t>
              <w:tab/>
              <w:t>33</w:t>
            </w:r>
          </w:hyperlink>
        </w:p>
        <w:p>
          <w:pPr>
            <w:pStyle w:val="TOC2"/>
            <w:tabs>
              <w:tab w:val="clear" w:pos="900"/>
              <w:tab w:val="clear" w:pos="9350"/>
              <w:tab w:val="right" w:pos="9025" w:leader="dot"/>
            </w:tabs>
            <w:rPr/>
          </w:pPr>
          <w:hyperlink w:anchor="__RefHeading___Toc15459_1606252305">
            <w:r>
              <w:rPr>
                <w:webHidden/>
                <w:rStyle w:val="IndexLink"/>
              </w:rPr>
              <w:t>10.7 Security of personal data</w:t>
              <w:tab/>
              <w:t>33</w:t>
            </w:r>
          </w:hyperlink>
        </w:p>
        <w:p>
          <w:pPr>
            <w:pStyle w:val="TOC2"/>
            <w:tabs>
              <w:tab w:val="clear" w:pos="900"/>
              <w:tab w:val="clear" w:pos="9350"/>
              <w:tab w:val="right" w:pos="9025" w:leader="dot"/>
            </w:tabs>
            <w:rPr/>
          </w:pPr>
          <w:hyperlink w:anchor="__RefHeading___Toc15461_1606252305">
            <w:r>
              <w:rPr>
                <w:webHidden/>
                <w:rStyle w:val="IndexLink"/>
              </w:rPr>
              <w:t>10.8 Cross-border transfer</w:t>
              <w:tab/>
              <w:t>33</w:t>
            </w:r>
          </w:hyperlink>
        </w:p>
        <w:p>
          <w:pPr>
            <w:pStyle w:val="TOC2"/>
            <w:tabs>
              <w:tab w:val="clear" w:pos="900"/>
              <w:tab w:val="clear" w:pos="9350"/>
              <w:tab w:val="right" w:pos="9025" w:leader="dot"/>
            </w:tabs>
            <w:rPr/>
          </w:pPr>
          <w:hyperlink w:anchor="__RefHeading___Toc15463_1606252305">
            <w:r>
              <w:rPr>
                <w:webHidden/>
                <w:rStyle w:val="IndexLink"/>
              </w:rPr>
              <w:t>10.9 Breach management</w:t>
              <w:tab/>
              <w:t>33</w:t>
            </w:r>
          </w:hyperlink>
        </w:p>
        <w:p>
          <w:pPr>
            <w:pStyle w:val="TOC1"/>
            <w:tabs>
              <w:tab w:val="clear" w:pos="900"/>
              <w:tab w:val="clear" w:pos="9350"/>
              <w:tab w:val="right" w:pos="9025" w:leader="dot"/>
            </w:tabs>
            <w:rPr/>
          </w:pPr>
          <w:hyperlink w:anchor="__RefHeading___Toc15465_1606252305">
            <w:r>
              <w:rPr>
                <w:webHidden/>
                <w:rStyle w:val="IndexLink"/>
              </w:rPr>
              <w:t>11. Insurance Commission and records</w:t>
              <w:tab/>
              <w:t>35</w:t>
            </w:r>
          </w:hyperlink>
        </w:p>
        <w:p>
          <w:pPr>
            <w:pStyle w:val="TOC1"/>
            <w:tabs>
              <w:tab w:val="clear" w:pos="900"/>
              <w:tab w:val="clear" w:pos="9350"/>
              <w:tab w:val="right" w:pos="9025" w:leader="dot"/>
            </w:tabs>
            <w:rPr/>
          </w:pPr>
          <w:hyperlink w:anchor="__RefHeading___Toc15467_1606252305">
            <w:r>
              <w:rPr>
                <w:webHidden/>
                <w:rStyle w:val="IndexLink"/>
              </w:rPr>
              <w:t>12. Compliance checklist</w:t>
              <w:tab/>
              <w:t>36</w:t>
            </w:r>
          </w:hyperlink>
        </w:p>
        <w:p>
          <w:pPr>
            <w:pStyle w:val="TOC1"/>
            <w:tabs>
              <w:tab w:val="clear" w:pos="900"/>
              <w:tab w:val="clear" w:pos="9350"/>
              <w:tab w:val="right" w:pos="9025" w:leader="dot"/>
            </w:tabs>
            <w:rPr/>
          </w:pPr>
          <w:hyperlink w:anchor="__RefHeading___Toc15469_1606252305">
            <w:r>
              <w:rPr>
                <w:webHidden/>
                <w:rStyle w:val="IndexLink"/>
                <w:i w:val="false"/>
                <w:iCs w:val="false"/>
              </w:rPr>
              <w:t>13. Document Sign-Off</w:t>
            </w:r>
            <w:r>
              <w:rPr>
                <w:rStyle w:val="IndexLink"/>
              </w:rPr>
              <w:tab/>
              <w:t>38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5355_160625230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5357_160625230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(Republic Act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Implementing Rules and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controller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processor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Single-page application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RDS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Amazon Relational Database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EFS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Amazon Elastic File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application firewall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Content delivery network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JSON Web Token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r>
        <w:br w:type="page"/>
      </w:r>
    </w:p>
    <w:p>
      <w:pPr>
        <w:pStyle w:val="Heading1"/>
        <w:rPr/>
      </w:pPr>
      <w:bookmarkStart w:id="6" w:name="__RefHeading___Toc15359_1606252305"/>
      <w:bookmarkEnd w:id="6"/>
      <w:r>
        <w:rPr>
          <w:rFonts w:eastAsia="Segoe UI" w:cs="Segoe UI" w:ascii="Segoe UI" w:hAnsi="Segoe UI"/>
          <w:b/>
          <w:color w:val="0F4761"/>
          <w:sz w:val="32"/>
        </w:rPr>
        <w:t>3.  Introduction</w:t>
      </w:r>
    </w:p>
    <w:p>
      <w:pPr>
        <w:pStyle w:val="Heading2"/>
        <w:rPr/>
      </w:pPr>
      <w:bookmarkStart w:id="7" w:name="__RefHeading___Toc15361_1606252305"/>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how BrokerVerse OOTB is built, how it can be hosted for a Philippine non-life insurance broker, how it is secured and how it supports the broker's obligations under the Data Privacy Act of 2012. It is written for the broker's management, IT, compliance and data protection officer, and for the support team that takes over the system.</w:t>
      </w:r>
    </w:p>
    <w:p>
      <w:pPr>
        <w:pStyle w:val="Heading2"/>
        <w:rPr/>
      </w:pPr>
      <w:bookmarkStart w:id="8" w:name="__RefHeading___Toc15363_1606252305"/>
      <w:bookmarkEnd w:id="8"/>
      <w:r>
        <w:rPr>
          <w:rFonts w:eastAsia="Segoe UI" w:cs="Segoe UI"/>
          <w:b/>
          <w:color w:val="0F4761"/>
          <w:sz w:val="26"/>
        </w:rPr>
        <w:t>3.2  Sources and conventions</w:t>
      </w:r>
    </w:p>
    <w:p>
      <w:pPr>
        <w:pStyle w:val="Normal"/>
        <w:spacing w:lineRule="auto" w:line="276" w:before="0" w:after="120"/>
        <w:rPr/>
      </w:pPr>
      <w:r>
        <w:rPr>
          <w:rFonts w:eastAsia="Segoe UI" w:cs="Segoe UI" w:ascii="Segoe UI" w:hAnsi="Segoe UI"/>
          <w:color w:val="101820"/>
          <w:sz w:val="21"/>
        </w:rPr>
        <w:t xml:space="preserve">The facts in this document come from the source code and configuration of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(backend in </w:t>
      </w:r>
      <w:r>
        <w:rPr>
          <w:rFonts w:eastAsia="Consolas" w:cs="Consolas" w:ascii="Consolas" w:hAnsi="Consolas"/>
          <w:color w:val="101820"/>
          <w:sz w:val="19"/>
        </w:rPr>
        <w:t>backend/</w:t>
      </w:r>
      <w:r>
        <w:rPr>
          <w:rFonts w:eastAsia="Segoe UI" w:cs="Segoe UI" w:ascii="Segoe UI" w:hAnsi="Segoe UI"/>
          <w:color w:val="101820"/>
          <w:sz w:val="21"/>
        </w:rPr>
        <w:t xml:space="preserve">, front end in </w:t>
      </w:r>
      <w:r>
        <w:rPr>
          <w:rFonts w:eastAsia="Consolas" w:cs="Consolas" w:ascii="Consolas" w:hAnsi="Consolas"/>
          <w:color w:val="101820"/>
          <w:sz w:val="19"/>
        </w:rPr>
        <w:t>brokerverse/</w:t>
      </w:r>
      <w:r>
        <w:rPr>
          <w:rFonts w:eastAsia="Segoe UI" w:cs="Segoe UI" w:ascii="Segoe UI" w:hAnsi="Segoe UI"/>
          <w:color w:val="101820"/>
          <w:sz w:val="21"/>
        </w:rPr>
        <w:t xml:space="preserve">), the deployment package in </w:t>
      </w:r>
      <w:r>
        <w:rPr>
          <w:rFonts w:eastAsia="Consolas" w:cs="Consolas" w:ascii="Consolas" w:hAnsi="Consolas"/>
          <w:color w:val="101820"/>
          <w:sz w:val="19"/>
        </w:rPr>
        <w:t>deploy/</w:t>
      </w:r>
      <w:r>
        <w:rPr>
          <w:rFonts w:eastAsia="Segoe UI" w:cs="Segoe UI" w:ascii="Segoe UI" w:hAnsi="Segoe UI"/>
          <w:color w:val="101820"/>
          <w:sz w:val="21"/>
        </w:rPr>
        <w:t xml:space="preserve">, the GitHub workflows in </w:t>
      </w:r>
      <w:r>
        <w:rPr>
          <w:rFonts w:eastAsia="Consolas" w:cs="Consolas" w:ascii="Consolas" w:hAnsi="Consolas"/>
          <w:color w:val="101820"/>
          <w:sz w:val="19"/>
        </w:rPr>
        <w:t>.github/workflows/</w:t>
      </w:r>
      <w:r>
        <w:rPr>
          <w:rFonts w:eastAsia="Segoe UI" w:cs="Segoe UI" w:ascii="Segoe UI" w:hAnsi="Segoe UI"/>
          <w:color w:val="101820"/>
          <w:sz w:val="21"/>
        </w:rPr>
        <w:t xml:space="preserve">, </w:t>
      </w:r>
      <w:r>
        <w:rPr>
          <w:rFonts w:eastAsia="Consolas" w:cs="Consolas" w:ascii="Consolas" w:hAnsi="Consolas"/>
          <w:color w:val="101820"/>
          <w:sz w:val="19"/>
        </w:rPr>
        <w:t>docker-compose.yml</w:t>
      </w:r>
      <w:r>
        <w:rPr>
          <w:rFonts w:eastAsia="Segoe UI" w:cs="Segoe UI" w:ascii="Segoe UI" w:hAnsi="Segoe UI"/>
          <w:color w:val="101820"/>
          <w:sz w:val="21"/>
        </w:rPr>
        <w:t xml:space="preserve">, the onboarding guides in </w:t>
      </w:r>
      <w:r>
        <w:rPr>
          <w:rFonts w:eastAsia="Consolas" w:cs="Consolas" w:ascii="Consolas" w:hAnsi="Consolas"/>
          <w:color w:val="101820"/>
          <w:sz w:val="19"/>
        </w:rPr>
        <w:t>docs/onboarding/</w:t>
      </w:r>
      <w:r>
        <w:rPr>
          <w:rFonts w:eastAsia="Segoe UI" w:cs="Segoe UI" w:ascii="Segoe UI" w:hAnsi="Segoe UI"/>
          <w:color w:val="101820"/>
          <w:sz w:val="21"/>
        </w:rPr>
        <w:t xml:space="preserve"> and the eleven Solution Architecture documents in </w:t>
      </w:r>
      <w:r>
        <w:rPr>
          <w:rFonts w:eastAsia="Consolas" w:cs="Consolas" w:ascii="Consolas" w:hAnsi="Consolas"/>
          <w:color w:val="101820"/>
          <w:sz w:val="19"/>
        </w:rPr>
        <w:t>docs/architecture/</w:t>
      </w:r>
      <w:r>
        <w:rPr>
          <w:rFonts w:eastAsia="Segoe UI" w:cs="Segoe UI" w:ascii="Segoe UI" w:hAnsi="Segoe UI"/>
          <w:color w:val="101820"/>
          <w:sz w:val="21"/>
        </w:rPr>
        <w:t xml:space="preserve"> (version 1.1, 29 September 2026).</w:t>
      </w:r>
    </w:p>
    <w:p>
      <w:pPr>
        <w:pStyle w:val="Normal"/>
        <w:numPr>
          <w:ilvl w:val="0"/>
          <w:numId w:val="1"/>
        </w:numPr>
        <w:spacing w:before="0" w:after="60"/>
        <w:rPr/>
      </w:pPr>
      <w:r>
        <w:rPr>
          <w:rFonts w:eastAsia="Segoe UI" w:cs="Segoe UI" w:ascii="Segoe UI" w:hAnsi="Segoe UI"/>
          <w:color w:val="101820"/>
          <w:sz w:val="21"/>
        </w:rPr>
        <w:t>Statements without a label describe what the system does today.</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 design choice, a size, a threshold or a procedure that iorta TechNXT advises but that is not built into the code or the deployment package. It must be confirmed by the broker and the hosting team.</w:t>
      </w:r>
    </w:p>
    <w:p>
      <w:pPr>
        <w:pStyle w:val="Normal"/>
        <w:numPr>
          <w:ilvl w:val="0"/>
          <w:numId w:val="1"/>
        </w:numPr>
        <w:spacing w:before="0" w:after="60"/>
        <w:rPr/>
      </w:pPr>
      <w:r>
        <w:rPr>
          <w:rFonts w:eastAsia="Segoe UI" w:cs="Segoe UI" w:ascii="Segoe UI" w:hAnsi="Segoe UI"/>
          <w:b/>
          <w:color w:val="101820"/>
          <w:sz w:val="21"/>
        </w:rPr>
        <w:t>Indicative</w:t>
      </w:r>
      <w:r>
        <w:rPr>
          <w:rFonts w:eastAsia="Segoe UI" w:cs="Segoe UI" w:ascii="Segoe UI" w:hAnsi="Segoe UI"/>
          <w:color w:val="101820"/>
          <w:sz w:val="21"/>
        </w:rPr>
        <w:t xml:space="preserve"> marks a cost or size estimate. Indicative figures are planning ranges, not quotations.</w:t>
      </w:r>
    </w:p>
    <w:p>
      <w:pPr>
        <w:pStyle w:val="Normal"/>
        <w:numPr>
          <w:ilvl w:val="0"/>
          <w:numId w:val="1"/>
        </w:numPr>
        <w:spacing w:before="0" w:after="60"/>
        <w:rPr/>
      </w:pPr>
      <w:r>
        <w:rPr>
          <w:rFonts w:eastAsia="Segoe UI" w:cs="Segoe UI" w:ascii="Segoe UI" w:hAnsi="Segoe UI"/>
          <w:b/>
          <w:color w:val="101820"/>
          <w:sz w:val="21"/>
        </w:rPr>
        <w:t>Gap</w:t>
      </w:r>
      <w:r>
        <w:rPr>
          <w:rFonts w:eastAsia="Segoe UI" w:cs="Segoe UI" w:ascii="Segoe UI" w:hAnsi="Segoe UI"/>
          <w:color w:val="101820"/>
          <w:sz w:val="21"/>
        </w:rPr>
        <w:t xml:space="preserve"> marks a point where the current build or pipeline falls short of good practice and needs action before or after go-live.</w:t>
      </w:r>
    </w:p>
    <w:p>
      <w:pPr>
        <w:pStyle w:val="Normal"/>
        <w:spacing w:lineRule="auto" w:line="276" w:before="0" w:after="120"/>
        <w:rPr/>
      </w:pPr>
      <w:r>
        <w:rPr>
          <w:rFonts w:eastAsia="Segoe UI" w:cs="Segoe UI" w:ascii="Segoe UI" w:hAnsi="Segoe UI"/>
          <w:color w:val="101820"/>
          <w:sz w:val="21"/>
        </w:rPr>
        <w:t>This document gives the regulatory context in general terms. It is not legal advice; the broker's compliance officer and DPO confirm how each rule applies to the broker.</w:t>
      </w:r>
    </w:p>
    <w:p>
      <w:pPr>
        <w:pStyle w:val="Heading2"/>
        <w:rPr/>
      </w:pPr>
      <w:bookmarkStart w:id="9" w:name="__RefHeading___Toc15365_1606252305"/>
      <w:bookmarkEnd w:id="9"/>
      <w:r>
        <w:rPr>
          <w:rFonts w:eastAsia="Segoe UI" w:cs="Segoe UI"/>
          <w:b/>
          <w:color w:val="0F4761"/>
          <w:sz w:val="26"/>
        </w:rPr>
        <w:t>3.3  Related documents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 Solution Component Diagram and Application Architecture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Components, request pipeline, modules, integrations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 and 03 Database Design and Inventory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 keys, retention classes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Technology Stack</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Versions, licences, lifecycle notes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 Shared Service Components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settings, audit, numbering, PDF engine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 to 11</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 high availability, RTO and RPO, backup, archival, monitoring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checklist, environment variables, start-up rules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Getting started, go-live data set-up, UAT scripts, support and escalation</w:t>
            </w:r>
          </w:p>
        </w:tc>
      </w:tr>
    </w:tbl>
    <w:p>
      <w:pPr>
        <w:pStyle w:val="Normal"/>
        <w:spacing w:before="0" w:after="80"/>
        <w:rPr/>
      </w:pPr>
      <w:r>
        <w:rPr/>
      </w:r>
      <w:r>
        <w:br w:type="page"/>
      </w:r>
    </w:p>
    <w:p>
      <w:pPr>
        <w:pStyle w:val="Heading1"/>
        <w:rPr/>
      </w:pPr>
      <w:bookmarkStart w:id="10" w:name="__RefHeading___Toc15367_1606252305"/>
      <w:bookmarkEnd w:id="10"/>
      <w:r>
        <w:rPr>
          <w:rFonts w:eastAsia="Segoe UI" w:cs="Segoe UI" w:ascii="Segoe UI" w:hAnsi="Segoe UI"/>
          <w:b/>
          <w:color w:val="0F4761"/>
          <w:sz w:val="32"/>
        </w:rPr>
        <w:t>4.  Solution overview and logical architecture</w:t>
      </w:r>
    </w:p>
    <w:p>
      <w:pPr>
        <w:pStyle w:val="Heading2"/>
        <w:rPr/>
      </w:pPr>
      <w:bookmarkStart w:id="11" w:name="__RefHeading___Toc15369_1606252305"/>
      <w:bookmarkEnd w:id="11"/>
      <w:r>
        <w:rPr>
          <w:rFonts w:eastAsia="Segoe UI" w:cs="Segoe UI"/>
          <w:b/>
          <w:color w:val="0F4761"/>
          <w:sz w:val="26"/>
        </w:rPr>
        <w:t>4.1  What BrokerVerse does</w:t>
      </w:r>
    </w:p>
    <w:p>
      <w:pPr>
        <w:pStyle w:val="Normal"/>
        <w:spacing w:lineRule="auto" w:line="276" w:before="0" w:after="120"/>
        <w:rPr/>
      </w:pPr>
      <w:r>
        <w:rPr>
          <w:rFonts w:eastAsia="Segoe UI" w:cs="Segoe UI" w:ascii="Segoe UI" w:hAnsi="Segoe UI"/>
          <w:color w:val="101820"/>
          <w:sz w:val="21"/>
        </w:rPr>
        <w:t>BrokerVerse OOTB is the operating system of a non-life insurance broker. It covers the full broking cycle: leads, quotations and quick quotes, broker slips to several insurers, placement and co-insurance, policy issue, endorsements, claims, renewals, billing, receipts, collections and credit control, remittance to insurers, direct bill, commission and incentives, reinsurance, bank and insurer statement reconciliation, period-end close with BIR tax outputs, reports and dashboards. Referrers and sub-agents do not sign in; their business is entered by Sales &amp; Marketing.</w:t>
      </w:r>
    </w:p>
    <w:p>
      <w:pPr>
        <w:pStyle w:val="Heading2"/>
        <w:rPr/>
      </w:pPr>
      <w:bookmarkStart w:id="12" w:name="__RefHeading___Toc15371_1606252305"/>
      <w:bookmarkEnd w:id="12"/>
      <w:r>
        <w:rPr>
          <w:rFonts w:eastAsia="Segoe UI" w:cs="Segoe UI"/>
          <w:b/>
          <w:color w:val="0F4761"/>
          <w:sz w:val="26"/>
        </w:rPr>
        <w:t>4.2  Architecture at a glance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OOTB</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Style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Three-tier web application: SPA, stateless REST API, relational database. The API is a modular monolith.</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Presentation tier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SPA (PrimeReact, Redux Toolkit), served as static files from object storage and a CDN, or from an nginx container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tier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with Express 4. 44 module folders under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854 registered routes, two health endpoints, a built-in scheduler of 16 jobs in Asia/Manila time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tier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database time zone Asia/Manila, 80 migration files applied on start under an advisory lock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Persistent volume at </w:t>
            </w:r>
            <w:r>
              <w:rPr>
                <w:rFonts w:eastAsia="Consolas" w:cs="Consolas" w:ascii="Consolas" w:hAnsi="Consolas"/>
                <w:color w:val="101820"/>
                <w:kern w:val="0"/>
                <w:sz w:val="16"/>
                <w:szCs w:val="24"/>
                <w:lang w:val="en-US" w:eastAsia="ja-JP" w:bidi="ar-SA"/>
              </w:rPr>
              <w:t>UPLOAD_DIR</w:t>
            </w:r>
            <w:r>
              <w:rPr>
                <w:rFonts w:eastAsia="Segoe UI" w:cs="Segoe UI" w:ascii="Segoe UI" w:hAnsi="Segoe UI"/>
                <w:color w:val="101820"/>
                <w:kern w:val="0"/>
                <w:sz w:val="18"/>
                <w:szCs w:val="24"/>
                <w:lang w:val="en-US" w:eastAsia="ja-JP" w:bidi="ar-SA"/>
              </w:rPr>
              <w:t xml:space="preserve"> (documents, ID images, photos, generated reports)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JWT sessions with refresh-token rotation, role and permission checks on every route, maker-checker, authority matrix, SoD rules, access reviews, TOTP two-factor, audit log</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Route, module and migration counts were taken from the code on 03 October 2026. The diagrams reproduced from the architecture set show the counts of 29 September 2026 (38 modules, 717 routes, 58 migrations); the structure is unchanged.</w:t>
      </w:r>
    </w:p>
    <w:p>
      <w:pPr>
        <w:pStyle w:val="Heading2"/>
        <w:rPr/>
      </w:pPr>
      <w:bookmarkStart w:id="13" w:name="__RefHeading___Toc15373_1606252305"/>
      <w:bookmarkEnd w:id="13"/>
      <w:r>
        <w:rPr>
          <w:rFonts w:eastAsia="Segoe UI" w:cs="Segoe UI"/>
          <w:b/>
          <w:color w:val="0F4761"/>
          <w:sz w:val="26"/>
        </w:rPr>
        <w:t>4.3  Logical components</w:t>
      </w:r>
    </w:p>
    <w:p>
      <w:pPr>
        <w:pStyle w:val="Normal"/>
        <w:jc w:val="center"/>
        <w:rPr/>
      </w:pPr>
      <w:r>
        <w:rPr/>
        <w:drawing>
          <wp:inline distT="0" distB="0" distL="0" distR="0">
            <wp:extent cx="5760085" cy="4669790"/>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4669790"/>
                    </a:xfrm>
                    <a:prstGeom prst="rect">
                      <a:avLst/>
                    </a:prstGeom>
                  </pic:spPr>
                </pic:pic>
              </a:graphicData>
            </a:graphic>
          </wp:inline>
        </w:drawing>
      </w:r>
    </w:p>
    <w:p>
      <w:pPr>
        <w:pStyle w:val="Normal"/>
        <w:jc w:val="center"/>
        <w:rPr/>
      </w:pPr>
      <w:r>
        <w:rPr>
          <w:rFonts w:eastAsia="Segoe UI" w:cs="Segoe UI" w:ascii="Segoe UI" w:hAnsi="Segoe UI"/>
          <w:i/>
          <w:color w:val="555F6D"/>
          <w:sz w:val="18"/>
        </w:rPr>
        <w:t>Logical component view of BrokerVerse OOTB (architecture document 01)</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Layer</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staff in a browser; clients through public links (quotation approval, payment checkout)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Edge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DNS, TLS, CDN or reverse proxy, WAF (recommended)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SPA: Operations, Accounts, Master, Product Configurator, Reinsurance, Reports, Dashboards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pipeline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id, security headers (helmet), CORS, access log with redaction, rate limit, JSON size limit, signed file links, one error envelope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modules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backend/src/modules</w:t>
            </w:r>
            <w:r>
              <w:rPr>
                <w:rFonts w:eastAsia="Segoe UI" w:cs="Segoe UI" w:ascii="Segoe UI" w:hAnsi="Segoe UI"/>
                <w:color w:val="101820"/>
                <w:kern w:val="0"/>
                <w:sz w:val="18"/>
                <w:szCs w:val="24"/>
                <w:lang w:val="en-US" w:eastAsia="ja-JP" w:bidi="ar-SA"/>
              </w:rPr>
              <w:t>: each module owns its routes, services and tables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Shared services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backend/src/lib</w:t>
            </w:r>
            <w:r>
              <w:rPr>
                <w:rFonts w:eastAsia="Segoe UI" w:cs="Segoe UI" w:ascii="Segoe UI" w:hAnsi="Segoe UI"/>
                <w:color w:val="101820"/>
                <w:kern w:val="0"/>
                <w:sz w:val="18"/>
                <w:szCs w:val="24"/>
                <w:lang w:val="en-US" w:eastAsia="ja-JP" w:bidi="ar-SA"/>
              </w:rPr>
              <w:t>: authentication, permissions, settings cache, audit, numbering, e-mail outbox, secrets, PDF engine, letterhead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node-cron jobs with a PostgreSQL advisory lock per run, so each run executes once across instances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and the file store</w:t>
            </w:r>
          </w:p>
        </w:tc>
      </w:tr>
    </w:tbl>
    <w:p>
      <w:pPr>
        <w:pStyle w:val="Normal"/>
        <w:spacing w:before="0" w:after="80"/>
        <w:rPr/>
      </w:pPr>
      <w:r>
        <w:rPr/>
      </w:r>
    </w:p>
    <w:p>
      <w:pPr>
        <w:pStyle w:val="Heading2"/>
        <w:rPr/>
      </w:pPr>
      <w:bookmarkStart w:id="14" w:name="__RefHeading___Toc15375_1606252305"/>
      <w:bookmarkEnd w:id="14"/>
      <w:r>
        <w:rPr>
          <w:rFonts w:eastAsia="Segoe UI" w:cs="Segoe UI"/>
          <w:b/>
          <w:color w:val="0F4761"/>
          <w:sz w:val="26"/>
        </w:rPr>
        <w:t>4.4  Business modules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Backend modules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operations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addresses, quotations, packages, premium-charges, placement, policies, endorsements, documents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and renewals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renewals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credit-control, payments, payment-gateway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accounts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insurer-reconciliation, commission, commission-rates, incentive, reinsurance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posting-rules, journal-vouchers, disbursements, period-end, bank-reconciliation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 masters, document-numbering, settings, system-settings, schedules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Administration and security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 users, access-control, notifications, uploads, search, dashboard, reports, system</w:t>
            </w:r>
          </w:p>
        </w:tc>
      </w:tr>
    </w:tbl>
    <w:p>
      <w:pPr>
        <w:pStyle w:val="Normal"/>
        <w:spacing w:before="0" w:after="80"/>
        <w:rPr/>
      </w:pPr>
      <w:r>
        <w:rPr/>
      </w:r>
    </w:p>
    <w:p>
      <w:pPr>
        <w:pStyle w:val="Heading2"/>
        <w:rPr/>
      </w:pPr>
      <w:bookmarkStart w:id="15" w:name="__RefHeading___Toc15377_1606252305"/>
      <w:bookmarkEnd w:id="15"/>
      <w:r>
        <w:rPr>
          <w:rFonts w:eastAsia="Segoe UI" w:cs="Segoe UI"/>
          <w:b/>
          <w:color w:val="0F4761"/>
          <w:sz w:val="26"/>
        </w:rPr>
        <w:t>4.5  Integrations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Integration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Direction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works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(SMTP)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Messages are queued in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the </w:t>
            </w:r>
            <w:r>
              <w:rPr>
                <w:rFonts w:eastAsia="Consolas" w:cs="Consolas" w:ascii="Consolas" w:hAnsi="Consolas"/>
                <w:color w:val="101820"/>
                <w:kern w:val="0"/>
                <w:sz w:val="16"/>
                <w:szCs w:val="24"/>
                <w:lang w:val="en-US" w:eastAsia="ja-JP" w:bidi="ar-SA"/>
              </w:rPr>
              <w:t>email-outbox</w:t>
            </w:r>
            <w:r>
              <w:rPr>
                <w:rFonts w:eastAsia="Segoe UI" w:cs="Segoe UI" w:ascii="Segoe UI" w:hAnsi="Segoe UI"/>
                <w:color w:val="101820"/>
                <w:kern w:val="0"/>
                <w:sz w:val="18"/>
                <w:szCs w:val="24"/>
                <w:lang w:val="en-US" w:eastAsia="ja-JP" w:bidi="ar-SA"/>
              </w:rPr>
              <w:t xml:space="preserve"> job sends up to 50 per run every 5 minutes through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(Office 365, port 587, STARTTLS), up to 5 attempts. Off until "Send e-mails" is switched on in Master &gt; Configuration.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and outbound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w:t>
            </w:r>
            <w:r>
              <w:rPr>
                <w:rFonts w:eastAsia="Consolas" w:cs="Consolas" w:ascii="Consolas" w:hAnsi="Consolas"/>
                <w:color w:val="101820"/>
                <w:kern w:val="0"/>
                <w:sz w:val="16"/>
                <w:szCs w:val="24"/>
                <w:lang w:val="en-US" w:eastAsia="ja-JP" w:bidi="ar-SA"/>
              </w:rPr>
              <w:t>PL-</w:t>
            </w:r>
            <w:r>
              <w:rPr>
                <w:rFonts w:eastAsia="Segoe UI" w:cs="Segoe UI" w:ascii="Segoe UI" w:hAnsi="Segoe UI"/>
                <w:color w:val="101820"/>
                <w:kern w:val="0"/>
                <w:sz w:val="18"/>
                <w:szCs w:val="24"/>
                <w:lang w:val="en-US" w:eastAsia="ja-JP" w:bidi="ar-SA"/>
              </w:rPr>
              <w:t xml:space="preserve"> numbers) for a quotation, a package quotation or a policy's open premium. Providers: SANDBOX (training and UAT), PayMongo (Checkout Session) and Dragonpay (Payment Switch). Webhooks are signature-checked, logged in </w:t>
            </w:r>
            <w:r>
              <w:rPr>
                <w:rFonts w:eastAsia="Consolas" w:cs="Consolas" w:ascii="Consolas" w:hAnsi="Consolas"/>
                <w:color w:val="101820"/>
                <w:kern w:val="0"/>
                <w:sz w:val="16"/>
                <w:szCs w:val="24"/>
                <w:lang w:val="en-US" w:eastAsia="ja-JP" w:bidi="ar-SA"/>
              </w:rPr>
              <w:t>payment_events</w:t>
            </w:r>
            <w:r>
              <w:rPr>
                <w:rFonts w:eastAsia="Segoe UI" w:cs="Segoe UI" w:ascii="Segoe UI" w:hAnsi="Segoe UI"/>
                <w:color w:val="101820"/>
                <w:kern w:val="0"/>
                <w:sz w:val="18"/>
                <w:szCs w:val="24"/>
                <w:lang w:val="en-US" w:eastAsia="ja-JP" w:bidi="ar-SA"/>
              </w:rPr>
              <w:t xml:space="preserve"> and idempotent; a paid link creates the official receipt and can issue a package policy.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 and e-mail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placement orders, remittance statements, commission debit notes as PDF, CSV or XLSX. No insurer API.</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or XLSX statements of account read with an insurer statement format (column mapping per insurer) for Accounts &gt; Insurer Reconciliation.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or XLSX statements read with a bank statement format; BDO, BPI, Metrobank and a generic layout ship as standard.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Electronic transfers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to insurers are approved in the system and the bank result is recorded (Completed or Failed). No bank payment file or bank API is generated.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and reconciliation files as CSV</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Uploads and go-live imports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10 MB per file, 50 MB decompressed, 20,000 rows; templates in </w:t>
            </w:r>
            <w:r>
              <w:rPr>
                <w:rFonts w:eastAsia="Consolas" w:cs="Consolas" w:ascii="Consolas" w:hAnsi="Consolas"/>
                <w:color w:val="101820"/>
                <w:kern w:val="0"/>
                <w:sz w:val="16"/>
                <w:szCs w:val="24"/>
                <w:lang w:val="en-US" w:eastAsia="ja-JP" w:bidi="ar-SA"/>
              </w:rPr>
              <w:t>docs/templates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generation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Internal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PDF engine (</w:t>
            </w:r>
            <w:r>
              <w:rPr>
                <w:rFonts w:eastAsia="Consolas" w:cs="Consolas" w:ascii="Consolas" w:hAnsi="Consolas"/>
                <w:color w:val="101820"/>
                <w:kern w:val="0"/>
                <w:sz w:val="16"/>
                <w:szCs w:val="24"/>
                <w:lang w:val="en-US" w:eastAsia="ja-JP" w:bidi="ar-SA"/>
              </w:rPr>
              <w:t>lib/pdf</w:t>
            </w:r>
            <w:r>
              <w:rPr>
                <w:rFonts w:eastAsia="Segoe UI" w:cs="Segoe UI" w:ascii="Segoe UI" w:hAnsi="Segoe UI"/>
                <w:color w:val="101820"/>
                <w:kern w:val="0"/>
                <w:sz w:val="18"/>
                <w:szCs w:val="24"/>
                <w:lang w:val="en-US" w:eastAsia="ja-JP" w:bidi="ar-SA"/>
              </w:rPr>
              <w:t>) with the letterhead of the primary company in the Company master; XLSX, CSV and ZIP writers. No third-party document library.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quotation approval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(public)</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Signed link valid for </w:t>
            </w:r>
            <w:r>
              <w:rPr>
                <w:rFonts w:eastAsia="Consolas" w:cs="Consolas" w:ascii="Consolas" w:hAnsi="Consolas"/>
                <w:color w:val="101820"/>
                <w:kern w:val="0"/>
                <w:sz w:val="16"/>
                <w:szCs w:val="24"/>
                <w:lang w:val="en-US" w:eastAsia="ja-JP" w:bidi="ar-SA"/>
              </w:rPr>
              <w:t>quotations.approval_link_ttl_hours</w:t>
            </w:r>
            <w:r>
              <w:rPr>
                <w:rFonts w:eastAsia="Segoe UI" w:cs="Segoe UI" w:ascii="Segoe UI" w:hAnsi="Segoe UI"/>
                <w:color w:val="101820"/>
                <w:kern w:val="0"/>
                <w:sz w:val="18"/>
                <w:szCs w:val="24"/>
                <w:lang w:val="en-US" w:eastAsia="ja-JP" w:bidi="ar-SA"/>
              </w:rPr>
              <w:t xml:space="preserve"> (168 hours)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Before PayMongo or Dragonpay are switched to live, obtain the merchant accounts and test against the providers' own sandboxes. The automated tests cover the SANDBOX provider and signed test payloads only. Gateway fees are recorded on the link but not journalised.</w:t>
      </w:r>
      <w:r>
        <w:br w:type="page"/>
      </w:r>
    </w:p>
    <w:p>
      <w:pPr>
        <w:pStyle w:val="Heading1"/>
        <w:rPr/>
      </w:pPr>
      <w:bookmarkStart w:id="16" w:name="__RefHeading___Toc15379_1606252305"/>
      <w:bookmarkEnd w:id="16"/>
      <w:r>
        <w:rPr>
          <w:rFonts w:eastAsia="Segoe UI" w:cs="Segoe UI" w:ascii="Segoe UI" w:hAnsi="Segoe UI"/>
          <w:b/>
          <w:color w:val="0F4761"/>
          <w:sz w:val="32"/>
        </w:rPr>
        <w:t>5.  Technology stack and versions</w:t>
      </w:r>
    </w:p>
    <w:p>
      <w:pPr>
        <w:pStyle w:val="Normal"/>
        <w:spacing w:lineRule="auto" w:line="276" w:before="0" w:after="120"/>
        <w:rPr/>
      </w:pPr>
      <w:r>
        <w:rPr>
          <w:rFonts w:eastAsia="Segoe UI" w:cs="Segoe UI" w:ascii="Segoe UI" w:hAnsi="Segoe UI"/>
          <w:color w:val="101820"/>
          <w:sz w:val="21"/>
        </w:rPr>
        <w:t xml:space="preserve">Versions are the exact versions resolved in </w:t>
      </w:r>
      <w:r>
        <w:rPr>
          <w:rFonts w:eastAsia="Consolas" w:cs="Consolas" w:ascii="Consolas" w:hAnsi="Consolas"/>
          <w:color w:val="101820"/>
          <w:sz w:val="19"/>
        </w:rPr>
        <w:t>backend/package-lock.json</w:t>
      </w:r>
      <w:r>
        <w:rPr>
          <w:rFonts w:eastAsia="Segoe UI" w:cs="Segoe UI" w:ascii="Segoe UI" w:hAnsi="Segoe UI"/>
          <w:color w:val="101820"/>
          <w:sz w:val="21"/>
        </w:rPr>
        <w:t xml:space="preserve"> and </w:t>
      </w:r>
      <w:r>
        <w:rPr>
          <w:rFonts w:eastAsia="Consolas" w:cs="Consolas" w:ascii="Consolas" w:hAnsi="Consolas"/>
          <w:color w:val="101820"/>
          <w:sz w:val="19"/>
        </w:rPr>
        <w:t>brokerverse/package-lock.json</w:t>
      </w:r>
      <w:r>
        <w:rPr>
          <w:rFonts w:eastAsia="Segoe UI" w:cs="Segoe UI" w:ascii="Segoe UI" w:hAnsi="Segoe UI"/>
          <w:color w:val="101820"/>
          <w:sz w:val="21"/>
        </w:rPr>
        <w:t xml:space="preserve"> on 03 October 2026.</w:t>
      </w:r>
    </w:p>
    <w:p>
      <w:pPr>
        <w:pStyle w:val="Heading2"/>
        <w:rPr/>
      </w:pPr>
      <w:bookmarkStart w:id="17" w:name="__RefHeading___Toc15381_1606252305"/>
      <w:bookmarkEnd w:id="17"/>
      <w:r>
        <w:rPr>
          <w:rFonts w:eastAsia="Segoe UI" w:cs="Segoe UI"/>
          <w:b/>
          <w:color w:val="0F4761"/>
          <w:sz w:val="26"/>
        </w:rPr>
        <w:t>5.1  Runtime and platform</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w:t>
            </w:r>
            <w:r>
              <w:rPr>
                <w:rFonts w:eastAsia="Consolas" w:cs="Consolas" w:ascii="Consolas" w:hAnsi="Consolas"/>
                <w:color w:val="101820"/>
                <w:kern w:val="0"/>
                <w:sz w:val="16"/>
                <w:szCs w:val="24"/>
                <w:lang w:val="en-US" w:eastAsia="ja-JP" w:bidi="ar-SA"/>
              </w:rPr>
              <w:t>node:22-alpine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engines &gt;=22</w:t>
            </w:r>
            <w:r>
              <w:rPr>
                <w:rFonts w:eastAsia="Segoe UI" w:cs="Segoe UI" w:ascii="Segoe UI" w:hAnsi="Segoe UI"/>
                <w:color w:val="101820"/>
                <w:kern w:val="0"/>
                <w:sz w:val="18"/>
                <w:szCs w:val="24"/>
                <w:lang w:val="en-US" w:eastAsia="ja-JP" w:bidi="ar-SA"/>
              </w:rPr>
              <w: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runtime and build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w:t>
            </w:r>
            <w:r>
              <w:rPr>
                <w:rFonts w:eastAsia="Consolas" w:cs="Consolas" w:ascii="Consolas" w:hAnsi="Consolas"/>
                <w:color w:val="101820"/>
                <w:kern w:val="0"/>
                <w:sz w:val="16"/>
                <w:szCs w:val="24"/>
                <w:lang w:val="en-US" w:eastAsia="ja-JP" w:bidi="ar-SA"/>
              </w:rPr>
              <w:t>postgres:16-alpine</w:t>
            </w:r>
            <w:r>
              <w:rPr>
                <w:rFonts w:eastAsia="Segoe UI" w:cs="Segoe UI" w:ascii="Segoe UI" w:hAnsi="Segoe UI"/>
                <w:color w:val="101820"/>
                <w:kern w:val="0"/>
                <w:sz w:val="18"/>
                <w:szCs w:val="24"/>
                <w:lang w:val="en-US" w:eastAsia="ja-JP" w:bidi="ar-SA"/>
              </w:rPr>
              <w:t xml:space="preserve"> in Compose,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in CI)</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System of record, extension </w:t>
            </w:r>
            <w:r>
              <w:rPr>
                <w:rFonts w:eastAsia="Consolas" w:cs="Consolas" w:ascii="Consolas" w:hAnsi="Consolas"/>
                <w:color w:val="101820"/>
                <w:kern w:val="0"/>
                <w:sz w:val="16"/>
                <w:szCs w:val="24"/>
                <w:lang w:val="en-US" w:eastAsia="ja-JP" w:bidi="ar-SA"/>
              </w:rPr>
              <w:t>pgcrypto</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nginx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1.27-alpine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container (Compose); reverse proxy on the EC2 host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PM2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Latest from npm at deployment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manager on the EC2 deployment (</w:t>
            </w:r>
            <w:r>
              <w:rPr>
                <w:rFonts w:eastAsia="Consolas" w:cs="Consolas" w:ascii="Consolas" w:hAnsi="Consolas"/>
                <w:color w:val="101820"/>
                <w:kern w:val="0"/>
                <w:sz w:val="16"/>
                <w:szCs w:val="24"/>
                <w:lang w:val="en-US" w:eastAsia="ja-JP" w:bidi="ar-SA"/>
              </w:rPr>
              <w:t>deploy/ec2/ecosystem.config.cjs</w:t>
            </w:r>
            <w:r>
              <w:rPr>
                <w:rFonts w:eastAsia="Segoe UI" w:cs="Segoe UI" w:ascii="Segoe UI" w:hAnsi="Segoe UI"/>
                <w:color w:val="101820"/>
                <w:kern w:val="0"/>
                <w:sz w:val="18"/>
                <w:szCs w:val="24"/>
                <w:lang w:val="en-US" w:eastAsia="ja-JP" w:bidi="ar-SA"/>
              </w:rPr>
              <w: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Docker and Docker Compose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Compose file without a version key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Single-server, test and trial installations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GitHub Actions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checkout, setup-node, upload and download-artifact, configure-aws-credentials v4; appleboy/ssh-action 1.2.0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and deployment</w:t>
            </w:r>
          </w:p>
        </w:tc>
      </w:tr>
    </w:tbl>
    <w:p>
      <w:pPr>
        <w:pStyle w:val="Normal"/>
        <w:spacing w:before="0" w:after="80"/>
        <w:rPr/>
      </w:pPr>
      <w:r>
        <w:rPr/>
      </w:r>
    </w:p>
    <w:p>
      <w:pPr>
        <w:pStyle w:val="Heading2"/>
        <w:rPr/>
      </w:pPr>
      <w:bookmarkStart w:id="18" w:name="__RefHeading___Toc15383_1606252305"/>
      <w:bookmarkEnd w:id="18"/>
      <w:r>
        <w:rPr>
          <w:rFonts w:eastAsia="Segoe UI" w:cs="Segoe UI"/>
          <w:b/>
          <w:color w:val="0F4761"/>
          <w:sz w:val="26"/>
        </w:rPr>
        <w:t>5.2  Backend dependencies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Package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express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4.22.3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server and routing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client, pool of 10 connections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zod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3.25.76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validation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pino / pino-http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9.14.0 / 10.5.0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 logs with redaction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helmet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headers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Cross-origin policy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jsonwebtoken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refresh and link tokens (HS256)</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bcryptjs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hashing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1.4.5-lts.2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Multipart uploads in memory with limits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nodemailer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10.0.12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delivery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node-cron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4.6.0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schedules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dotenv</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16.6.1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.env</w:t>
            </w:r>
            <w:r>
              <w:rPr>
                <w:rFonts w:eastAsia="Segoe UI" w:cs="Segoe UI" w:ascii="Segoe UI" w:hAnsi="Segoe UI"/>
                <w:color w:val="101820"/>
                <w:kern w:val="0"/>
                <w:sz w:val="18"/>
                <w:szCs w:val="24"/>
                <w:lang w:val="en-US" w:eastAsia="ja-JP" w:bidi="ar-SA"/>
              </w:rPr>
              <w:t xml:space="preserve"> loading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 supertest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2.1.9 / 7.3.0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tests against PostgreSQL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eslint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9.39.5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w:t>
            </w:r>
          </w:p>
        </w:tc>
      </w:tr>
    </w:tbl>
    <w:p>
      <w:pPr>
        <w:pStyle w:val="Normal"/>
        <w:spacing w:before="0" w:after="80"/>
        <w:rPr/>
      </w:pPr>
      <w:r>
        <w:rPr/>
      </w:r>
    </w:p>
    <w:p>
      <w:pPr>
        <w:pStyle w:val="Heading2"/>
        <w:rPr/>
      </w:pPr>
      <w:bookmarkStart w:id="19" w:name="__RefHeading___Toc15385_1606252305"/>
      <w:bookmarkEnd w:id="19"/>
      <w:r>
        <w:rPr>
          <w:rFonts w:eastAsia="Segoe UI" w:cs="Segoe UI"/>
          <w:b/>
          <w:color w:val="0F4761"/>
          <w:sz w:val="26"/>
        </w:rPr>
        <w:t>5.3  Front-end dependencies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Package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react-dom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18.2.0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UI library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react-scripts / @craco/craco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5.0.1 / 7.1.0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tool chain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primereact, primeflex, primeicons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10.3.1, 3.3.1, 6.0.1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Components, layout, icons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@reduxjs/toolkit, react-redux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2.0.1, 9.0.4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state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react-router-dom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6.30.6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Routing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axios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client with token refresh</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formik</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i18next, react-i18next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25.8.13, 16.5.4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English (complete), Thai (partial)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chart.js, @fullcalendar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4.5.1, 6.1.x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Charts and calendars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@fontsource/nunito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Bundled font, no external font service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backend has 13 direct runtime dependencies. PDF, XLSX, ZIP, CSV (with formula-injection guarding), TOTP, AES-256-GCM encryption, HMAC link signing and rate limiting are part of the code base. All direct dependencies use permissive licences (MIT, MIT-0, ISC, BSD-2-Clause, Apache-2.0, OFL-1.1).</w:t>
      </w:r>
      <w:r>
        <w:br w:type="page"/>
      </w:r>
    </w:p>
    <w:p>
      <w:pPr>
        <w:pStyle w:val="Heading1"/>
        <w:rPr/>
      </w:pPr>
      <w:bookmarkStart w:id="20" w:name="__RefHeading___Toc15387_1606252305"/>
      <w:bookmarkEnd w:id="20"/>
      <w:r>
        <w:rPr>
          <w:rFonts w:eastAsia="Segoe UI" w:cs="Segoe UI" w:ascii="Segoe UI" w:hAnsi="Segoe UI"/>
          <w:b/>
          <w:color w:val="0F4761"/>
          <w:sz w:val="32"/>
        </w:rPr>
        <w:t>6.  Deployment architecture options</w:t>
      </w:r>
    </w:p>
    <w:p>
      <w:pPr>
        <w:pStyle w:val="Heading2"/>
        <w:rPr/>
      </w:pPr>
      <w:bookmarkStart w:id="21" w:name="__RefHeading___Toc15389_1606252305"/>
      <w:bookmarkEnd w:id="21"/>
      <w:r>
        <w:rPr>
          <w:rFonts w:eastAsia="Segoe UI" w:cs="Segoe UI"/>
          <w:b/>
          <w:color w:val="0F4761"/>
          <w:sz w:val="26"/>
        </w:rPr>
        <w:t>6.1  Common building blocks</w:t>
      </w:r>
    </w:p>
    <w:p>
      <w:pPr>
        <w:pStyle w:val="Normal"/>
        <w:spacing w:lineRule="auto" w:line="276" w:before="0" w:after="120"/>
        <w:rPr/>
      </w:pPr>
      <w:r>
        <w:rPr>
          <w:rFonts w:eastAsia="Segoe UI" w:cs="Segoe UI" w:ascii="Segoe UI" w:hAnsi="Segoe UI"/>
          <w:color w:val="101820"/>
          <w:sz w:val="21"/>
        </w:rPr>
        <w:t>Whatever the hosting option, BrokerVerse needs the same components.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Static files of the SPA (</w:t>
            </w:r>
            <w:r>
              <w:rPr>
                <w:rFonts w:eastAsia="Consolas" w:cs="Consolas" w:ascii="Consolas" w:hAnsi="Consolas"/>
                <w:color w:val="101820"/>
                <w:kern w:val="0"/>
                <w:sz w:val="16"/>
                <w:szCs w:val="24"/>
                <w:lang w:val="en-US" w:eastAsia="ja-JP" w:bidi="ar-SA"/>
              </w:rPr>
              <w:t>npm run build</w:t>
            </w:r>
            <w:r>
              <w:rPr>
                <w:rFonts w:eastAsia="Segoe UI" w:cs="Segoe UI" w:ascii="Segoe UI" w:hAnsi="Segoe UI"/>
                <w:color w:val="101820"/>
                <w:kern w:val="0"/>
                <w:sz w:val="18"/>
                <w:szCs w:val="24"/>
                <w:lang w:val="en-US" w:eastAsia="ja-JP" w:bidi="ar-SA"/>
              </w:rPr>
              <w:t xml:space="preserve">), with a fallback of every path to </w:t>
            </w:r>
            <w:r>
              <w:rPr>
                <w:rFonts w:eastAsia="Consolas" w:cs="Consolas" w:ascii="Consolas" w:hAnsi="Consolas"/>
                <w:color w:val="101820"/>
                <w:kern w:val="0"/>
                <w:sz w:val="16"/>
                <w:szCs w:val="24"/>
                <w:lang w:val="en-US" w:eastAsia="ja-JP" w:bidi="ar-SA"/>
              </w:rPr>
              <w:t>index.html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REACT_APP_BASE_URL</w:t>
            </w:r>
            <w:r>
              <w:rPr>
                <w:rFonts w:eastAsia="Segoe UI" w:cs="Segoe UI" w:ascii="Segoe UI" w:hAnsi="Segoe UI"/>
                <w:color w:val="101820"/>
                <w:kern w:val="0"/>
                <w:sz w:val="18"/>
                <w:szCs w:val="24"/>
                <w:lang w:val="en-US" w:eastAsia="ja-JP" w:bidi="ar-SA"/>
              </w:rPr>
              <w:t xml:space="preserve"> compiled in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runtime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Container from </w:t>
            </w:r>
            <w:r>
              <w:rPr>
                <w:rFonts w:eastAsia="Consolas" w:cs="Consolas" w:ascii="Consolas" w:hAnsi="Consolas"/>
                <w:color w:val="101820"/>
                <w:kern w:val="0"/>
                <w:sz w:val="16"/>
                <w:szCs w:val="24"/>
                <w:lang w:val="en-US" w:eastAsia="ja-JP" w:bidi="ar-SA"/>
              </w:rPr>
              <w:t>backend/Dockerfile</w:t>
            </w:r>
            <w:r>
              <w:rPr>
                <w:rFonts w:eastAsia="Segoe UI" w:cs="Segoe UI" w:ascii="Segoe UI" w:hAnsi="Segoe UI"/>
                <w:color w:val="101820"/>
                <w:kern w:val="0"/>
                <w:sz w:val="18"/>
                <w:szCs w:val="24"/>
                <w:lang w:val="en-US" w:eastAsia="ja-JP" w:bidi="ar-SA"/>
              </w:rPr>
              <w:t xml:space="preserve"> (runs as user </w:t>
            </w:r>
            <w:r>
              <w:rPr>
                <w:rFonts w:eastAsia="Consolas" w:cs="Consolas" w:ascii="Consolas" w:hAnsi="Consolas"/>
                <w:color w:val="101820"/>
                <w:kern w:val="0"/>
                <w:sz w:val="16"/>
                <w:szCs w:val="24"/>
                <w:lang w:val="en-US" w:eastAsia="ja-JP" w:bidi="ar-SA"/>
              </w:rPr>
              <w:t>node</w:t>
            </w:r>
            <w:r>
              <w:rPr>
                <w:rFonts w:eastAsia="Segoe UI" w:cs="Segoe UI" w:ascii="Segoe UI" w:hAnsi="Segoe UI"/>
                <w:color w:val="101820"/>
                <w:kern w:val="0"/>
                <w:sz w:val="18"/>
                <w:szCs w:val="24"/>
                <w:lang w:val="en-US" w:eastAsia="ja-JP" w:bidi="ar-SA"/>
              </w:rPr>
              <w:t xml:space="preserve">, port 8000, health check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or Node.js 22 under a process manager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empty database and a login that may create tables; time zone Asia/Manila; TLS on the connection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Persistent volume at </w:t>
            </w:r>
            <w:r>
              <w:rPr>
                <w:rFonts w:eastAsia="Consolas" w:cs="Consolas" w:ascii="Consolas" w:hAnsi="Consolas"/>
                <w:color w:val="101820"/>
                <w:kern w:val="0"/>
                <w:sz w:val="16"/>
                <w:szCs w:val="24"/>
                <w:lang w:val="en-US" w:eastAsia="ja-JP" w:bidi="ar-SA"/>
              </w:rPr>
              <w:t>UPLOAD_DIR</w:t>
            </w:r>
            <w:r>
              <w:rPr>
                <w:rFonts w:eastAsia="Segoe UI" w:cs="Segoe UI" w:ascii="Segoe UI" w:hAnsi="Segoe UI"/>
                <w:color w:val="101820"/>
                <w:kern w:val="0"/>
                <w:sz w:val="18"/>
                <w:szCs w:val="24"/>
                <w:lang w:val="en-US" w:eastAsia="ja-JP" w:bidi="ar-SA"/>
              </w:rPr>
              <w:t>, shared between instances when there is more than one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ADMIN_PASSWORD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DATABASE_URL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payment gateway keys, in a secret store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at the CDN, load balancer or reverse proxy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(port 587) and, when used, the payment gateways over HTTPS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public paths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Quotation approval, payment checkout and gateway webhooks under </w:t>
            </w:r>
            <w:r>
              <w:rPr>
                <w:rFonts w:eastAsia="Consolas" w:cs="Consolas" w:ascii="Consolas" w:hAnsi="Consolas"/>
                <w:color w:val="101820"/>
                <w:kern w:val="0"/>
                <w:sz w:val="16"/>
                <w:szCs w:val="24"/>
                <w:lang w:val="en-US" w:eastAsia="ja-JP" w:bidi="ar-SA"/>
              </w:rPr>
              <w:t>/api/public/...</w:t>
            </w:r>
          </w:p>
        </w:tc>
      </w:tr>
    </w:tbl>
    <w:p>
      <w:pPr>
        <w:pStyle w:val="Normal"/>
        <w:spacing w:before="0" w:after="80"/>
        <w:rPr/>
      </w:pPr>
      <w:r>
        <w:rPr/>
      </w:r>
    </w:p>
    <w:p>
      <w:pPr>
        <w:pStyle w:val="Heading2"/>
        <w:rPr/>
      </w:pPr>
      <w:bookmarkStart w:id="22" w:name="__RefHeading___Toc15391_1606252305"/>
      <w:bookmarkEnd w:id="22"/>
      <w:r>
        <w:rPr>
          <w:rFonts w:eastAsia="Segoe UI" w:cs="Segoe UI"/>
          <w:b/>
          <w:color w:val="0F4761"/>
          <w:sz w:val="26"/>
        </w:rPr>
        <w:t>6.2  Environment layout</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Recommended form</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and integration by iorta TechNXT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data (</w:t>
            </w:r>
            <w:r>
              <w:rPr>
                <w:rFonts w:eastAsia="Consolas" w:cs="Consolas" w:ascii="Consolas" w:hAnsi="Consolas"/>
                <w:color w:val="101820"/>
                <w:kern w:val="0"/>
                <w:sz w:val="16"/>
                <w:szCs w:val="24"/>
                <w:lang w:val="en-US" w:eastAsia="ja-JP" w:bidi="ar-SA"/>
              </w:rPr>
              <w:t>SEED_SAMPLE_DATA=true</w:t>
            </w:r>
            <w:r>
              <w:rPr>
                <w:rFonts w:eastAsia="Segoe UI" w:cs="Segoe UI" w:ascii="Segoe UI" w:hAnsi="Segoe UI"/>
                <w:color w:val="101820"/>
                <w:kern w:val="0"/>
                <w:sz w:val="18"/>
                <w:szCs w:val="24"/>
                <w:lang w:val="en-US" w:eastAsia="ja-JP" w:bidi="ar-SA"/>
              </w:rPr>
              <w: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 server or Docker Compose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acceptance, training, performance test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UAT data (</w:t>
            </w: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or masked copies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topology as PROD at smaller size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operations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data only, then go-live imports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Highly available (two API instances, managed PostgreSQL with standby)</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after a regional or site disaster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Restored from cross-region or off-site backups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Pilot light or warm standby (chapter on resilience)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Never copy production personal data into DEV or UAT without masking. Each environment has its own secrets; </w:t>
      </w:r>
      <w:r>
        <w:rPr>
          <w:rFonts w:eastAsia="Consolas" w:cs="Consolas" w:ascii="Consolas" w:hAnsi="Consolas"/>
          <w:color w:val="101820"/>
          <w:sz w:val="18"/>
        </w:rPr>
        <w:t>DATA_ENCRYPTION_KEY</w:t>
      </w:r>
      <w:r>
        <w:rPr>
          <w:rFonts w:eastAsia="Segoe UI" w:cs="Segoe UI" w:ascii="Segoe UI" w:hAnsi="Segoe UI"/>
          <w:color w:val="101820"/>
          <w:sz w:val="20"/>
        </w:rPr>
        <w:t xml:space="preserve"> and </w:t>
      </w:r>
      <w:r>
        <w:rPr>
          <w:rFonts w:eastAsia="Consolas" w:cs="Consolas" w:ascii="Consolas" w:hAnsi="Consolas"/>
          <w:color w:val="101820"/>
          <w:sz w:val="18"/>
        </w:rPr>
        <w:t>JWT_SECRET</w:t>
      </w:r>
      <w:r>
        <w:rPr>
          <w:rFonts w:eastAsia="Segoe UI" w:cs="Segoe UI" w:ascii="Segoe UI" w:hAnsi="Segoe UI"/>
          <w:color w:val="101820"/>
          <w:sz w:val="20"/>
        </w:rPr>
        <w:t xml:space="preserve"> must differ between environments.</w:t>
      </w:r>
    </w:p>
    <w:p>
      <w:pPr>
        <w:pStyle w:val="Heading2"/>
        <w:rPr/>
      </w:pPr>
      <w:bookmarkStart w:id="23" w:name="__RefHeading___Toc15393_1606252305"/>
      <w:bookmarkEnd w:id="23"/>
      <w:r>
        <w:rPr>
          <w:rFonts w:eastAsia="Segoe UI" w:cs="Segoe UI"/>
          <w:b/>
          <w:color w:val="0F4761"/>
          <w:sz w:val="26"/>
        </w:rPr>
        <w:t>6.3  Network zones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Zone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Allowed traffic</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edge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DNS, CDN, WAF, public load balancer or reverse proxy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443 from the internet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zone (private)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the load balancer only, on the API port; outbound to SMTP and the payment gateways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zone (private)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file store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5432 and NFS from the application zone only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 zone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Bastion or session manager, CI/CD runner access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Administrator access with multi-factor sign-in, logged</w:t>
            </w:r>
          </w:p>
        </w:tc>
      </w:tr>
    </w:tbl>
    <w:p>
      <w:pPr>
        <w:pStyle w:val="Normal"/>
        <w:spacing w:before="0" w:after="80"/>
        <w:rPr/>
      </w:pPr>
      <w:r>
        <w:rPr/>
      </w:r>
    </w:p>
    <w:p>
      <w:pPr>
        <w:pStyle w:val="Heading2"/>
        <w:rPr/>
      </w:pPr>
      <w:bookmarkStart w:id="24" w:name="__RefHeading___Toc15395_1606252305"/>
      <w:bookmarkEnd w:id="24"/>
      <w:r>
        <w:rPr>
          <w:rFonts w:eastAsia="Segoe UI" w:cs="Segoe UI"/>
          <w:b/>
          <w:color w:val="0F4761"/>
          <w:sz w:val="26"/>
        </w:rPr>
        <w:t>6.4  Option A: customer cloud on AWS (Singapore)</w:t>
      </w:r>
    </w:p>
    <w:p>
      <w:pPr>
        <w:pStyle w:val="Normal"/>
        <w:spacing w:lineRule="auto" w:line="276" w:before="0" w:after="120"/>
        <w:rPr/>
      </w:pPr>
      <w:r>
        <w:rPr>
          <w:rFonts w:eastAsia="Segoe UI" w:cs="Segoe UI" w:ascii="Segoe UI" w:hAnsi="Segoe UI"/>
          <w:color w:val="101820"/>
          <w:sz w:val="21"/>
        </w:rPr>
        <w:t xml:space="preserve">This is the reference deployment of </w:t>
      </w:r>
      <w:r>
        <w:rPr>
          <w:rFonts w:eastAsia="Consolas" w:cs="Consolas" w:ascii="Consolas" w:hAnsi="Consolas"/>
          <w:color w:val="101820"/>
          <w:sz w:val="19"/>
        </w:rPr>
        <w:t>deploy/README.md</w:t>
      </w:r>
      <w:r>
        <w:rPr>
          <w:rFonts w:eastAsia="Segoe UI" w:cs="Segoe UI" w:ascii="Segoe UI" w:hAnsi="Segoe UI"/>
          <w:color w:val="101820"/>
          <w:sz w:val="21"/>
        </w:rPr>
        <w:t xml:space="preserve"> and architecture documents 01 and 07. The region is ap-southeast-1 (Singapore).</w:t>
      </w:r>
    </w:p>
    <w:p>
      <w:pPr>
        <w:pStyle w:val="Normal"/>
        <w:jc w:val="center"/>
        <w:rPr/>
      </w:pPr>
      <w:r>
        <w:rPr/>
        <w:drawing>
          <wp:inline distT="0" distB="0" distL="0" distR="0">
            <wp:extent cx="5760085" cy="387223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38722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Production deployment on AWS ap-southeast-1 (architecture document 01)</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AWS service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 and CDN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S3 bucket and CloudFront; custom error responses 403 and 404 return </w:t>
            </w:r>
            <w:r>
              <w:rPr>
                <w:rFonts w:eastAsia="Consolas" w:cs="Consolas" w:ascii="Consolas" w:hAnsi="Consolas"/>
                <w:color w:val="101820"/>
                <w:kern w:val="0"/>
                <w:sz w:val="16"/>
                <w:szCs w:val="24"/>
                <w:lang w:val="en-US" w:eastAsia="ja-JP" w:bidi="ar-SA"/>
              </w:rPr>
              <w:t>/index.html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address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Same-domain option: CloudFront behaviour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to the load balancer, no caching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ECS Fargate (recommended), App Runner or EC2, behind an Application Load Balancer with HTTPS (ACM certificate)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RDS for PostgreSQL 16, Multi-AZ, encrypted with KMS, </w:t>
            </w:r>
            <w:r>
              <w:rPr>
                <w:rFonts w:eastAsia="Consolas" w:cs="Consolas" w:ascii="Consolas" w:hAnsi="Consolas"/>
                <w:color w:val="101820"/>
                <w:kern w:val="0"/>
                <w:sz w:val="16"/>
                <w:szCs w:val="24"/>
                <w:lang w:val="en-US" w:eastAsia="ja-JP" w:bidi="ar-SA"/>
              </w:rPr>
              <w:t>sslmode=require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EFS mounted at </w:t>
            </w:r>
            <w:r>
              <w:rPr>
                <w:rFonts w:eastAsia="Consolas" w:cs="Consolas" w:ascii="Consolas" w:hAnsi="Consolas"/>
                <w:color w:val="101820"/>
                <w:kern w:val="0"/>
                <w:sz w:val="16"/>
                <w:szCs w:val="24"/>
                <w:lang w:val="en-US" w:eastAsia="ja-JP" w:bidi="ar-SA"/>
              </w:rPr>
              <w:t>/app/uploads</w:t>
            </w:r>
            <w:r>
              <w:rPr>
                <w:rFonts w:eastAsia="Segoe UI" w:cs="Segoe UI" w:ascii="Segoe UI" w:hAnsi="Segoe UI"/>
                <w:color w:val="101820"/>
                <w:kern w:val="0"/>
                <w:sz w:val="18"/>
                <w:szCs w:val="24"/>
                <w:lang w:val="en-US" w:eastAsia="ja-JP" w:bidi="ar-SA"/>
              </w:rPr>
              <w:t>, encrypted at rest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RDS automated backups (35 days, PITR), AWS Backup plans for RDS and EFS, cross-region copies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 Secrets Manager or SSM Parameter Store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CloudWatch Logs, metrics, alarms, Synthetics; SNS for notifications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 WAF on CloudFront with managed rule groups and rate-based rules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Image registry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Amazon ECR, replicated to the recovery region</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Philippine data residency.</w:t>
      </w:r>
      <w:r>
        <w:rPr>
          <w:rFonts w:eastAsia="Segoe UI" w:cs="Segoe UI" w:ascii="Segoe UI" w:hAnsi="Segoe UI"/>
          <w:color w:val="101820"/>
          <w:sz w:val="21"/>
        </w:rPr>
        <w:t xml:space="preserve"> The Data Privacy Act does not require personal data to be stored in the Philippines; it makes the broker accountable for personal data transferred abroad (DPA section 21). Hosting in Singapore is therefore a cross-border transfer that the broker documents and covers by contract (chapter on data privacy). AWS has a Local Zone in Manila with a limited set of services (compute and block storage); managed RDS, EFS and the other services above run in the Singapore parent region. A broker that must keep the system of record in the Philippines uses option C, or confirms with AWS which services are available in Manila at the time of the decision.</w:t>
      </w:r>
    </w:p>
    <w:p>
      <w:pPr>
        <w:pStyle w:val="Heading3"/>
        <w:rPr/>
      </w:pPr>
      <w:r>
        <w:rPr>
          <w:rFonts w:eastAsia="Segoe UI" w:cs="Segoe UI"/>
          <w:b/>
          <w:color w:val="0F4761"/>
          <w:sz w:val="23"/>
        </w:rPr>
        <w:t>6.4.1  Current demo deployment</w:t>
      </w:r>
    </w:p>
    <w:p>
      <w:pPr>
        <w:pStyle w:val="Normal"/>
        <w:spacing w:lineRule="auto" w:line="276" w:before="0" w:after="120"/>
        <w:rPr/>
      </w:pPr>
      <w:r>
        <w:rPr>
          <w:rFonts w:eastAsia="Segoe UI" w:cs="Segoe UI" w:ascii="Segoe UI" w:hAnsi="Segoe UI"/>
          <w:color w:val="101820"/>
          <w:sz w:val="21"/>
        </w:rPr>
        <w:t xml:space="preserve">The repository also deploys a demo system: </w:t>
      </w:r>
      <w:r>
        <w:rPr>
          <w:rFonts w:eastAsia="Consolas" w:cs="Consolas" w:ascii="Consolas" w:hAnsi="Consolas"/>
          <w:color w:val="101820"/>
          <w:sz w:val="19"/>
        </w:rPr>
        <w:t>.github/workflows/deploy-frontend.yml</w:t>
      </w:r>
      <w:r>
        <w:rPr>
          <w:rFonts w:eastAsia="Segoe UI" w:cs="Segoe UI" w:ascii="Segoe UI" w:hAnsi="Segoe UI"/>
          <w:color w:val="101820"/>
          <w:sz w:val="21"/>
        </w:rPr>
        <w:t xml:space="preserve"> publishes the front end to S3 and CloudFront and reloads the API on one EC2 host with PM2 (</w:t>
      </w:r>
      <w:r>
        <w:rPr>
          <w:rFonts w:eastAsia="Consolas" w:cs="Consolas" w:ascii="Consolas" w:hAnsi="Consolas"/>
          <w:color w:val="101820"/>
          <w:sz w:val="19"/>
        </w:rPr>
        <w:t>deploy/ec2/deploy.sh</w:t>
      </w:r>
      <w:r>
        <w:rPr>
          <w:rFonts w:eastAsia="Segoe UI" w:cs="Segoe UI" w:ascii="Segoe UI" w:hAnsi="Segoe UI"/>
          <w:color w:val="101820"/>
          <w:sz w:val="21"/>
        </w:rPr>
        <w:t xml:space="preserve">). The API runs as one PM2 process (fork mode, restart above 700 MB) on port 8001 behind an nginx site that only forwards </w:t>
      </w:r>
      <w:r>
        <w:rPr>
          <w:rFonts w:eastAsia="Consolas" w:cs="Consolas" w:ascii="Consolas" w:hAnsi="Consolas"/>
          <w:color w:val="101820"/>
          <w:sz w:val="19"/>
        </w:rPr>
        <w:t>/api/</w:t>
      </w:r>
      <w:r>
        <w:rPr>
          <w:rFonts w:eastAsia="Segoe UI" w:cs="Segoe UI" w:ascii="Segoe UI" w:hAnsi="Segoe UI"/>
          <w:color w:val="101820"/>
          <w:sz w:val="21"/>
        </w:rPr>
        <w:t>. This is a single-instance set-up with no redundancy; it is suitable for demonstration and UAT, not as the production form of option A.</w:t>
      </w:r>
    </w:p>
    <w:p>
      <w:pPr>
        <w:pStyle w:val="Heading2"/>
        <w:rPr/>
      </w:pPr>
      <w:bookmarkStart w:id="25" w:name="__RefHeading___Toc15397_1606252305"/>
      <w:bookmarkEnd w:id="25"/>
      <w:r>
        <w:rPr>
          <w:rFonts w:eastAsia="Segoe UI" w:cs="Segoe UI"/>
          <w:b/>
          <w:color w:val="0F4761"/>
          <w:sz w:val="26"/>
        </w:rPr>
        <w:t>6.5  Option B: Microsoft Azure (Southeast Asia)</w:t>
      </w:r>
    </w:p>
    <w:p>
      <w:pPr>
        <w:pStyle w:val="Normal"/>
        <w:spacing w:lineRule="auto" w:line="276" w:before="0" w:after="120"/>
        <w:rPr/>
      </w:pPr>
      <w:r>
        <w:rPr>
          <w:rFonts w:eastAsia="Segoe UI" w:cs="Segoe UI" w:ascii="Segoe UI" w:hAnsi="Segoe UI"/>
          <w:color w:val="101820"/>
          <w:sz w:val="21"/>
        </w:rPr>
        <w:t>The Azure region Southeast Asia is in Singapore, so the data residency position is the same as for option A. The application needs no code change on Azure: it uses a container, PostgreSQL and a mounted file system.</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Azure service (recommended mapping)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 and CDN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Azure Storage static website with Azure Front Door (CDN and routing of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Front Door WAF policy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Container Apps or App Service for Containers, two or more replicas across availability zones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Database for PostgreSQL Flexible Server 16, zone-redundant high availability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Azure Files (SMB or NFS share) mounted at </w:t>
            </w:r>
            <w:r>
              <w:rPr>
                <w:rFonts w:eastAsia="Consolas" w:cs="Consolas" w:ascii="Consolas" w:hAnsi="Consolas"/>
                <w:color w:val="101820"/>
                <w:kern w:val="0"/>
                <w:sz w:val="16"/>
                <w:szCs w:val="24"/>
                <w:lang w:val="en-US" w:eastAsia="ja-JP" w:bidi="ar-SA"/>
              </w:rPr>
              <w:t>/app/uploads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Flexible Server automated backups with PITR (up to 35 days), geo-redundant backup storage; Azure Backup for Azure Files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Key Vault, referenced by the container app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Monitor, Log Analytics, Application Insights availability tests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Container Registry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Network</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network with separate subnets for the application and the database (private access)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GitHub workflows in the repository target AWS. For Azure, the deployment steps (registry push, container app revision, static website upload, Front Door purge) must be added to the pipeline. Set the database time zone to Asia/Manila (server parameter </w:t>
      </w:r>
      <w:r>
        <w:rPr>
          <w:rFonts w:eastAsia="Consolas" w:cs="Consolas" w:ascii="Consolas" w:hAnsi="Consolas"/>
          <w:color w:val="101820"/>
          <w:sz w:val="18"/>
        </w:rPr>
        <w:t>timezone</w:t>
      </w:r>
      <w:r>
        <w:rPr>
          <w:rFonts w:eastAsia="Segoe UI" w:cs="Segoe UI" w:ascii="Segoe UI" w:hAnsi="Segoe UI"/>
          <w:color w:val="101820"/>
          <w:sz w:val="20"/>
        </w:rPr>
        <w:t xml:space="preserve">) or add the time zone option to </w:t>
      </w:r>
      <w:r>
        <w:rPr>
          <w:rFonts w:eastAsia="Consolas" w:cs="Consolas" w:ascii="Consolas" w:hAnsi="Consolas"/>
          <w:color w:val="101820"/>
          <w:sz w:val="18"/>
        </w:rPr>
        <w:t>DATABASE_URL</w:t>
      </w:r>
      <w:r>
        <w:rPr>
          <w:rFonts w:eastAsia="Segoe UI" w:cs="Segoe UI" w:ascii="Segoe UI" w:hAnsi="Segoe UI"/>
          <w:color w:val="101820"/>
          <w:sz w:val="20"/>
        </w:rPr>
        <w:t>, as done for Railway.</w:t>
      </w:r>
    </w:p>
    <w:p>
      <w:pPr>
        <w:pStyle w:val="Heading2"/>
        <w:rPr/>
      </w:pPr>
      <w:bookmarkStart w:id="26" w:name="__RefHeading___Toc15399_1606252305"/>
      <w:bookmarkEnd w:id="26"/>
      <w:r>
        <w:rPr>
          <w:rFonts w:eastAsia="Segoe UI" w:cs="Segoe UI"/>
          <w:b/>
          <w:color w:val="0F4761"/>
          <w:sz w:val="26"/>
        </w:rPr>
        <w:t>6.6  Option C: local partner or on-premise data centre in the Philippines</w:t>
      </w:r>
    </w:p>
    <w:p>
      <w:pPr>
        <w:pStyle w:val="Normal"/>
        <w:spacing w:lineRule="auto" w:line="276" w:before="0" w:after="120"/>
        <w:rPr/>
      </w:pPr>
      <w:r>
        <w:rPr>
          <w:rFonts w:eastAsia="Segoe UI" w:cs="Segoe UI" w:ascii="Segoe UI" w:hAnsi="Segoe UI"/>
          <w:color w:val="101820"/>
          <w:sz w:val="21"/>
        </w:rPr>
        <w:t>For a broker that wants the data held in the Philippines, BrokerVerse runs on virtual machines in a local data centre or with a Philippine hosting partner. The Docker Compose file and the EC2 scripts show both ways to run it without cloud managed services.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On-premise or partner form</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nginx serving the SPA build (the </w:t>
            </w:r>
            <w:r>
              <w:rPr>
                <w:rFonts w:eastAsia="Consolas" w:cs="Consolas" w:ascii="Consolas" w:hAnsi="Consolas"/>
                <w:color w:val="101820"/>
                <w:kern w:val="0"/>
                <w:sz w:val="16"/>
                <w:szCs w:val="24"/>
                <w:lang w:val="en-US" w:eastAsia="ja-JP" w:bidi="ar-SA"/>
              </w:rPr>
              <w:t>web</w:t>
            </w:r>
            <w:r>
              <w:rPr>
                <w:rFonts w:eastAsia="Segoe UI" w:cs="Segoe UI" w:ascii="Segoe UI" w:hAnsi="Segoe UI"/>
                <w:color w:val="101820"/>
                <w:kern w:val="0"/>
                <w:sz w:val="18"/>
                <w:szCs w:val="24"/>
                <w:lang w:val="en-US" w:eastAsia="ja-JP" w:bidi="ar-SA"/>
              </w:rPr>
              <w:t xml:space="preserve"> image of Docker Compose), behind the TLS reverse proxy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Reverse proxy and WAF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nginx or HAProxy nodes with a virtual IP, TLS certificate; WAF appliance or ModSecurity with the OWASP Core Rule Set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VMs running the API container (or Node.js 22 with PM2)</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primary and streaming-replica standby on separate hosts; failover with Patroni or a manual runbook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NFS share on redundant storage (or a clustered file system) mounted on both API VMs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Daily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 xml:space="preserve"> and WAL archiving (pgBackRest or WAL-G) to a backup server; daily archive of the upload share; an off-site copy in a second Philippine site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HashiCorp Vault, or an encrypted environment file readable only by the service account, with an escrow copy under dual control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Prometheus and Grafana or Zabbix, log shipping to a central log server or SIEM, external uptime check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data centre in another Philippine city with replicated backups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Ask the partner for evidence of physical security, power and cooling redundancy, and an ISO/IEC 27001 certificate or equivalent. Agree in the contract who patches the operating system, PostgreSQL and the reverse proxy.</w:t>
      </w:r>
    </w:p>
    <w:p>
      <w:pPr>
        <w:pStyle w:val="Heading2"/>
        <w:rPr/>
      </w:pPr>
      <w:bookmarkStart w:id="27" w:name="__RefHeading___Toc15401_1606252305"/>
      <w:bookmarkEnd w:id="27"/>
      <w:r>
        <w:rPr>
          <w:rFonts w:eastAsia="Segoe UI" w:cs="Segoe UI"/>
          <w:b/>
          <w:color w:val="0F4761"/>
          <w:sz w:val="26"/>
        </w:rPr>
        <w:t>6.7  Sizing by broker size</w:t>
      </w:r>
    </w:p>
    <w:p>
      <w:pPr>
        <w:pStyle w:val="Normal"/>
        <w:spacing w:lineRule="auto" w:line="276" w:before="0" w:after="120"/>
        <w:rPr/>
      </w:pPr>
      <w:r>
        <w:rPr>
          <w:rFonts w:eastAsia="Segoe UI" w:cs="Segoe UI" w:ascii="Segoe UI" w:hAnsi="Segoe UI"/>
          <w:color w:val="101820"/>
          <w:sz w:val="21"/>
        </w:rPr>
        <w:t>The sizes below extend the recommendation of architecture document 06 (200 named users, 80 concurrent, 50,000 policies a year: two API instances of 1 vCPU and 2 GB, database of 2 vCPU and 8 GB Multi-AZ). They apply to PROD and must be confirmed with the UAT performance test.</w:t>
      </w:r>
    </w:p>
    <w:p>
      <w:pPr>
        <w:pStyle w:val="Normal"/>
        <w:shd w:val="clear" w:color="auto" w:fill="EAF2FB"/>
        <w:spacing w:before="0" w:after="160"/>
        <w:ind w:left="170"/>
        <w:rPr/>
      </w:pPr>
      <w:r>
        <w:rPr>
          <w:rFonts w:eastAsia="Segoe UI" w:cs="Segoe UI" w:ascii="Segoe UI" w:hAnsi="Segoe UI"/>
          <w:b/>
          <w:color w:val="101820"/>
          <w:sz w:val="20"/>
        </w:rPr>
        <w:t>Recommended / Indicative:</w:t>
      </w:r>
      <w:r>
        <w:rPr>
          <w:rFonts w:eastAsia="Segoe UI" w:cs="Segoe UI" w:ascii="Segoe UI" w:hAnsi="Segoe UI"/>
          <w:color w:val="101820"/>
          <w:sz w:val="20"/>
        </w:rPr>
        <w:t xml:space="preserve"> Assumptions per broker size: small up to 25 named users and about 5,000 policies a year; medium 26 to 100 users and about 20,000 policies; large 101 to 300 users and about 60,000 policies. Uploaded documents average 2 MB per policy. Replace these with the broker's own forecast.</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(up to 25 users)</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(26 to 100)</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(101 to 300)</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to 4 x 2 vCPU, 4 GB</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4 GB, standby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8 GB, standby</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vCPU, 16 GB, standby</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storage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 GB</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(year 1)</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GB</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GB</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GB</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storage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 GB</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Concurrent users at peak</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w:t>
            </w:r>
          </w:p>
        </w:tc>
      </w:tr>
    </w:tbl>
    <w:p>
      <w:pPr>
        <w:pStyle w:val="Normal"/>
        <w:spacing w:before="0" w:after="80"/>
        <w:rPr/>
      </w:pPr>
      <w:r>
        <w:rPr/>
      </w:r>
    </w:p>
    <w:p>
      <w:pPr>
        <w:pStyle w:val="Heading2"/>
        <w:rPr/>
      </w:pPr>
      <w:bookmarkStart w:id="28" w:name="__RefHeading___Toc15403_1606252305"/>
      <w:bookmarkEnd w:id="28"/>
      <w:r>
        <w:rPr>
          <w:rFonts w:eastAsia="Segoe UI" w:cs="Segoe UI"/>
          <w:b/>
          <w:color w:val="0F4761"/>
          <w:sz w:val="26"/>
        </w:rPr>
        <w:t>6.8  Indicative monthly cost</w:t>
      </w:r>
    </w:p>
    <w:p>
      <w:pPr>
        <w:pStyle w:val="Normal"/>
        <w:shd w:val="clear" w:color="auto" w:fill="EAF2FB"/>
        <w:spacing w:before="0" w:after="160"/>
        <w:ind w:left="170"/>
        <w:rPr/>
      </w:pPr>
      <w:r>
        <w:rPr>
          <w:rFonts w:eastAsia="Segoe UI" w:cs="Segoe UI" w:ascii="Segoe UI" w:hAnsi="Segoe UI"/>
          <w:b/>
          <w:color w:val="101820"/>
          <w:sz w:val="20"/>
        </w:rPr>
        <w:t>Indicative:</w:t>
      </w:r>
      <w:r>
        <w:rPr>
          <w:rFonts w:eastAsia="Segoe UI" w:cs="Segoe UI" w:ascii="Segoe UI" w:hAnsi="Segoe UI"/>
          <w:color w:val="101820"/>
          <w:sz w:val="20"/>
        </w:rPr>
        <w:t xml:space="preserve"> Estimates of on-demand list prices for the PROD environment only, converted at an assumed PHP 58.00 to USD 1.00, before tax, support plans and data transfer above normal use. Reserved capacity or savings plans reduce them by roughly 25% to 40%. Obtain a quotation from the provider or partner before ordering.</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Option</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AWS Singapore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15,000 to 25,000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30,000 to 50,000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65,000 to 100,000</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 Azure Southeast Asia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15,000 to 27,000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30,000 to 55,000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65,000 to 105,000</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 Philippine partner (managed VMs)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25,000 to 45,000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45,000 to 80,000</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90,000 to 160,000</w:t>
            </w:r>
          </w:p>
        </w:tc>
      </w:tr>
    </w:tbl>
    <w:p>
      <w:pPr>
        <w:pStyle w:val="Normal"/>
        <w:spacing w:before="0" w:after="80"/>
        <w:rPr/>
      </w:pPr>
      <w:r>
        <w:rPr/>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Additional environment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Indicative share of the PROD cost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(single API instance, database without standby)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to 40%</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(single small server or Compose)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15%</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as pilot light (backups and images in the second region or site, nothing running)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to 10%</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as warm standby (small database replica and one API instance running)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to 50%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largest cost items are the database with its standby, the load balancer or reverse proxy, the WAF and the log volume. The file store and the backups grow with the number of uploaded documents.</w:t>
      </w:r>
      <w:r>
        <w:br w:type="page"/>
      </w:r>
    </w:p>
    <w:p>
      <w:pPr>
        <w:pStyle w:val="Heading1"/>
        <w:rPr/>
      </w:pPr>
      <w:bookmarkStart w:id="29" w:name="__RefHeading___Toc15405_1606252305"/>
      <w:bookmarkEnd w:id="29"/>
      <w:r>
        <w:rPr>
          <w:rFonts w:eastAsia="Segoe UI" w:cs="Segoe UI" w:ascii="Segoe UI" w:hAnsi="Segoe UI"/>
          <w:b/>
          <w:color w:val="0F4761"/>
          <w:sz w:val="32"/>
        </w:rPr>
        <w:t>7.  CI/CD and release management</w:t>
      </w:r>
    </w:p>
    <w:p>
      <w:pPr>
        <w:pStyle w:val="Heading2"/>
        <w:rPr/>
      </w:pPr>
      <w:bookmarkStart w:id="30" w:name="__RefHeading___Toc15407_1606252305"/>
      <w:bookmarkEnd w:id="30"/>
      <w:r>
        <w:rPr>
          <w:rFonts w:eastAsia="Segoe UI" w:cs="Segoe UI"/>
          <w:b/>
          <w:color w:val="0F4761"/>
          <w:sz w:val="26"/>
        </w:rPr>
        <w:t>7.1  Workflows in the repository</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Workflow</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.github/workflows/ci.yml</w:t>
            </w:r>
            <w:r>
              <w:rPr>
                <w:rFonts w:eastAsia="Segoe UI" w:cs="Segoe UI" w:ascii="Segoe UI" w:hAnsi="Segoe UI"/>
                <w:color w:val="101820"/>
                <w:kern w:val="0"/>
                <w:sz w:val="18"/>
                <w:szCs w:val="24"/>
                <w:lang w:val="en-US" w:eastAsia="ja-JP" w:bidi="ar-SA"/>
              </w:rPr>
              <w:t xml:space="preserve"> (CI)</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pull request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Backend: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against a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service. Front end: </w:t>
            </w:r>
            <w:r>
              <w:rPr>
                <w:rFonts w:eastAsia="Consolas" w:cs="Consolas" w:ascii="Consolas" w:hAnsi="Consolas"/>
                <w:color w:val="101820"/>
                <w:kern w:val="0"/>
                <w:sz w:val="16"/>
                <w:szCs w:val="24"/>
                <w:lang w:val="en-US" w:eastAsia="ja-JP" w:bidi="ar-SA"/>
              </w:rPr>
              <w:t>npm ci --legacy-peer-deps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craco test</w:t>
            </w:r>
            <w:r>
              <w:rPr>
                <w:rFonts w:eastAsia="Segoe UI" w:cs="Segoe UI" w:ascii="Segoe UI" w:hAnsi="Segoe UI"/>
                <w:color w:val="101820"/>
                <w:kern w:val="0"/>
                <w:sz w:val="18"/>
                <w:szCs w:val="24"/>
                <w:lang w:val="en-US" w:eastAsia="ja-JP" w:bidi="ar-SA"/>
              </w:rPr>
              <w: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.github/workflows/deploy-frontend.yml</w:t>
            </w:r>
            <w:r>
              <w:rPr>
                <w:rFonts w:eastAsia="Segoe UI" w:cs="Segoe UI" w:ascii="Segoe UI" w:hAnsi="Segoe UI"/>
                <w:color w:val="101820"/>
                <w:kern w:val="0"/>
                <w:sz w:val="18"/>
                <w:szCs w:val="24"/>
                <w:lang w:val="en-US" w:eastAsia="ja-JP" w:bidi="ar-SA"/>
              </w:rPr>
              <w:t xml:space="preserve"> (CI/CD Pipeline)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Push to </w:t>
            </w:r>
            <w:r>
              <w:rPr>
                <w:rFonts w:eastAsia="Consolas" w:cs="Consolas" w:ascii="Consolas" w:hAnsi="Consolas"/>
                <w:color w:val="101820"/>
                <w:kern w:val="0"/>
                <w:sz w:val="16"/>
                <w:szCs w:val="24"/>
                <w:lang w:val="en-US" w:eastAsia="ja-JP" w:bidi="ar-SA"/>
              </w:rPr>
              <w:t>brokerverse-platform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Builds the front end with Node 22 (</w:t>
            </w:r>
            <w:r>
              <w:rPr>
                <w:rFonts w:eastAsia="Consolas" w:cs="Consolas" w:ascii="Consolas" w:hAnsi="Consolas"/>
                <w:color w:val="101820"/>
                <w:kern w:val="0"/>
                <w:sz w:val="16"/>
                <w:szCs w:val="24"/>
                <w:lang w:val="en-US" w:eastAsia="ja-JP" w:bidi="ar-SA"/>
              </w:rPr>
              <w:t>REACT_APP_BASE_URL</w:t>
            </w:r>
            <w:r>
              <w:rPr>
                <w:rFonts w:eastAsia="Segoe UI" w:cs="Segoe UI" w:ascii="Segoe UI" w:hAnsi="Segoe UI"/>
                <w:color w:val="101820"/>
                <w:kern w:val="0"/>
                <w:sz w:val="18"/>
                <w:szCs w:val="24"/>
                <w:lang w:val="en-US" w:eastAsia="ja-JP" w:bidi="ar-SA"/>
              </w:rPr>
              <w:t xml:space="preserve"> from the repository variable), publishes it to S3 (hashed files cached one year, </w:t>
            </w:r>
            <w:r>
              <w:rPr>
                <w:rFonts w:eastAsia="Consolas" w:cs="Consolas" w:ascii="Consolas" w:hAnsi="Consolas"/>
                <w:color w:val="101820"/>
                <w:kern w:val="0"/>
                <w:sz w:val="16"/>
                <w:szCs w:val="24"/>
                <w:lang w:val="en-US" w:eastAsia="ja-JP" w:bidi="ar-SA"/>
              </w:rPr>
              <w:t>index.html</w:t>
            </w:r>
            <w:r>
              <w:rPr>
                <w:rFonts w:eastAsia="Segoe UI" w:cs="Segoe UI" w:ascii="Segoe UI" w:hAnsi="Segoe UI"/>
                <w:color w:val="101820"/>
                <w:kern w:val="0"/>
                <w:sz w:val="18"/>
                <w:szCs w:val="24"/>
                <w:lang w:val="en-US" w:eastAsia="ja-JP" w:bidi="ar-SA"/>
              </w:rPr>
              <w:t xml:space="preserve"> not cached), invalidates CloudFront, then reloads the API on the EC2 host over SSH (</w:t>
            </w:r>
            <w:r>
              <w:rPr>
                <w:rFonts w:eastAsia="Consolas" w:cs="Consolas" w:ascii="Consolas" w:hAnsi="Consolas"/>
                <w:color w:val="101820"/>
                <w:kern w:val="0"/>
                <w:sz w:val="16"/>
                <w:szCs w:val="24"/>
                <w:lang w:val="en-US" w:eastAsia="ja-JP" w:bidi="ar-SA"/>
              </w:rPr>
              <w:t>deploy/ec2/deploy.sh</w:t>
            </w:r>
            <w:r>
              <w:rPr>
                <w:rFonts w:eastAsia="Segoe UI" w:cs="Segoe UI" w:ascii="Segoe UI" w:hAnsi="Segoe UI"/>
                <w:color w:val="101820"/>
                <w:kern w:val="0"/>
                <w:sz w:val="18"/>
                <w:szCs w:val="24"/>
                <w:lang w:val="en-US" w:eastAsia="ja-JP" w:bidi="ar-SA"/>
              </w:rPr>
              <w: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brokerverse/.github/workflows/deploy.yml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Push or pull request to </w:t>
            </w:r>
            <w:r>
              <w:rPr>
                <w:rFonts w:eastAsia="Consolas" w:cs="Consolas" w:ascii="Consolas" w:hAnsi="Consolas"/>
                <w:color w:val="101820"/>
                <w:kern w:val="0"/>
                <w:sz w:val="16"/>
                <w:szCs w:val="24"/>
                <w:lang w:val="en-US" w:eastAsia="ja-JP" w:bidi="ar-SA"/>
              </w:rPr>
              <w:t>brokerverse-platform</w:t>
            </w:r>
            <w:r>
              <w:rPr>
                <w:rFonts w:eastAsia="Segoe UI" w:cs="Segoe UI" w:ascii="Segoe UI" w:hAnsi="Segoe UI"/>
                <w:color w:val="101820"/>
                <w:kern w:val="0"/>
                <w:sz w:val="18"/>
                <w:szCs w:val="24"/>
                <w:lang w:val="en-US" w:eastAsia="ja-JP" w:bidi="ar-SA"/>
              </w:rPr>
              <w:t>, when the front end is its own repository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Front-end tests, check that </w:t>
            </w:r>
            <w:r>
              <w:rPr>
                <w:rFonts w:eastAsia="Consolas" w:cs="Consolas" w:ascii="Consolas" w:hAnsi="Consolas"/>
                <w:color w:val="101820"/>
                <w:kern w:val="0"/>
                <w:sz w:val="16"/>
                <w:szCs w:val="24"/>
                <w:lang w:val="en-US" w:eastAsia="ja-JP" w:bidi="ar-SA"/>
              </w:rPr>
              <w:t>REACT_APP_BASE_URL</w:t>
            </w:r>
            <w:r>
              <w:rPr>
                <w:rFonts w:eastAsia="Segoe UI" w:cs="Segoe UI" w:ascii="Segoe UI" w:hAnsi="Segoe UI"/>
                <w:color w:val="101820"/>
                <w:kern w:val="0"/>
                <w:sz w:val="18"/>
                <w:szCs w:val="24"/>
                <w:lang w:val="en-US" w:eastAsia="ja-JP" w:bidi="ar-SA"/>
              </w:rPr>
              <w:t xml:space="preserve"> is set, build, check that </w:t>
            </w:r>
            <w:r>
              <w:rPr>
                <w:rFonts w:eastAsia="Consolas" w:cs="Consolas" w:ascii="Consolas" w:hAnsi="Consolas"/>
                <w:color w:val="101820"/>
                <w:kern w:val="0"/>
                <w:sz w:val="16"/>
                <w:szCs w:val="24"/>
                <w:lang w:val="en-US" w:eastAsia="ja-JP" w:bidi="ar-SA"/>
              </w:rPr>
              <w:t>build/index.html</w:t>
            </w:r>
            <w:r>
              <w:rPr>
                <w:rFonts w:eastAsia="Segoe UI" w:cs="Segoe UI" w:ascii="Segoe UI" w:hAnsi="Segoe UI"/>
                <w:color w:val="101820"/>
                <w:kern w:val="0"/>
                <w:sz w:val="18"/>
                <w:szCs w:val="24"/>
                <w:lang w:val="en-US" w:eastAsia="ja-JP" w:bidi="ar-SA"/>
              </w:rPr>
              <w:t xml:space="preserve"> is a production build; the publish job runs only for a push to </w:t>
            </w:r>
            <w:r>
              <w:rPr>
                <w:rFonts w:eastAsia="Consolas" w:cs="Consolas" w:ascii="Consolas" w:hAnsi="Consolas"/>
                <w:color w:val="101820"/>
                <w:kern w:val="0"/>
                <w:sz w:val="16"/>
                <w:szCs w:val="24"/>
                <w:lang w:val="en-US" w:eastAsia="ja-JP" w:bidi="ar-SA"/>
              </w:rPr>
              <w:t>dev</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EC2 deployment script checks out the pushed branch, installs production dependencies with </w:t>
      </w:r>
      <w:r>
        <w:rPr>
          <w:rFonts w:eastAsia="Consolas" w:cs="Consolas" w:ascii="Consolas" w:hAnsi="Consolas"/>
          <w:color w:val="101820"/>
          <w:sz w:val="19"/>
        </w:rPr>
        <w:t>npm ci --omit=dev</w:t>
      </w:r>
      <w:r>
        <w:rPr>
          <w:rFonts w:eastAsia="Segoe UI" w:cs="Segoe UI" w:ascii="Segoe UI" w:hAnsi="Segoe UI"/>
          <w:color w:val="101820"/>
          <w:sz w:val="21"/>
        </w:rPr>
        <w:t>, creates the database if missing (</w:t>
      </w:r>
      <w:r>
        <w:rPr>
          <w:rFonts w:eastAsia="Consolas" w:cs="Consolas" w:ascii="Consolas" w:hAnsi="Consolas"/>
          <w:color w:val="101820"/>
          <w:sz w:val="19"/>
        </w:rPr>
        <w:t>scripts/create-database.js</w:t>
      </w:r>
      <w:r>
        <w:rPr>
          <w:rFonts w:eastAsia="Segoe UI" w:cs="Segoe UI" w:ascii="Segoe UI" w:hAnsi="Segoe UI"/>
          <w:color w:val="101820"/>
          <w:sz w:val="21"/>
        </w:rPr>
        <w:t xml:space="preserve">), installs the nginx site after </w:t>
      </w:r>
      <w:r>
        <w:rPr>
          <w:rFonts w:eastAsia="Consolas" w:cs="Consolas" w:ascii="Consolas" w:hAnsi="Consolas"/>
          <w:color w:val="101820"/>
          <w:sz w:val="19"/>
        </w:rPr>
        <w:t>nginx -t</w:t>
      </w:r>
      <w:r>
        <w:rPr>
          <w:rFonts w:eastAsia="Segoe UI" w:cs="Segoe UI" w:ascii="Segoe UI" w:hAnsi="Segoe UI"/>
          <w:color w:val="101820"/>
          <w:sz w:val="21"/>
        </w:rPr>
        <w:t xml:space="preserve">, starts the API under PM2 and waits up to two minutes for </w:t>
      </w:r>
      <w:r>
        <w:rPr>
          <w:rFonts w:eastAsia="Consolas" w:cs="Consolas" w:ascii="Consolas" w:hAnsi="Consolas"/>
          <w:color w:val="101820"/>
          <w:sz w:val="19"/>
        </w:rPr>
        <w:t>/api/health</w:t>
      </w:r>
      <w:r>
        <w:rPr>
          <w:rFonts w:eastAsia="Segoe UI" w:cs="Segoe UI" w:ascii="Segoe UI" w:hAnsi="Segoe UI"/>
          <w:color w:val="101820"/>
          <w:sz w:val="21"/>
        </w:rPr>
        <w:t xml:space="preserve"> to return 200; otherwise it prints the last 80 log lines and fails the job.</w:t>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In </w:t>
      </w:r>
      <w:r>
        <w:rPr>
          <w:rFonts w:eastAsia="Consolas" w:cs="Consolas" w:ascii="Consolas" w:hAnsi="Consolas"/>
          <w:color w:val="101820"/>
          <w:sz w:val="18"/>
        </w:rPr>
        <w:t>deploy-frontend.yml</w:t>
      </w:r>
      <w:r>
        <w:rPr>
          <w:rFonts w:eastAsia="Segoe UI" w:cs="Segoe UI" w:ascii="Segoe UI" w:hAnsi="Segoe UI"/>
          <w:color w:val="101820"/>
          <w:sz w:val="20"/>
        </w:rPr>
        <w:t xml:space="preserve"> the lint and test jobs are commented out, so a push to </w:t>
      </w:r>
      <w:r>
        <w:rPr>
          <w:rFonts w:eastAsia="Consolas" w:cs="Consolas" w:ascii="Consolas" w:hAnsi="Consolas"/>
          <w:color w:val="101820"/>
          <w:sz w:val="18"/>
        </w:rPr>
        <w:t>brokerverse-platform</w:t>
      </w:r>
      <w:r>
        <w:rPr>
          <w:rFonts w:eastAsia="Segoe UI" w:cs="Segoe UI" w:ascii="Segoe UI" w:hAnsi="Segoe UI"/>
          <w:color w:val="101820"/>
          <w:sz w:val="20"/>
        </w:rPr>
        <w:t xml:space="preserve"> deploys without running tests. Tests run only on pull requests (</w:t>
      </w:r>
      <w:r>
        <w:rPr>
          <w:rFonts w:eastAsia="Consolas" w:cs="Consolas" w:ascii="Consolas" w:hAnsi="Consolas"/>
          <w:color w:val="101820"/>
          <w:sz w:val="18"/>
        </w:rPr>
        <w:t>ci.yml</w:t>
      </w:r>
      <w:r>
        <w:rPr>
          <w:rFonts w:eastAsia="Segoe UI" w:cs="Segoe UI" w:ascii="Segoe UI" w:hAnsi="Segoe UI"/>
          <w:color w:val="101820"/>
          <w:sz w:val="20"/>
        </w:rPr>
        <w:t xml:space="preserve">). </w:t>
      </w:r>
      <w:r>
        <w:rPr>
          <w:rFonts w:eastAsia="Segoe UI" w:cs="Segoe UI" w:ascii="Segoe UI" w:hAnsi="Segoe UI"/>
          <w:b/>
          <w:color w:val="101820"/>
          <w:sz w:val="20"/>
        </w:rPr>
        <w:t>Recommended:</w:t>
      </w:r>
      <w:r>
        <w:rPr>
          <w:rFonts w:eastAsia="Segoe UI" w:cs="Segoe UI" w:ascii="Segoe UI" w:hAnsi="Segoe UI"/>
          <w:color w:val="101820"/>
          <w:sz w:val="20"/>
        </w:rPr>
        <w:t xml:space="preserve"> protect the branch so that changes arrive only through pull requests with a green CI run, and restore the test jobs as a dependency of both deploy jobs.</w:t>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The pipelines use long-lived AWS access keys and an SSH private key stored as GitHub secrets, and the backend image is not pushed to a registry. </w:t>
      </w:r>
      <w:r>
        <w:rPr>
          <w:rFonts w:eastAsia="Segoe UI" w:cs="Segoe UI" w:ascii="Segoe UI" w:hAnsi="Segoe UI"/>
          <w:b/>
          <w:color w:val="101820"/>
          <w:sz w:val="20"/>
        </w:rPr>
        <w:t>Recommended:</w:t>
      </w:r>
      <w:r>
        <w:rPr>
          <w:rFonts w:eastAsia="Segoe UI" w:cs="Segoe UI" w:ascii="Segoe UI" w:hAnsi="Segoe UI"/>
          <w:color w:val="101820"/>
          <w:sz w:val="20"/>
        </w:rPr>
        <w:t xml:space="preserve"> GitHub OIDC with an IAM role limited to the bucket and the distribution; build, scan and push a versioned backend image (for example to ECR) and deploy that image, so a release can be rolled back by tag.</w:t>
      </w:r>
    </w:p>
    <w:p>
      <w:pPr>
        <w:pStyle w:val="Normal"/>
        <w:shd w:val="clear" w:color="auto" w:fill="EAF2FB"/>
        <w:spacing w:before="0" w:after="160"/>
        <w:ind w:left="170"/>
        <w:rPr/>
      </w:pPr>
      <w:r>
        <w:rPr>
          <w:rFonts w:eastAsia="Segoe UI" w:cs="Segoe UI" w:ascii="Segoe UI" w:hAnsi="Segoe UI"/>
          <w:b/>
          <w:color w:val="101820"/>
          <w:sz w:val="20"/>
        </w:rPr>
        <w:t>Note:</w:t>
      </w:r>
      <w:r>
        <w:rPr>
          <w:rFonts w:eastAsia="Segoe UI" w:cs="Segoe UI" w:ascii="Segoe UI" w:hAnsi="Segoe UI"/>
          <w:color w:val="101820"/>
          <w:sz w:val="20"/>
        </w:rPr>
        <w:t xml:space="preserve"> In </w:t>
      </w:r>
      <w:r>
        <w:rPr>
          <w:rFonts w:eastAsia="Consolas" w:cs="Consolas" w:ascii="Consolas" w:hAnsi="Consolas"/>
          <w:color w:val="101820"/>
          <w:sz w:val="18"/>
        </w:rPr>
        <w:t>brokerverse/.github/workflows/deploy.yml</w:t>
      </w:r>
      <w:r>
        <w:rPr>
          <w:rFonts w:eastAsia="Segoe UI" w:cs="Segoe UI" w:ascii="Segoe UI" w:hAnsi="Segoe UI"/>
          <w:color w:val="101820"/>
          <w:sz w:val="20"/>
        </w:rPr>
        <w:t xml:space="preserve"> the publish job requires the branch </w:t>
      </w:r>
      <w:r>
        <w:rPr>
          <w:rFonts w:eastAsia="Consolas" w:cs="Consolas" w:ascii="Consolas" w:hAnsi="Consolas"/>
          <w:color w:val="101820"/>
          <w:sz w:val="18"/>
        </w:rPr>
        <w:t>dev</w:t>
      </w:r>
      <w:r>
        <w:rPr>
          <w:rFonts w:eastAsia="Segoe UI" w:cs="Segoe UI" w:ascii="Segoe UI" w:hAnsi="Segoe UI"/>
          <w:color w:val="101820"/>
          <w:sz w:val="20"/>
        </w:rPr>
        <w:t xml:space="preserve"> while the trigger is </w:t>
      </w:r>
      <w:r>
        <w:rPr>
          <w:rFonts w:eastAsia="Consolas" w:cs="Consolas" w:ascii="Consolas" w:hAnsi="Consolas"/>
          <w:color w:val="101820"/>
          <w:sz w:val="18"/>
        </w:rPr>
        <w:t>brokerverse-platform</w:t>
      </w:r>
      <w:r>
        <w:rPr>
          <w:rFonts w:eastAsia="Segoe UI" w:cs="Segoe UI" w:ascii="Segoe UI" w:hAnsi="Segoe UI"/>
          <w:color w:val="101820"/>
          <w:sz w:val="20"/>
        </w:rPr>
        <w:t>; as written it tests and builds but does not publish. Align the branch names when the front end is moved to its own repository.</w:t>
      </w:r>
    </w:p>
    <w:p>
      <w:pPr>
        <w:pStyle w:val="Heading2"/>
        <w:rPr/>
      </w:pPr>
      <w:bookmarkStart w:id="31" w:name="__RefHeading___Toc15409_1606252305"/>
      <w:bookmarkEnd w:id="31"/>
      <w:r>
        <w:rPr>
          <w:rFonts w:eastAsia="Segoe UI" w:cs="Segoe UI"/>
          <w:b/>
          <w:color w:val="0F4761"/>
          <w:sz w:val="26"/>
        </w:rPr>
        <w:t>7.2  Release process</w:t>
      </w:r>
    </w:p>
    <w:p>
      <w:pPr>
        <w:pStyle w:val="Normal"/>
        <w:spacing w:lineRule="auto" w:line="276" w:before="0" w:after="120"/>
        <w:rPr/>
      </w:pPr>
      <w:r>
        <w:rPr>
          <w:rFonts w:eastAsia="Segoe UI" w:cs="Segoe UI" w:ascii="Segoe UI" w:hAnsi="Segoe UI"/>
          <w:b/>
          <w:color w:val="101820"/>
          <w:sz w:val="21"/>
        </w:rPr>
        <w:t>Recommended</w:t>
      </w:r>
      <w:r>
        <w:rPr>
          <w:rFonts w:eastAsia="Segoe UI" w:cs="Segoe UI" w:ascii="Segoe UI" w:hAnsi="Segoe UI"/>
          <w:color w:val="101820"/>
          <w:sz w:val="21"/>
        </w:rPr>
        <w:t xml:space="preserve"> release steps for UAT and PROD:</w:t>
      </w:r>
    </w:p>
    <w:p>
      <w:pPr>
        <w:pStyle w:val="Normal"/>
        <w:numPr>
          <w:ilvl w:val="0"/>
          <w:numId w:val="5"/>
        </w:numPr>
        <w:spacing w:before="0" w:after="60"/>
        <w:rPr/>
      </w:pPr>
      <w:r>
        <w:rPr>
          <w:rFonts w:eastAsia="Segoe UI" w:cs="Segoe UI" w:ascii="Segoe UI" w:hAnsi="Segoe UI"/>
          <w:color w:val="101820"/>
          <w:sz w:val="21"/>
        </w:rPr>
        <w:t>Merge to the release branch through a reviewed pull request with a green CI run.</w:t>
      </w:r>
    </w:p>
    <w:p>
      <w:pPr>
        <w:pStyle w:val="Normal"/>
        <w:numPr>
          <w:ilvl w:val="0"/>
          <w:numId w:val="2"/>
        </w:numPr>
        <w:spacing w:before="0" w:after="60"/>
        <w:rPr/>
      </w:pPr>
      <w:r>
        <w:rPr>
          <w:rFonts w:eastAsia="Segoe UI" w:cs="Segoe UI" w:ascii="Segoe UI" w:hAnsi="Segoe UI"/>
          <w:color w:val="101820"/>
          <w:sz w:val="21"/>
        </w:rPr>
        <w:t xml:space="preserve">Tag the release (for example </w:t>
      </w:r>
      <w:r>
        <w:rPr>
          <w:rFonts w:eastAsia="Consolas" w:cs="Consolas" w:ascii="Consolas" w:hAnsi="Consolas"/>
          <w:color w:val="101820"/>
          <w:sz w:val="19"/>
        </w:rPr>
        <w:t>v1.0.0</w:t>
      </w:r>
      <w:r>
        <w:rPr>
          <w:rFonts w:eastAsia="Segoe UI" w:cs="Segoe UI" w:ascii="Segoe UI" w:hAnsi="Segoe UI"/>
          <w:color w:val="101820"/>
          <w:sz w:val="21"/>
        </w:rPr>
        <w:t xml:space="preserve">, as named in </w:t>
      </w:r>
      <w:r>
        <w:rPr>
          <w:rFonts w:eastAsia="Consolas" w:cs="Consolas" w:ascii="Consolas" w:hAnsi="Consolas"/>
          <w:color w:val="101820"/>
          <w:sz w:val="19"/>
        </w:rPr>
        <w:t>deploy/README.md</w:t>
      </w:r>
      <w:r>
        <w:rPr>
          <w:rFonts w:eastAsia="Segoe UI" w:cs="Segoe UI" w:ascii="Segoe UI" w:hAnsi="Segoe UI"/>
          <w:color w:val="101820"/>
          <w:sz w:val="21"/>
        </w:rPr>
        <w:t xml:space="preserve">) and record </w:t>
      </w:r>
      <w:r>
        <w:rPr>
          <w:rFonts w:eastAsia="Consolas" w:cs="Consolas" w:ascii="Consolas" w:hAnsi="Consolas"/>
          <w:color w:val="101820"/>
          <w:sz w:val="19"/>
        </w:rPr>
        <w:t>GIT_COMMIT</w:t>
      </w:r>
      <w:r>
        <w:rPr>
          <w:rFonts w:eastAsia="Segoe UI" w:cs="Segoe UI" w:ascii="Segoe UI" w:hAnsi="Segoe UI"/>
          <w:color w:val="101820"/>
          <w:sz w:val="21"/>
        </w:rPr>
        <w:t xml:space="preserve"> in the build so </w:t>
      </w:r>
      <w:r>
        <w:rPr>
          <w:rFonts w:eastAsia="Consolas" w:cs="Consolas" w:ascii="Consolas" w:hAnsi="Consolas"/>
          <w:color w:val="101820"/>
          <w:sz w:val="19"/>
        </w:rPr>
        <w:t>GET /api/version</w:t>
      </w:r>
      <w:r>
        <w:rPr>
          <w:rFonts w:eastAsia="Segoe UI" w:cs="Segoe UI" w:ascii="Segoe UI" w:hAnsi="Segoe UI"/>
          <w:color w:val="101820"/>
          <w:sz w:val="21"/>
        </w:rPr>
        <w:t xml:space="preserve"> shows it.</w:t>
      </w:r>
    </w:p>
    <w:p>
      <w:pPr>
        <w:pStyle w:val="Normal"/>
        <w:numPr>
          <w:ilvl w:val="0"/>
          <w:numId w:val="2"/>
        </w:numPr>
        <w:spacing w:before="0" w:after="60"/>
        <w:rPr/>
      </w:pPr>
      <w:r>
        <w:rPr>
          <w:rFonts w:eastAsia="Segoe UI" w:cs="Segoe UI" w:ascii="Segoe UI" w:hAnsi="Segoe UI"/>
          <w:color w:val="101820"/>
          <w:sz w:val="21"/>
        </w:rPr>
        <w:t xml:space="preserve">Deploy to UAT, run the UAT scripts in </w:t>
      </w:r>
      <w:r>
        <w:rPr>
          <w:rFonts w:eastAsia="Consolas" w:cs="Consolas" w:ascii="Consolas" w:hAnsi="Consolas"/>
          <w:color w:val="101820"/>
          <w:sz w:val="19"/>
        </w:rPr>
        <w:t>docs/onboarding/UAT_SCRIPTS.md</w:t>
      </w:r>
      <w:r>
        <w:rPr>
          <w:rFonts w:eastAsia="Segoe UI" w:cs="Segoe UI" w:ascii="Segoe UI" w:hAnsi="Segoe UI"/>
          <w:color w:val="101820"/>
          <w:sz w:val="21"/>
        </w:rPr>
        <w:t xml:space="preserve"> for the changed areas and obtain business sign-off.</w:t>
      </w:r>
    </w:p>
    <w:p>
      <w:pPr>
        <w:pStyle w:val="Normal"/>
        <w:numPr>
          <w:ilvl w:val="0"/>
          <w:numId w:val="2"/>
        </w:numPr>
        <w:spacing w:before="0" w:after="60"/>
        <w:rPr/>
      </w:pPr>
      <w:r>
        <w:rPr>
          <w:rFonts w:eastAsia="Segoe UI" w:cs="Segoe UI" w:ascii="Segoe UI" w:hAnsi="Segoe UI"/>
          <w:color w:val="101820"/>
          <w:sz w:val="21"/>
        </w:rPr>
        <w:t>Before PROD: take a manual database snapshot when the release contains migrations.</w:t>
      </w:r>
    </w:p>
    <w:p>
      <w:pPr>
        <w:pStyle w:val="Normal"/>
        <w:numPr>
          <w:ilvl w:val="0"/>
          <w:numId w:val="2"/>
        </w:numPr>
        <w:spacing w:before="0" w:after="60"/>
        <w:rPr/>
      </w:pPr>
      <w:r>
        <w:rPr>
          <w:rFonts w:eastAsia="Segoe UI" w:cs="Segoe UI" w:ascii="Segoe UI" w:hAnsi="Segoe UI"/>
          <w:color w:val="101820"/>
          <w:sz w:val="21"/>
        </w:rPr>
        <w:t xml:space="preserve">Deploy one API instance first; when </w:t>
      </w:r>
      <w:r>
        <w:rPr>
          <w:rFonts w:eastAsia="Consolas" w:cs="Consolas" w:ascii="Consolas" w:hAnsi="Consolas"/>
          <w:color w:val="101820"/>
          <w:sz w:val="19"/>
        </w:rPr>
        <w:t>/api/health</w:t>
      </w:r>
      <w:r>
        <w:rPr>
          <w:rFonts w:eastAsia="Segoe UI" w:cs="Segoe UI" w:ascii="Segoe UI" w:hAnsi="Segoe UI"/>
          <w:color w:val="101820"/>
          <w:sz w:val="21"/>
        </w:rPr>
        <w:t xml:space="preserve"> is ready, roll the others.</w:t>
      </w:r>
    </w:p>
    <w:p>
      <w:pPr>
        <w:pStyle w:val="Normal"/>
        <w:numPr>
          <w:ilvl w:val="0"/>
          <w:numId w:val="2"/>
        </w:numPr>
        <w:spacing w:before="0" w:after="60"/>
        <w:rPr/>
      </w:pPr>
      <w:r>
        <w:rPr>
          <w:rFonts w:eastAsia="Segoe UI" w:cs="Segoe UI" w:ascii="Segoe UI" w:hAnsi="Segoe UI"/>
          <w:color w:val="101820"/>
          <w:sz w:val="21"/>
        </w:rPr>
        <w:t xml:space="preserve">Smoke test as in </w:t>
      </w:r>
      <w:r>
        <w:rPr>
          <w:rFonts w:eastAsia="Consolas" w:cs="Consolas" w:ascii="Consolas" w:hAnsi="Consolas"/>
          <w:color w:val="101820"/>
          <w:sz w:val="19"/>
        </w:rPr>
        <w:t>deploy/README.md</w:t>
      </w:r>
      <w:r>
        <w:rPr>
          <w:rFonts w:eastAsia="Segoe UI" w:cs="Segoe UI" w:ascii="Segoe UI" w:hAnsi="Segoe UI"/>
          <w:color w:val="101820"/>
          <w:sz w:val="21"/>
        </w:rPr>
        <w:t xml:space="preserve"> section 4; keep the previous image and front-end build for rollback.</w:t>
      </w:r>
    </w:p>
    <w:p>
      <w:pPr>
        <w:pStyle w:val="Heading2"/>
        <w:rPr/>
      </w:pPr>
      <w:bookmarkStart w:id="32" w:name="__RefHeading___Toc15411_1606252305"/>
      <w:bookmarkEnd w:id="32"/>
      <w:r>
        <w:rPr>
          <w:rFonts w:eastAsia="Segoe UI" w:cs="Segoe UI"/>
          <w:b/>
          <w:color w:val="0F4761"/>
          <w:sz w:val="26"/>
        </w:rPr>
        <w:t>7.3  Environment configuration and secrets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Variable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 enforced at production start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NODE_ENV</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production</w:t>
            </w:r>
            <w:r>
              <w:rPr>
                <w:rFonts w:eastAsia="Segoe UI" w:cs="Segoe UI" w:ascii="Segoe UI" w:hAnsi="Segoe UI"/>
                <w:color w:val="101820"/>
                <w:kern w:val="0"/>
                <w:sz w:val="18"/>
                <w:szCs w:val="24"/>
                <w:lang w:val="en-US" w:eastAsia="ja-JP" w:bidi="ar-SA"/>
              </w:rPr>
              <w:t xml:space="preserve"> turns on the start-up checks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DATABASE_URL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PostgreSQL connection, </w:t>
            </w:r>
            <w:r>
              <w:rPr>
                <w:rFonts w:eastAsia="Consolas" w:cs="Consolas" w:ascii="Consolas" w:hAnsi="Consolas"/>
                <w:color w:val="101820"/>
                <w:kern w:val="0"/>
                <w:sz w:val="16"/>
                <w:szCs w:val="24"/>
                <w:lang w:val="en-US" w:eastAsia="ja-JP" w:bidi="ar-SA"/>
              </w:rPr>
              <w:t>sslmode=require</w:t>
            </w:r>
            <w:r>
              <w:rPr>
                <w:rFonts w:eastAsia="Segoe UI" w:cs="Segoe UI" w:ascii="Segoe UI" w:hAnsi="Segoe UI"/>
                <w:color w:val="101820"/>
                <w:kern w:val="0"/>
                <w:sz w:val="18"/>
                <w:szCs w:val="24"/>
                <w:lang w:val="en-US" w:eastAsia="ja-JP" w:bidi="ar-SA"/>
              </w:rPr>
              <w:t xml:space="preserve"> on managed databases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sessions, file links and approval tokens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not a placeholder, at least 32 characters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DATA_ENCRYPTION_KEY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Encrypts TOTP secrets, keys reset-code hashes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Required, at least 32 characters, different from </w:t>
            </w:r>
            <w:r>
              <w:rPr>
                <w:rFonts w:eastAsia="Consolas" w:cs="Consolas" w:ascii="Consolas" w:hAnsi="Consolas"/>
                <w:color w:val="101820"/>
                <w:kern w:val="0"/>
                <w:sz w:val="16"/>
                <w:szCs w:val="24"/>
                <w:lang w:val="en-US" w:eastAsia="ja-JP" w:bidi="ar-SA"/>
              </w:rPr>
              <w:t>JWT_SECRET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ADMIN_PASSWORD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First password of the </w:t>
            </w:r>
            <w:r>
              <w:rPr>
                <w:rFonts w:eastAsia="Consolas" w:cs="Consolas" w:ascii="Consolas" w:hAnsi="Consolas"/>
                <w:color w:val="101820"/>
                <w:kern w:val="0"/>
                <w:sz w:val="16"/>
                <w:szCs w:val="24"/>
                <w:lang w:val="en-US" w:eastAsia="ja-JP" w:bidi="ar-SA"/>
              </w:rPr>
              <w:t>BrokerVerse</w:t>
            </w:r>
            <w:r>
              <w:rPr>
                <w:rFonts w:eastAsia="Segoe UI" w:cs="Segoe UI" w:ascii="Segoe UI" w:hAnsi="Segoe UI"/>
                <w:color w:val="101820"/>
                <w:kern w:val="0"/>
                <w:sz w:val="18"/>
                <w:szCs w:val="24"/>
                <w:lang w:val="en-US" w:eastAsia="ja-JP" w:bidi="ar-SA"/>
              </w:rPr>
              <w:t xml:space="preserve"> administrator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Must meet the password policy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CORS_ORIGINS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Allowed web origins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t>
            </w:r>
            <w:r>
              <w:rPr>
                <w:rFonts w:eastAsia="Segoe UI" w:cs="Segoe UI" w:ascii="Segoe UI" w:hAnsi="Segoe UI"/>
                <w:color w:val="101820"/>
                <w:kern w:val="0"/>
                <w:sz w:val="18"/>
                <w:szCs w:val="24"/>
                <w:lang w:val="en-US" w:eastAsia="ja-JP" w:bidi="ar-SA"/>
              </w:rPr>
              <w:t xml:space="preserve"> refused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PUBLIC_BASE_URL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API address for links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localhost refused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UPLOAD_DIR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path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SMTP_URL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Mail account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SEED_SAMPLE_DATA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data on or off (off by default in production)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SCHEDULER_ENABLED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scheduled jobs on this instance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&lt;prefix&gt;_SECRET_KEY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&lt;prefix&gt;_WEBHOOK_SECRET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&lt;prefix&gt;_MERCHANT_ID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&lt;prefix&gt;_PASSWORD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credentials, read only from the environment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gateway cannot go live without them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If a rule fails, the API logs </w:t>
      </w:r>
      <w:r>
        <w:rPr>
          <w:rFonts w:eastAsia="Consolas" w:cs="Consolas" w:ascii="Consolas" w:hAnsi="Consolas"/>
          <w:color w:val="101820"/>
          <w:sz w:val="19"/>
        </w:rPr>
        <w:t>Refusing to start in production: ...</w:t>
      </w:r>
      <w:r>
        <w:rPr>
          <w:rFonts w:eastAsia="Segoe UI" w:cs="Segoe UI" w:ascii="Segoe UI" w:hAnsi="Segoe UI"/>
          <w:color w:val="101820"/>
          <w:sz w:val="21"/>
        </w:rPr>
        <w:t xml:space="preserve"> with the reason and exits. Secrets are never stored in the repository; </w:t>
      </w:r>
      <w:r>
        <w:rPr>
          <w:rFonts w:eastAsia="Consolas" w:cs="Consolas" w:ascii="Consolas" w:hAnsi="Consolas"/>
          <w:color w:val="101820"/>
          <w:sz w:val="19"/>
        </w:rPr>
        <w:t>deploy/backend.env.example</w:t>
      </w:r>
      <w:r>
        <w:rPr>
          <w:rFonts w:eastAsia="Segoe UI" w:cs="Segoe UI" w:ascii="Segoe UI" w:hAnsi="Segoe UI"/>
          <w:color w:val="101820"/>
          <w:sz w:val="21"/>
        </w:rPr>
        <w:t xml:space="preserve"> holds placeholders only.</w:t>
      </w:r>
    </w:p>
    <w:p>
      <w:pPr>
        <w:pStyle w:val="Heading2"/>
        <w:rPr/>
      </w:pPr>
      <w:bookmarkStart w:id="33" w:name="__RefHeading___Toc15413_1606252305"/>
      <w:bookmarkEnd w:id="33"/>
      <w:r>
        <w:rPr>
          <w:rFonts w:eastAsia="Segoe UI" w:cs="Segoe UI"/>
          <w:b/>
          <w:color w:val="0F4761"/>
          <w:sz w:val="26"/>
        </w:rPr>
        <w:t>7.4  Database migrations on start</w:t>
      </w:r>
    </w:p>
    <w:p>
      <w:pPr>
        <w:pStyle w:val="Normal"/>
        <w:numPr>
          <w:ilvl w:val="0"/>
          <w:numId w:val="6"/>
        </w:numPr>
        <w:spacing w:before="0" w:after="60"/>
        <w:rPr/>
      </w:pPr>
      <w:r>
        <w:rPr>
          <w:rFonts w:eastAsia="Segoe UI" w:cs="Segoe UI" w:ascii="Segoe UI" w:hAnsi="Segoe UI"/>
          <w:color w:val="101820"/>
          <w:sz w:val="21"/>
        </w:rPr>
        <w:t>The server checks the production configuration.</w:t>
      </w:r>
    </w:p>
    <w:p>
      <w:pPr>
        <w:pStyle w:val="Normal"/>
        <w:numPr>
          <w:ilvl w:val="0"/>
          <w:numId w:val="7"/>
        </w:numPr>
        <w:spacing w:before="0" w:after="60"/>
        <w:rPr/>
      </w:pPr>
      <w:r>
        <w:rPr>
          <w:rFonts w:eastAsia="Segoe UI" w:cs="Segoe UI" w:ascii="Segoe UI" w:hAnsi="Segoe UI"/>
          <w:color w:val="101820"/>
          <w:sz w:val="21"/>
        </w:rPr>
        <w:t>It reports not ready (</w:t>
      </w:r>
      <w:r>
        <w:rPr>
          <w:rFonts w:eastAsia="Consolas" w:cs="Consolas" w:ascii="Consolas" w:hAnsi="Consolas"/>
          <w:color w:val="101820"/>
          <w:sz w:val="19"/>
        </w:rPr>
        <w:t>/api/health</w:t>
      </w:r>
      <w:r>
        <w:rPr>
          <w:rFonts w:eastAsia="Segoe UI" w:cs="Segoe UI" w:ascii="Segoe UI" w:hAnsi="Segoe UI"/>
          <w:color w:val="101820"/>
          <w:sz w:val="21"/>
        </w:rPr>
        <w:t xml:space="preserve"> answers 503) and takes a PostgreSQL advisory lock. Other instances starting at the same time wait (up to 10 minutes).</w:t>
      </w:r>
    </w:p>
    <w:p>
      <w:pPr>
        <w:pStyle w:val="Normal"/>
        <w:numPr>
          <w:ilvl w:val="0"/>
          <w:numId w:val="8"/>
        </w:numPr>
        <w:spacing w:before="0" w:after="60"/>
        <w:rPr/>
      </w:pPr>
      <w:r>
        <w:rPr>
          <w:rFonts w:eastAsia="Segoe UI" w:cs="Segoe UI" w:ascii="Segoe UI" w:hAnsi="Segoe UI"/>
          <w:color w:val="101820"/>
          <w:sz w:val="21"/>
        </w:rPr>
        <w:t xml:space="preserve">It applies each pending migration in its own transaction and records it in </w:t>
      </w:r>
      <w:r>
        <w:rPr>
          <w:rFonts w:eastAsia="Consolas" w:cs="Consolas" w:ascii="Consolas" w:hAnsi="Consolas"/>
          <w:color w:val="101820"/>
          <w:sz w:val="19"/>
        </w:rPr>
        <w:t>schema_migrations</w:t>
      </w:r>
      <w:r>
        <w:rPr>
          <w:rFonts w:eastAsia="Segoe UI" w:cs="Segoe UI" w:ascii="Segoe UI" w:hAnsi="Segoe UI"/>
          <w:color w:val="101820"/>
          <w:sz w:val="21"/>
        </w:rPr>
        <w:t>, then runs the idempotent seed (roles, permissions, settings, chart of accounts, product templates, jobs, masters, administrator).</w:t>
      </w:r>
    </w:p>
    <w:p>
      <w:pPr>
        <w:pStyle w:val="Normal"/>
        <w:numPr>
          <w:ilvl w:val="0"/>
          <w:numId w:val="9"/>
        </w:numPr>
        <w:spacing w:before="0" w:after="60"/>
        <w:rPr/>
      </w:pPr>
      <w:r>
        <w:rPr>
          <w:rFonts w:eastAsia="Segoe UI" w:cs="Segoe UI" w:ascii="Segoe UI" w:hAnsi="Segoe UI"/>
          <w:color w:val="101820"/>
          <w:sz w:val="21"/>
        </w:rPr>
        <w:t>It starts HTTP and the scheduler and reports ready.</w:t>
      </w:r>
    </w:p>
    <w:p>
      <w:pPr>
        <w:pStyle w:val="Normal"/>
        <w:spacing w:lineRule="auto" w:line="276" w:before="0" w:after="120"/>
        <w:rPr/>
      </w:pPr>
      <w:r>
        <w:rPr>
          <w:rFonts w:eastAsia="Segoe UI" w:cs="Segoe UI" w:ascii="Segoe UI" w:hAnsi="Segoe UI"/>
          <w:color w:val="101820"/>
          <w:sz w:val="21"/>
        </w:rPr>
        <w:t xml:space="preserve">Migrations only add to the schema (project convention), so the previous release normally runs on the newer schema. A failed migration stops the start-up; the release is not rolled back automatically. </w:t>
      </w:r>
      <w:r>
        <w:rPr>
          <w:rFonts w:eastAsia="Segoe UI" w:cs="Segoe UI" w:ascii="Segoe UI" w:hAnsi="Segoe UI"/>
          <w:b/>
          <w:color w:val="101820"/>
          <w:sz w:val="21"/>
        </w:rPr>
        <w:t>Recommended:</w:t>
      </w:r>
      <w:r>
        <w:rPr>
          <w:rFonts w:eastAsia="Segoe UI" w:cs="Segoe UI" w:ascii="Segoe UI" w:hAnsi="Segoe UI"/>
          <w:color w:val="101820"/>
          <w:sz w:val="21"/>
        </w:rPr>
        <w:t xml:space="preserve"> test every migration on a UAT copy and keep a pre-release snapshot.</w:t>
      </w:r>
      <w:r>
        <w:br w:type="page"/>
      </w:r>
    </w:p>
    <w:p>
      <w:pPr>
        <w:pStyle w:val="Heading1"/>
        <w:rPr/>
      </w:pPr>
      <w:bookmarkStart w:id="34" w:name="__RefHeading___Toc15415_1606252305"/>
      <w:bookmarkEnd w:id="34"/>
      <w:r>
        <w:rPr>
          <w:rFonts w:eastAsia="Segoe UI" w:cs="Segoe UI" w:ascii="Segoe UI" w:hAnsi="Segoe UI"/>
          <w:b/>
          <w:color w:val="0F4761"/>
          <w:sz w:val="32"/>
        </w:rPr>
        <w:t>8.  High availability, backup and recovery</w:t>
      </w:r>
    </w:p>
    <w:p>
      <w:pPr>
        <w:pStyle w:val="Heading2"/>
        <w:rPr/>
      </w:pPr>
      <w:bookmarkStart w:id="35" w:name="__RefHeading___Toc15417_1606252305"/>
      <w:bookmarkEnd w:id="35"/>
      <w:r>
        <w:rPr>
          <w:rFonts w:eastAsia="Segoe UI" w:cs="Segoe UI"/>
          <w:b/>
          <w:color w:val="0F4761"/>
          <w:sz w:val="26"/>
        </w:rPr>
        <w:t>8.1  Resilience properties of the application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Property</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instance serves any request; no sticky sessions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Readiness and liveness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checks the database (2,000 ms timeout) and pending migrations; </w:t>
            </w:r>
            <w:r>
              <w:rPr>
                <w:rFonts w:eastAsia="Consolas" w:cs="Consolas" w:ascii="Consolas" w:hAnsi="Consolas"/>
                <w:color w:val="101820"/>
                <w:kern w:val="0"/>
                <w:sz w:val="16"/>
                <w:szCs w:val="24"/>
                <w:lang w:val="en-US" w:eastAsia="ja-JP" w:bidi="ar-SA"/>
              </w:rPr>
              <w:t>/api/health/live</w:t>
            </w:r>
            <w:r>
              <w:rPr>
                <w:rFonts w:eastAsia="Segoe UI" w:cs="Segoe UI" w:ascii="Segoe UI" w:hAnsi="Segoe UI"/>
                <w:color w:val="101820"/>
                <w:kern w:val="0"/>
                <w:sz w:val="18"/>
                <w:szCs w:val="24"/>
                <w:lang w:val="en-US" w:eastAsia="ja-JP" w:bidi="ar-SA"/>
              </w:rPr>
              <w:t xml:space="preserve"> checks the process only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Graceful shutdown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SIGTERM: not ready, scheduler stopped, requests drained, forced exit after 25 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Jobs on several instances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Advisory lock per run; a job runs once even with several schedulers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transaction per business operation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failure rolls back the whole operation including the document number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outages delay e-mail without failing transactions</w:t>
            </w:r>
          </w:p>
        </w:tc>
      </w:tr>
    </w:tbl>
    <w:p>
      <w:pPr>
        <w:pStyle w:val="Normal"/>
        <w:spacing w:before="0" w:after="80"/>
        <w:rPr/>
      </w:pPr>
      <w:r>
        <w:rPr/>
      </w:r>
    </w:p>
    <w:p>
      <w:pPr>
        <w:pStyle w:val="Normal"/>
        <w:jc w:val="center"/>
        <w:rPr/>
      </w:pPr>
      <w:r>
        <w:rPr/>
        <w:drawing>
          <wp:inline distT="0" distB="0" distL="0" distR="0">
            <wp:extent cx="5760085" cy="434467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4344670"/>
                    </a:xfrm>
                    <a:prstGeom prst="rect">
                      <a:avLst/>
                    </a:prstGeom>
                  </pic:spPr>
                </pic:pic>
              </a:graphicData>
            </a:graphic>
          </wp:inline>
        </w:drawing>
      </w:r>
    </w:p>
    <w:p>
      <w:pPr>
        <w:pStyle w:val="Normal"/>
        <w:jc w:val="center"/>
        <w:rPr/>
      </w:pPr>
      <w:r>
        <w:rPr>
          <w:rFonts w:eastAsia="Segoe UI" w:cs="Segoe UI" w:ascii="Segoe UI" w:hAnsi="Segoe UI"/>
          <w:i/>
          <w:color w:val="555F6D"/>
          <w:sz w:val="18"/>
        </w:rPr>
        <w:t>High-availability topology (architecture document 07, recommended)</w:t>
      </w:r>
    </w:p>
    <w:p>
      <w:pPr>
        <w:pStyle w:val="Normal"/>
        <w:spacing w:lineRule="auto" w:line="276" w:before="0" w:after="120"/>
        <w:rPr/>
      </w:pPr>
      <w:r>
        <w:rPr>
          <w:rFonts w:eastAsia="Segoe UI" w:cs="Segoe UI" w:ascii="Segoe UI" w:hAnsi="Segoe UI"/>
          <w:b/>
          <w:color w:val="101820"/>
          <w:sz w:val="21"/>
        </w:rPr>
        <w:t>Recommended</w:t>
      </w:r>
      <w:r>
        <w:rPr>
          <w:rFonts w:eastAsia="Segoe UI" w:cs="Segoe UI" w:ascii="Segoe UI" w:hAnsi="Segoe UI"/>
          <w:color w:val="101820"/>
          <w:sz w:val="21"/>
        </w:rPr>
        <w:t xml:space="preserve"> production topology: at least two API instances in two availability zones, rolling deployment with 100% minimum healthy, managed PostgreSQL with a synchronous standby, a shared file store across zones, container stop timeout 30 s and load balancer deregistration delay 30 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Single point of failure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Standby with automatic failover; PITR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Shared, zone-redundant store with daily backup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 API instance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or more instances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Versioned secret store and sealed escrow copy of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JWT_SECRET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 or site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Cross-region or off-site copies and a documented recovery</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Known limitation:</w:t>
      </w:r>
      <w:r>
        <w:rPr>
          <w:rFonts w:eastAsia="Segoe UI" w:cs="Segoe UI" w:ascii="Segoe UI" w:hAnsi="Segoe UI"/>
          <w:color w:val="101820"/>
          <w:sz w:val="20"/>
        </w:rPr>
        <w:t xml:space="preserve"> Rate limits are counted per API process, so with N instances the effective limit is N times the setting. </w:t>
      </w:r>
      <w:r>
        <w:rPr>
          <w:rFonts w:eastAsia="Segoe UI" w:cs="Segoe UI" w:ascii="Segoe UI" w:hAnsi="Segoe UI"/>
          <w:b/>
          <w:color w:val="101820"/>
          <w:sz w:val="20"/>
        </w:rPr>
        <w:t>Recommended:</w:t>
      </w:r>
      <w:r>
        <w:rPr>
          <w:rFonts w:eastAsia="Segoe UI" w:cs="Segoe UI" w:ascii="Segoe UI" w:hAnsi="Segoe UI"/>
          <w:color w:val="101820"/>
          <w:sz w:val="20"/>
        </w:rPr>
        <w:t xml:space="preserve"> enforce rate limits at the WAF as well.</w:t>
      </w:r>
    </w:p>
    <w:p>
      <w:pPr>
        <w:pStyle w:val="Heading2"/>
        <w:rPr/>
      </w:pPr>
      <w:bookmarkStart w:id="36" w:name="__RefHeading___Toc15419_1606252305"/>
      <w:bookmarkEnd w:id="36"/>
      <w:r>
        <w:rPr>
          <w:rFonts w:eastAsia="Segoe UI" w:cs="Segoe UI"/>
          <w:b/>
          <w:color w:val="0F4761"/>
          <w:sz w:val="26"/>
        </w:rPr>
        <w:t>8.2  Recovery objectives</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objectives below are the proposal of architecture document 08. Nothing in the code sets an RTO or RPO; the broker confirms them.</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RPO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RTO</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 failure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5 minutes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zone failure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instance failure (with standby)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corruption or wrong mass change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minutes or less (5 achievable with PITR)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uploaded files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Regional outage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 (warm standby: 8 hours)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deleted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secrets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Service tiers: Tier 1 core transactions in PostgreSQL; Tier 2 documents in the file store; Tier 3 derived data (notifications, outbox, generated reports); Tier 4 code and configuration as code, rebuilt from Git.</w:t>
      </w:r>
    </w:p>
    <w:p>
      <w:pPr>
        <w:pStyle w:val="Heading2"/>
        <w:rPr/>
      </w:pPr>
      <w:bookmarkStart w:id="37" w:name="__RefHeading___Toc15421_1606252305"/>
      <w:bookmarkEnd w:id="37"/>
      <w:r>
        <w:rPr>
          <w:rFonts w:eastAsia="Segoe UI" w:cs="Segoe UI"/>
          <w:b/>
          <w:color w:val="0F4761"/>
          <w:sz w:val="26"/>
        </w:rPr>
        <w:t>8.3  Backup</w:t>
      </w:r>
    </w:p>
    <w:p>
      <w:pPr>
        <w:pStyle w:val="Normal"/>
        <w:jc w:val="center"/>
        <w:rPr/>
      </w:pPr>
      <w:r>
        <w:rPr/>
        <w:drawing>
          <wp:inline distT="0" distB="0" distL="0" distR="0">
            <wp:extent cx="5760085" cy="288163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2881630"/>
                    </a:xfrm>
                    <a:prstGeom prst="rect">
                      <a:avLst/>
                    </a:prstGeom>
                  </pic:spPr>
                </pic:pic>
              </a:graphicData>
            </a:graphic>
          </wp:inline>
        </w:drawing>
      </w:r>
    </w:p>
    <w:p>
      <w:pPr>
        <w:pStyle w:val="Normal"/>
        <w:jc w:val="center"/>
        <w:rPr/>
      </w:pPr>
      <w:r>
        <w:rPr>
          <w:rFonts w:eastAsia="Segoe UI" w:cs="Segoe UI" w:ascii="Segoe UI" w:hAnsi="Segoe UI"/>
          <w:i/>
          <w:color w:val="555F6D"/>
          <w:sz w:val="18"/>
        </w:rPr>
        <w:t>Backup and recovery data flows (architecture document 09, recommended)</w:t>
      </w:r>
    </w:p>
    <w:p>
      <w:pPr>
        <w:pStyle w:val="Normal"/>
        <w:spacing w:lineRule="auto" w:line="276" w:before="0" w:after="120"/>
        <w:rPr/>
      </w:pPr>
      <w:r>
        <w:rPr>
          <w:rFonts w:eastAsia="Consolas" w:cs="Consolas" w:ascii="Consolas" w:hAnsi="Consolas"/>
          <w:color w:val="101820"/>
          <w:sz w:val="19"/>
        </w:rPr>
        <w:t>deploy/README.md</w:t>
      </w:r>
      <w:r>
        <w:rPr>
          <w:rFonts w:eastAsia="Segoe UI" w:cs="Segoe UI" w:ascii="Segoe UI" w:hAnsi="Segoe UI"/>
          <w:color w:val="101820"/>
          <w:sz w:val="21"/>
        </w:rPr>
        <w:t xml:space="preserve"> requires daily automated database snapshots kept at least 30 days, a backup of the upload volume and of </w:t>
      </w:r>
      <w:r>
        <w:rPr>
          <w:rFonts w:eastAsia="Consolas" w:cs="Consolas" w:ascii="Consolas" w:hAnsi="Consolas"/>
          <w:color w:val="101820"/>
          <w:sz w:val="19"/>
        </w:rPr>
        <w:t>DATA_ENCRYPTION_KEY</w:t>
      </w:r>
      <w:r>
        <w:rPr>
          <w:rFonts w:eastAsia="Segoe UI" w:cs="Segoe UI" w:ascii="Segoe UI" w:hAnsi="Segoe UI"/>
          <w:color w:val="101820"/>
          <w:sz w:val="21"/>
        </w:rPr>
        <w:t>, and one restore test before go-live. The code contains no backup automation. Document 09 recommends: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Backup</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 (recommended)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PITR, window 02:00 to 03:00 Manila time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monthly snapshots; monthly copy to a second region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 yearly 10 years for year-end records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before each release with migrations, before go-live imports and before each year-end close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30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logical dump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 to write-once storage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daily, weekly copy to the second region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bucket versioning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Container images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10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Restore procedures for PITR, snapshots, dumps, files, the front end, secrets and release rollback are in document 09. </w:t>
      </w:r>
      <w:r>
        <w:rPr>
          <w:rFonts w:eastAsia="Segoe UI" w:cs="Segoe UI" w:ascii="Segoe UI" w:hAnsi="Segoe UI"/>
          <w:b/>
          <w:color w:val="101820"/>
          <w:sz w:val="21"/>
        </w:rPr>
        <w:t>Recommended</w:t>
      </w:r>
      <w:r>
        <w:rPr>
          <w:rFonts w:eastAsia="Segoe UI" w:cs="Segoe UI" w:ascii="Segoe UI" w:hAnsi="Segoe UI"/>
          <w:color w:val="101820"/>
          <w:sz w:val="21"/>
        </w:rPr>
        <w:t xml:space="preserve"> restore tests: PITR quarterly and before go-live; dump restore twice a year; file restore quarterly; secret escrow check yearly; full DR exercise yearly as a tabletop and every two years in full.</w:t>
      </w:r>
    </w:p>
    <w:p>
      <w:pPr>
        <w:pStyle w:val="Heading2"/>
        <w:rPr/>
      </w:pPr>
      <w:bookmarkStart w:id="38" w:name="__RefHeading___Toc15423_1606252305"/>
      <w:bookmarkEnd w:id="38"/>
      <w:r>
        <w:rPr>
          <w:rFonts w:eastAsia="Segoe UI" w:cs="Segoe UI"/>
          <w:b/>
          <w:color w:val="0F4761"/>
          <w:sz w:val="26"/>
        </w:rPr>
        <w:t>8.4  Archival and housekeeping</w:t>
      </w:r>
    </w:p>
    <w:p>
      <w:pPr>
        <w:pStyle w:val="Normal"/>
        <w:spacing w:lineRule="auto" w:line="276" w:before="0" w:after="120"/>
        <w:rPr/>
      </w:pPr>
      <w:r>
        <w:rPr>
          <w:rFonts w:eastAsia="Segoe UI" w:cs="Segoe UI" w:ascii="Segoe UI" w:hAnsi="Segoe UI"/>
          <w:color w:val="101820"/>
          <w:sz w:val="21"/>
        </w:rPr>
        <w:t xml:space="preserve">The daily </w:t>
      </w:r>
      <w:r>
        <w:rPr>
          <w:rFonts w:eastAsia="Consolas" w:cs="Consolas" w:ascii="Consolas" w:hAnsi="Consolas"/>
          <w:color w:val="101820"/>
          <w:sz w:val="19"/>
        </w:rPr>
        <w:t>housekeeping</w:t>
      </w:r>
      <w:r>
        <w:rPr>
          <w:rFonts w:eastAsia="Segoe UI" w:cs="Segoe UI" w:ascii="Segoe UI" w:hAnsi="Segoe UI"/>
          <w:color w:val="101820"/>
          <w:sz w:val="21"/>
        </w:rPr>
        <w:t xml:space="preserve"> job (02:45 Manila time) deletes operational rows past the periods set in System Settings &gt; Housekeeping, in batches of 5,000.</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Default retention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sent / failed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 730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r>
              <w:rPr>
                <w:rFonts w:eastAsia="Segoe UI" w:cs="Segoe UI" w:ascii="Segoe UI" w:hAnsi="Segoe UI"/>
                <w:color w:val="101820"/>
                <w:kern w:val="0"/>
                <w:sz w:val="18"/>
                <w:szCs w:val="24"/>
                <w:lang w:val="en-US" w:eastAsia="ja-JP" w:bidi="ar-SA"/>
              </w:rPr>
              <w:t xml:space="preserve"> expired or revoked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Completed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xml:space="preserve"> items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reports (</w:t>
            </w:r>
            <w:r>
              <w:rPr>
                <w:rFonts w:eastAsia="Consolas" w:cs="Consolas" w:ascii="Consolas" w:hAnsi="Consolas"/>
                <w:color w:val="101820"/>
                <w:kern w:val="0"/>
                <w:sz w:val="16"/>
                <w:szCs w:val="24"/>
                <w:lang w:val="en-US" w:eastAsia="ja-JP" w:bidi="ar-SA"/>
              </w:rPr>
              <w:t>reports.retention_days</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Kept (0); never purged below 2,557 days (seven years) if a period is set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Business and financial records are kept; financial documents are cancelled or reversed, not deleted. The </w:t>
      </w:r>
      <w:r>
        <w:rPr>
          <w:rFonts w:eastAsia="Consolas" w:cs="Consolas" w:ascii="Consolas" w:hAnsi="Consolas"/>
          <w:color w:val="101820"/>
          <w:sz w:val="19"/>
        </w:rPr>
        <w:t>dormant-users</w:t>
      </w:r>
      <w:r>
        <w:rPr>
          <w:rFonts w:eastAsia="Segoe UI" w:cs="Segoe UI" w:ascii="Segoe UI" w:hAnsi="Segoe UI"/>
          <w:color w:val="101820"/>
          <w:sz w:val="21"/>
        </w:rPr>
        <w:t xml:space="preserve"> job (01:45 daily) deactivates accounts without a sign-in for </w:t>
      </w:r>
      <w:r>
        <w:rPr>
          <w:rFonts w:eastAsia="Consolas" w:cs="Consolas" w:ascii="Consolas" w:hAnsi="Consolas"/>
          <w:color w:val="101820"/>
          <w:sz w:val="19"/>
        </w:rPr>
        <w:t>access.dormant_days</w:t>
      </w:r>
      <w:r>
        <w:rPr>
          <w:rFonts w:eastAsia="Segoe UI" w:cs="Segoe UI" w:ascii="Segoe UI" w:hAnsi="Segoe UI"/>
          <w:color w:val="101820"/>
          <w:sz w:val="21"/>
        </w:rPr>
        <w:t xml:space="preserve"> (90 days).</w:t>
      </w:r>
    </w:p>
    <w:p>
      <w:pPr>
        <w:pStyle w:val="Normal"/>
        <w:jc w:val="center"/>
        <w:rPr/>
      </w:pPr>
      <w:r>
        <w:rPr/>
        <w:drawing>
          <wp:inline distT="0" distB="0" distL="0" distR="0">
            <wp:extent cx="5760085" cy="373126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3731260"/>
                    </a:xfrm>
                    <a:prstGeom prst="rect">
                      <a:avLst/>
                    </a:prstGeom>
                  </pic:spPr>
                </pic:pic>
              </a:graphicData>
            </a:graphic>
          </wp:inline>
        </w:drawing>
      </w:r>
    </w:p>
    <w:p>
      <w:pPr>
        <w:pStyle w:val="Normal"/>
        <w:jc w:val="center"/>
        <w:rPr/>
      </w:pPr>
      <w:r>
        <w:rPr>
          <w:rFonts w:eastAsia="Segoe UI" w:cs="Segoe UI" w:ascii="Segoe UI" w:hAnsi="Segoe UI"/>
          <w:i/>
          <w:color w:val="555F6D"/>
          <w:sz w:val="18"/>
        </w:rPr>
        <w:t>Data lifecycle: online, archive, purge (architecture document 10, recommended)</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Document 10 proposes keeping financial and policy records 10 years after the financial year end or policy expiry, unconverted leads and quotations 3 years then anonymised or deleted, and an annual export of closed years to write-once archive storage. There is no archive or anonymisation function in the application today; these steps are database procedures run by the hosting team under change control.</w:t>
      </w:r>
    </w:p>
    <w:p>
      <w:pPr>
        <w:pStyle w:val="Heading2"/>
        <w:rPr/>
      </w:pPr>
      <w:bookmarkStart w:id="39" w:name="__RefHeading___Toc15425_1606252305"/>
      <w:bookmarkEnd w:id="39"/>
      <w:r>
        <w:rPr>
          <w:rFonts w:eastAsia="Segoe UI" w:cs="Segoe UI"/>
          <w:b/>
          <w:color w:val="0F4761"/>
          <w:sz w:val="26"/>
        </w:rPr>
        <w:t>8.5  Monitoring and alerting</w:t>
      </w:r>
    </w:p>
    <w:p>
      <w:pPr>
        <w:pStyle w:val="Normal"/>
        <w:spacing w:lineRule="auto" w:line="276" w:before="0" w:after="120"/>
        <w:rPr/>
      </w:pPr>
      <w:r>
        <w:rPr>
          <w:rFonts w:eastAsia="Segoe UI" w:cs="Segoe UI" w:ascii="Segoe UI" w:hAnsi="Segoe UI"/>
          <w:color w:val="101820"/>
          <w:sz w:val="21"/>
        </w:rPr>
        <w:t>The application produces JSON logs on standard output (pino) with a request id on every line and response, redaction of authorization headers, passwords, tokens and signatures, the health and version endpoints, and operational tables (</w:t>
      </w:r>
      <w:r>
        <w:rPr>
          <w:rFonts w:eastAsia="Consolas" w:cs="Consolas" w:ascii="Consolas" w:hAnsi="Consolas"/>
          <w:color w:val="101820"/>
          <w:sz w:val="19"/>
        </w:rPr>
        <w:t>job_runs</w:t>
      </w:r>
      <w:r>
        <w:rPr>
          <w:rFonts w:eastAsia="Segoe UI" w:cs="Segoe UI" w:ascii="Segoe UI" w:hAnsi="Segoe UI"/>
          <w:color w:val="101820"/>
          <w:sz w:val="21"/>
        </w:rPr>
        <w:t xml:space="preserve">, </w:t>
      </w:r>
      <w:r>
        <w:rPr>
          <w:rFonts w:eastAsia="Consolas" w:cs="Consolas" w:ascii="Consolas" w:hAnsi="Consolas"/>
          <w:color w:val="101820"/>
          <w:sz w:val="19"/>
        </w:rPr>
        <w:t>email_outbox</w:t>
      </w:r>
      <w:r>
        <w:rPr>
          <w:rFonts w:eastAsia="Segoe UI" w:cs="Segoe UI" w:ascii="Segoe UI" w:hAnsi="Segoe UI"/>
          <w:color w:val="101820"/>
          <w:sz w:val="21"/>
        </w:rPr>
        <w:t xml:space="preserve">,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audit_log</w:t>
      </w:r>
      <w:r>
        <w:rPr>
          <w:rFonts w:eastAsia="Segoe UI" w:cs="Segoe UI" w:ascii="Segoe UI" w:hAnsi="Segoe UI"/>
          <w:color w:val="101820"/>
          <w:sz w:val="21"/>
        </w:rPr>
        <w:t xml:space="preserve">, </w:t>
      </w:r>
      <w:r>
        <w:rPr>
          <w:rFonts w:eastAsia="Consolas" w:cs="Consolas" w:ascii="Consolas" w:hAnsi="Consolas"/>
          <w:color w:val="101820"/>
          <w:sz w:val="19"/>
        </w:rPr>
        <w:t>generated_reports</w:t>
      </w:r>
      <w:r>
        <w:rPr>
          <w:rFonts w:eastAsia="Segoe UI" w:cs="Segoe UI" w:ascii="Segoe UI" w:hAnsi="Segoe UI"/>
          <w:color w:val="101820"/>
          <w:sz w:val="21"/>
        </w:rPr>
        <w:t>). The deployment package contains no monitoring configuration.</w:t>
      </w:r>
    </w:p>
    <w:p>
      <w:pPr>
        <w:pStyle w:val="Normal"/>
        <w:jc w:val="center"/>
        <w:rPr/>
      </w:pPr>
      <w:r>
        <w:rPr/>
        <w:drawing>
          <wp:inline distT="0" distB="0" distL="0" distR="0">
            <wp:extent cx="5760085" cy="312928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3129280"/>
                    </a:xfrm>
                    <a:prstGeom prst="rect">
                      <a:avLst/>
                    </a:prstGeom>
                  </pic:spPr>
                </pic:pic>
              </a:graphicData>
            </a:graphic>
          </wp:inline>
        </w:drawing>
      </w:r>
    </w:p>
    <w:p>
      <w:pPr>
        <w:pStyle w:val="Normal"/>
        <w:jc w:val="center"/>
        <w:rPr/>
      </w:pPr>
      <w:r>
        <w:rPr>
          <w:rFonts w:eastAsia="Segoe UI" w:cs="Segoe UI" w:ascii="Segoe UI" w:hAnsi="Segoe UI"/>
          <w:i/>
          <w:color w:val="555F6D"/>
          <w:sz w:val="18"/>
        </w:rPr>
        <w:t>Monitoring and alerting (architecture document 11, recommended)</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Alarm (recommended)</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Threshold</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health check</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consecutive failures, check every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healthy API instance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minute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5xx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2% for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p95 response time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2 s for 10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CPU / memory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80% for 15 min / over 85% for 10 min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CPU, free storage, connections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80% / under 20% / over 80% of maximum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 failed or not run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failure of a daily job; over 26 hours since success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sign-ins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50 in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Refresh-token reuse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failure or PITR older than 15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expiry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30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Severity P1 is a 24 x 7 response, P2 the same business day and P3 the next business day, to be aligned with the support agreement in </w:t>
      </w:r>
      <w:r>
        <w:rPr>
          <w:rFonts w:eastAsia="Consolas" w:cs="Consolas" w:ascii="Consolas" w:hAnsi="Consolas"/>
          <w:color w:val="101820"/>
          <w:sz w:val="19"/>
        </w:rPr>
        <w:t>docs/onboarding/SUPPORT_AND_ESCALATION.md</w:t>
      </w:r>
      <w:r>
        <w:rPr>
          <w:rFonts w:eastAsia="Segoe UI" w:cs="Segoe UI" w:ascii="Segoe UI" w:hAnsi="Segoe UI"/>
          <w:color w:val="101820"/>
          <w:sz w:val="21"/>
        </w:rPr>
        <w:t>.</w:t>
      </w:r>
      <w:r>
        <w:br w:type="page"/>
      </w:r>
    </w:p>
    <w:p>
      <w:pPr>
        <w:pStyle w:val="Heading1"/>
        <w:rPr/>
      </w:pPr>
      <w:bookmarkStart w:id="40" w:name="__RefHeading___Toc15427_1606252305"/>
      <w:bookmarkEnd w:id="40"/>
      <w:r>
        <w:rPr>
          <w:rFonts w:eastAsia="Segoe UI" w:cs="Segoe UI" w:ascii="Segoe UI" w:hAnsi="Segoe UI"/>
          <w:b/>
          <w:color w:val="0F4761"/>
          <w:sz w:val="32"/>
        </w:rPr>
        <w:t>9.  Security architecture</w:t>
      </w:r>
    </w:p>
    <w:p>
      <w:pPr>
        <w:pStyle w:val="Heading2"/>
        <w:rPr/>
      </w:pPr>
      <w:bookmarkStart w:id="41" w:name="__RefHeading___Toc15429_1606252305"/>
      <w:bookmarkEnd w:id="41"/>
      <w:r>
        <w:rPr>
          <w:rFonts w:eastAsia="Segoe UI" w:cs="Segoe UI"/>
          <w:b/>
          <w:color w:val="0F4761"/>
          <w:sz w:val="26"/>
        </w:rPr>
        <w:t>9.1  Identity and authentication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Named users only; no shared or agent sign-in. Users are created in Master &gt; User Management or from a CSV with </w:t>
            </w:r>
            <w:r>
              <w:rPr>
                <w:rFonts w:eastAsia="Consolas" w:cs="Consolas" w:ascii="Consolas" w:hAnsi="Consolas"/>
                <w:color w:val="101820"/>
                <w:kern w:val="0"/>
                <w:sz w:val="16"/>
                <w:szCs w:val="24"/>
                <w:lang w:val="en-US" w:eastAsia="ja-JP" w:bidi="ar-SA"/>
              </w:rPr>
              <w:t>scripts/provision-users.js</w:t>
            </w:r>
            <w:r>
              <w:rPr>
                <w:rFonts w:eastAsia="Segoe UI" w:cs="Segoe UI" w:ascii="Segoe UI" w:hAnsi="Segoe UI"/>
                <w:color w:val="101820"/>
                <w:kern w:val="0"/>
                <w:sz w:val="18"/>
                <w:szCs w:val="24"/>
                <w:lang w:val="en-US" w:eastAsia="ja-JP" w:bidi="ar-SA"/>
              </w:rPr>
              <w:t>; each must change the initial password at first sign-in.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storage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 (cost 10); reset codes stored only as keyed HMAC hashes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8 characters, upper and lower case, digit and symbol, history of 5, maximum age 90 days (</w:t>
            </w:r>
            <w:r>
              <w:rPr>
                <w:rFonts w:eastAsia="Consolas" w:cs="Consolas" w:ascii="Consolas" w:hAnsi="Consolas"/>
                <w:color w:val="101820"/>
                <w:kern w:val="0"/>
                <w:sz w:val="16"/>
                <w:szCs w:val="24"/>
                <w:lang w:val="en-US" w:eastAsia="ja-JP" w:bidi="ar-SA"/>
              </w:rPr>
              <w:t>security.password_*</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Lockout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locked after 5 wrong passwords (</w:t>
            </w:r>
            <w:r>
              <w:rPr>
                <w:rFonts w:eastAsia="Consolas" w:cs="Consolas" w:ascii="Consolas" w:hAnsi="Consolas"/>
                <w:color w:val="101820"/>
                <w:kern w:val="0"/>
                <w:sz w:val="16"/>
                <w:szCs w:val="24"/>
                <w:lang w:val="en-US" w:eastAsia="ja-JP" w:bidi="ar-SA"/>
              </w:rPr>
              <w:t>limits.max_login_attempts</w:t>
            </w:r>
            <w:r>
              <w:rPr>
                <w:rFonts w:eastAsia="Segoe UI" w:cs="Segoe UI" w:ascii="Segoe UI" w:hAnsi="Segoe UI"/>
                <w:color w:val="101820"/>
                <w:kern w:val="0"/>
                <w:sz w:val="18"/>
                <w:szCs w:val="24"/>
                <w:lang w:val="en-US" w:eastAsia="ja-JP" w:bidi="ar-SA"/>
              </w:rPr>
              <w:t>); 10 attempts per 5 minutes per IP and per username (</w:t>
            </w:r>
            <w:r>
              <w:rPr>
                <w:rFonts w:eastAsia="Consolas" w:cs="Consolas" w:ascii="Consolas" w:hAnsi="Consolas"/>
                <w:color w:val="101820"/>
                <w:kern w:val="0"/>
                <w:sz w:val="16"/>
                <w:szCs w:val="24"/>
                <w:lang w:val="en-US" w:eastAsia="ja-JP" w:bidi="ar-SA"/>
              </w:rPr>
              <w:t>security.login_rate_limit</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TOTP (RFC 6238); secrets encrypted with AES-256-GCM; compulsory for the roles in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xml:space="preserve"> (empty by default)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token 30 minutes, refresh token 30 days rotated on each use; reuse of a rotated token revokes the token family and is logged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Revocation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change or reset, deactivation, role or permission change raise the token version and end sessions at once; Master &gt; User Management can end every session of a user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Idle sign-out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 (</w:t>
            </w:r>
            <w:r>
              <w:rPr>
                <w:rFonts w:eastAsia="Consolas" w:cs="Consolas" w:ascii="Consolas" w:hAnsi="Consolas"/>
                <w:color w:val="101820"/>
                <w:kern w:val="0"/>
                <w:sz w:val="16"/>
                <w:szCs w:val="24"/>
                <w:lang w:val="en-US" w:eastAsia="ja-JP" w:bidi="ar-SA"/>
              </w:rPr>
              <w:t>limits.session_idle_minutes</w:t>
            </w:r>
            <w:r>
              <w:rPr>
                <w:rFonts w:eastAsia="Segoe UI" w:cs="Segoe UI" w:ascii="Segoe UI" w:hAnsi="Segoe UI"/>
                <w:color w:val="101820"/>
                <w:kern w:val="0"/>
                <w:sz w:val="18"/>
                <w:szCs w:val="24"/>
                <w:lang w:val="en-US" w:eastAsia="ja-JP" w:bidi="ar-SA"/>
              </w:rPr>
              <w:t>) with a one-minute warning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history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attempt in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with result, reason, IP and user agent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Before go-live set </w:t>
      </w:r>
      <w:r>
        <w:rPr>
          <w:rFonts w:eastAsia="Consolas" w:cs="Consolas" w:ascii="Consolas" w:hAnsi="Consolas"/>
          <w:color w:val="101820"/>
          <w:sz w:val="18"/>
        </w:rPr>
        <w:t>security.require_2fa_roles</w:t>
      </w:r>
      <w:r>
        <w:rPr>
          <w:rFonts w:eastAsia="Segoe UI" w:cs="Segoe UI" w:ascii="Segoe UI" w:hAnsi="Segoe UI"/>
          <w:color w:val="101820"/>
          <w:sz w:val="20"/>
        </w:rPr>
        <w:t xml:space="preserve"> to at least </w:t>
      </w:r>
      <w:r>
        <w:rPr>
          <w:rFonts w:eastAsia="Consolas" w:cs="Consolas" w:ascii="Consolas" w:hAnsi="Consolas"/>
          <w:color w:val="101820"/>
          <w:sz w:val="18"/>
        </w:rPr>
        <w:t>system-admin</w:t>
      </w:r>
      <w:r>
        <w:rPr>
          <w:rFonts w:eastAsia="Segoe UI" w:cs="Segoe UI" w:ascii="Segoe UI" w:hAnsi="Segoe UI"/>
          <w:color w:val="101820"/>
          <w:sz w:val="20"/>
        </w:rPr>
        <w:t xml:space="preserve">, </w:t>
      </w:r>
      <w:r>
        <w:rPr>
          <w:rFonts w:eastAsia="Consolas" w:cs="Consolas" w:ascii="Consolas" w:hAnsi="Consolas"/>
          <w:color w:val="101820"/>
          <w:sz w:val="18"/>
        </w:rPr>
        <w:t>accounting</w:t>
      </w:r>
      <w:r>
        <w:rPr>
          <w:rFonts w:eastAsia="Segoe UI" w:cs="Segoe UI" w:ascii="Segoe UI" w:hAnsi="Segoe UI"/>
          <w:color w:val="101820"/>
          <w:sz w:val="20"/>
        </w:rPr>
        <w:t xml:space="preserve"> and </w:t>
      </w:r>
      <w:r>
        <w:rPr>
          <w:rFonts w:eastAsia="Consolas" w:cs="Consolas" w:ascii="Consolas" w:hAnsi="Consolas"/>
          <w:color w:val="101820"/>
          <w:sz w:val="18"/>
        </w:rPr>
        <w:t>accounting-manager</w:t>
      </w:r>
      <w:r>
        <w:rPr>
          <w:rFonts w:eastAsia="Segoe UI" w:cs="Segoe UI" w:ascii="Segoe UI" w:hAnsi="Segoe UI"/>
          <w:color w:val="101820"/>
          <w:sz w:val="20"/>
        </w:rPr>
        <w:t>, as the deployment checklist suggests.</w:t>
      </w:r>
    </w:p>
    <w:p>
      <w:pPr>
        <w:pStyle w:val="Normal"/>
        <w:shd w:val="clear" w:color="auto" w:fill="EAF2FB"/>
        <w:spacing w:before="0" w:after="160"/>
        <w:ind w:left="170"/>
        <w:rPr/>
      </w:pPr>
      <w:r>
        <w:rPr>
          <w:rFonts w:eastAsia="Segoe UI" w:cs="Segoe UI" w:ascii="Segoe UI" w:hAnsi="Segoe UI"/>
          <w:b/>
          <w:color w:val="101820"/>
          <w:sz w:val="20"/>
        </w:rPr>
        <w:t>Known limitation:</w:t>
      </w:r>
      <w:r>
        <w:rPr>
          <w:rFonts w:eastAsia="Segoe UI" w:cs="Segoe UI" w:ascii="Segoe UI" w:hAnsi="Segoe UI"/>
          <w:color w:val="101820"/>
          <w:sz w:val="20"/>
        </w:rPr>
        <w:t xml:space="preserve"> Tokens are kept in the browser's local storage (accepted for go-live in </w:t>
      </w:r>
      <w:r>
        <w:rPr>
          <w:rFonts w:eastAsia="Consolas" w:cs="Consolas" w:ascii="Consolas" w:hAnsi="Consolas"/>
          <w:color w:val="101820"/>
          <w:sz w:val="18"/>
        </w:rPr>
        <w:t>deploy/README.md</w:t>
      </w:r>
      <w:r>
        <w:rPr>
          <w:rFonts w:eastAsia="Segoe UI" w:cs="Segoe UI" w:ascii="Segoe UI" w:hAnsi="Segoe UI"/>
          <w:color w:val="101820"/>
          <w:sz w:val="20"/>
        </w:rPr>
        <w:t xml:space="preserve"> section 9). A change to an httpOnly refresh cookie is planned. Two-factor enrolment shows the key and a link, not a QR code.</w:t>
      </w:r>
    </w:p>
    <w:p>
      <w:pPr>
        <w:pStyle w:val="Heading2"/>
        <w:rPr/>
      </w:pPr>
      <w:bookmarkStart w:id="42" w:name="__RefHeading___Toc15431_1606252305"/>
      <w:bookmarkEnd w:id="42"/>
      <w:r>
        <w:rPr>
          <w:rFonts w:eastAsia="Segoe UI" w:cs="Segoe UI"/>
          <w:b/>
          <w:color w:val="0F4761"/>
          <w:sz w:val="26"/>
        </w:rPr>
        <w:t>9.2  Authorisation, maker-checker and segregation of duties</w:t>
      </w:r>
    </w:p>
    <w:p>
      <w:pPr>
        <w:pStyle w:val="Normal"/>
        <w:spacing w:lineRule="auto" w:line="276" w:before="0" w:after="120"/>
        <w:rPr/>
      </w:pPr>
      <w:r>
        <w:rPr>
          <w:rFonts w:eastAsia="Segoe UI" w:cs="Segoe UI" w:ascii="Segoe UI" w:hAnsi="Segoe UI"/>
          <w:color w:val="101820"/>
          <w:sz w:val="21"/>
        </w:rPr>
        <w:t xml:space="preserve">Permissions are </w:t>
      </w:r>
      <w:r>
        <w:rPr>
          <w:rFonts w:eastAsia="Consolas" w:cs="Consolas" w:ascii="Consolas" w:hAnsi="Consolas"/>
          <w:color w:val="101820"/>
          <w:sz w:val="19"/>
        </w:rPr>
        <w:t>read:&lt;module&gt;</w:t>
      </w:r>
      <w:r>
        <w:rPr>
          <w:rFonts w:eastAsia="Segoe UI" w:cs="Segoe UI" w:ascii="Segoe UI" w:hAnsi="Segoe UI"/>
          <w:color w:val="101820"/>
          <w:sz w:val="21"/>
        </w:rPr>
        <w:t xml:space="preserve">, </w:t>
      </w:r>
      <w:r>
        <w:rPr>
          <w:rFonts w:eastAsia="Consolas" w:cs="Consolas" w:ascii="Consolas" w:hAnsi="Consolas"/>
          <w:color w:val="101820"/>
          <w:sz w:val="19"/>
        </w:rPr>
        <w:t>write:&lt;module&gt;</w:t>
      </w:r>
      <w:r>
        <w:rPr>
          <w:rFonts w:eastAsia="Segoe UI" w:cs="Segoe UI" w:ascii="Segoe UI" w:hAnsi="Segoe UI"/>
          <w:color w:val="101820"/>
          <w:sz w:val="21"/>
        </w:rPr>
        <w:t xml:space="preserve"> and </w:t>
      </w:r>
      <w:r>
        <w:rPr>
          <w:rFonts w:eastAsia="Consolas" w:cs="Consolas" w:ascii="Consolas" w:hAnsi="Consolas"/>
          <w:color w:val="101820"/>
          <w:sz w:val="19"/>
        </w:rPr>
        <w:t>approve:&lt;area&gt;</w:t>
      </w:r>
      <w:r>
        <w:rPr>
          <w:rFonts w:eastAsia="Segoe UI" w:cs="Segoe UI" w:ascii="Segoe UI" w:hAnsi="Segoe UI"/>
          <w:color w:val="101820"/>
          <w:sz w:val="21"/>
        </w:rPr>
        <w:t xml:space="preserve"> codes, checked by the server on every route (</w:t>
      </w:r>
      <w:r>
        <w:rPr>
          <w:rFonts w:eastAsia="Consolas" w:cs="Consolas" w:ascii="Consolas" w:hAnsi="Consolas"/>
          <w:color w:val="101820"/>
          <w:sz w:val="19"/>
        </w:rPr>
        <w:t>requirePermission</w:t>
      </w:r>
      <w:r>
        <w:rPr>
          <w:rFonts w:eastAsia="Segoe UI" w:cs="Segoe UI" w:ascii="Segoe UI" w:hAnsi="Segoe UI"/>
          <w:color w:val="101820"/>
          <w:sz w:val="21"/>
        </w:rPr>
        <w:t xml:space="preserve">, </w:t>
      </w:r>
      <w:r>
        <w:rPr>
          <w:rFonts w:eastAsia="Consolas" w:cs="Consolas" w:ascii="Consolas" w:hAnsi="Consolas"/>
          <w:color w:val="101820"/>
          <w:sz w:val="19"/>
        </w:rPr>
        <w:t>requireRole</w:t>
      </w:r>
      <w:r>
        <w:rPr>
          <w:rFonts w:eastAsia="Segoe UI" w:cs="Segoe UI" w:ascii="Segoe UI" w:hAnsi="Segoe UI"/>
          <w:color w:val="101820"/>
          <w:sz w:val="21"/>
        </w:rPr>
        <w:t>); the route registry adds the sign-in check to every route that is not explicitly public. The front end also hides menus by role (deny by default).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(seeded)</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access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w:t>
            </w:r>
            <w:r>
              <w:rPr>
                <w:rFonts w:eastAsia="Consolas" w:cs="Consolas" w:ascii="Consolas" w:hAnsi="Consolas"/>
                <w:color w:val="101820"/>
                <w:kern w:val="0"/>
                <w:sz w:val="16"/>
                <w:szCs w:val="24"/>
                <w:lang w:val="en-US" w:eastAsia="ja-JP" w:bidi="ar-SA"/>
              </w:rPr>
              <w:t>system-admin</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permission; configuration, users and roles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w:t>
            </w:r>
            <w:r>
              <w:rPr>
                <w:rFonts w:eastAsia="Consolas" w:cs="Consolas" w:ascii="Consolas" w:hAnsi="Consolas"/>
                <w:color w:val="101820"/>
                <w:kern w:val="0"/>
                <w:sz w:val="16"/>
                <w:szCs w:val="24"/>
                <w:lang w:val="en-US" w:eastAsia="ja-JP" w:bidi="ar-SA"/>
              </w:rPr>
              <w:t>sales</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quotations, policies, endorsements, renewals, reports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w:t>
            </w:r>
            <w:r>
              <w:rPr>
                <w:rFonts w:eastAsia="Consolas" w:cs="Consolas" w:ascii="Consolas" w:hAnsi="Consolas"/>
                <w:color w:val="101820"/>
                <w:kern w:val="0"/>
                <w:sz w:val="16"/>
                <w:szCs w:val="24"/>
                <w:lang w:val="en-US" w:eastAsia="ja-JP" w:bidi="ar-SA"/>
              </w:rPr>
              <w:t>processing</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and placement, policies, endorsements, renewals, reinsurance, products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w:t>
            </w:r>
            <w:r>
              <w:rPr>
                <w:rFonts w:eastAsia="Consolas" w:cs="Consolas" w:ascii="Consolas" w:hAnsi="Consolas"/>
                <w:color w:val="101820"/>
                <w:kern w:val="0"/>
                <w:sz w:val="16"/>
                <w:szCs w:val="24"/>
                <w:lang w:val="en-US" w:eastAsia="ja-JP" w:bidi="ar-SA"/>
              </w:rPr>
              <w:t>operations</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quotations, policies, endorsements, renewals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w:t>
            </w: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read clients and policies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w:t>
            </w:r>
            <w:r>
              <w:rPr>
                <w:rFonts w:eastAsia="Consolas" w:cs="Consolas" w:ascii="Consolas" w:hAnsi="Consolas"/>
                <w:color w:val="101820"/>
                <w:kern w:val="0"/>
                <w:sz w:val="16"/>
                <w:szCs w:val="24"/>
                <w:lang w:val="en-US" w:eastAsia="ja-JP" w:bidi="ar-SA"/>
              </w:rPr>
              <w:t>accounting</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disbursements, commission, remittance, incentive, journals, period end, bank reconciliation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t>
            </w:r>
            <w:r>
              <w:rPr>
                <w:rFonts w:eastAsia="Consolas" w:cs="Consolas" w:ascii="Consolas" w:hAnsi="Consolas"/>
                <w:color w:val="101820"/>
                <w:kern w:val="0"/>
                <w:sz w:val="16"/>
                <w:szCs w:val="24"/>
                <w:lang w:val="en-US" w:eastAsia="ja-JP" w:bidi="ar-SA"/>
              </w:rPr>
              <w:t>accounting-manager</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Inherits Accounting; approves period close, bank and insurer reconciliations, credit control, posting rule changes</w:t>
            </w:r>
          </w:p>
        </w:tc>
      </w:tr>
    </w:tbl>
    <w:p>
      <w:pPr>
        <w:pStyle w:val="Normal"/>
        <w:spacing w:before="0" w:after="80"/>
        <w:rPr/>
      </w:pPr>
      <w:r>
        <w:rPr/>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Administrator protection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 System Administrator can grant that role or change an administrator; nobody can change their own roles or status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scope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Roles listed in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 xml:space="preserve"> see only their own records and clients (empty by default)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different user approves journal vouchers, payment vouchers and cheques, commission payouts, remittances and settlements, debit notes, claim settlements, incentive calculations, treaties, petty cash, period closes, reconciliations, quotation and renewal approvals, authority limits and posting rule changes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limits per transaction type and role or user (Master &gt; User Management &gt; Authority Matrix); a new limit applies only after another administrator approves it; default limits in PHP are seeded and replaced by the board-approved signing authority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Delegation of authority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Time-bound delegation of approval authority (leave, travel), revocable (Master &gt; User Management &gt; Delegations)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 of duties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 on pairs of roles, checked when roles are assigned (</w:t>
            </w:r>
            <w:r>
              <w:rPr>
                <w:rFonts w:eastAsia="Consolas" w:cs="Consolas" w:ascii="Consolas" w:hAnsi="Consolas"/>
                <w:color w:val="101820"/>
                <w:kern w:val="0"/>
                <w:sz w:val="16"/>
                <w:szCs w:val="24"/>
                <w:lang w:val="en-US" w:eastAsia="ja-JP" w:bidi="ar-SA"/>
              </w:rPr>
              <w:t>access.sod_enforced</w:t>
            </w:r>
            <w:r>
              <w:rPr>
                <w:rFonts w:eastAsia="Segoe UI" w:cs="Segoe UI" w:ascii="Segoe UI" w:hAnsi="Segoe UI"/>
                <w:color w:val="101820"/>
                <w:kern w:val="0"/>
                <w:sz w:val="18"/>
                <w:szCs w:val="24"/>
                <w:lang w:val="en-US" w:eastAsia="ja-JP" w:bidi="ar-SA"/>
              </w:rPr>
              <w:t>). Seeded: placement and payment, placement and payment approval, claims and payment (block); sales and collection, sales and claims (warn)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Recertification campaigns over every active user; "revoke" deactivates the account and signs it out (Master &gt; User Management &gt; Access Reviews)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reports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Access Matrix and Role Permissions, downloadable as XLSX or CSV</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Postings refused in closed or locked periods; soft-closed periods only with </w:t>
            </w:r>
            <w:r>
              <w:rPr>
                <w:rFonts w:eastAsia="Consolas" w:cs="Consolas" w:ascii="Consolas" w:hAnsi="Consolas"/>
                <w:color w:val="101820"/>
                <w:kern w:val="0"/>
                <w:sz w:val="16"/>
                <w:szCs w:val="24"/>
                <w:lang w:val="en-US" w:eastAsia="ja-JP" w:bidi="ar-SA"/>
              </w:rPr>
              <w:t>approve:period-end</w:t>
            </w:r>
          </w:p>
        </w:tc>
      </w:tr>
    </w:tbl>
    <w:p>
      <w:pPr>
        <w:pStyle w:val="Normal"/>
        <w:spacing w:before="0" w:after="80"/>
        <w:rPr/>
      </w:pPr>
      <w:r>
        <w:rPr/>
      </w:r>
    </w:p>
    <w:p>
      <w:pPr>
        <w:pStyle w:val="Heading2"/>
        <w:rPr/>
      </w:pPr>
      <w:bookmarkStart w:id="43" w:name="__RefHeading___Toc15433_1606252305"/>
      <w:bookmarkEnd w:id="43"/>
      <w:r>
        <w:rPr>
          <w:rFonts w:eastAsia="Segoe UI" w:cs="Segoe UI"/>
          <w:b/>
          <w:color w:val="0F4761"/>
          <w:sz w:val="26"/>
        </w:rPr>
        <w:t>9.3  Application security controls (OWASP Top 10, 2021)</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OWASP risk</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Controls in BrokerVerse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A01 Broken access control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by default on every route; permission check per route; record scope; maker-checker; signed, expiring file links (30 minutes)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A02 Cryptographic failures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in transit; bcrypt passwords; AES-256-GCM for TOTP secrets; HMAC-SHA256 for links, reset codes and webhooks; JWT limited to HS256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A03 Injection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only, dynamic identifiers from white lists; zod validation; CSV formula-injection guarding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A04 Insecure design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limits, SoD, one transaction per operation, idempotent payment webhooks with amount check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A05 Security misconfiguration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start refuses unsafe secrets,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and localhost URLs; helmet headers; </w:t>
            </w:r>
            <w:r>
              <w:rPr>
                <w:rFonts w:eastAsia="Consolas" w:cs="Consolas" w:ascii="Consolas" w:hAnsi="Consolas"/>
                <w:color w:val="101820"/>
                <w:kern w:val="0"/>
                <w:sz w:val="16"/>
                <w:szCs w:val="24"/>
                <w:lang w:val="en-US" w:eastAsia="ja-JP" w:bidi="ar-SA"/>
              </w:rPr>
              <w:t>x-powered-by</w:t>
            </w:r>
            <w:r>
              <w:rPr>
                <w:rFonts w:eastAsia="Segoe UI" w:cs="Segoe UI" w:ascii="Segoe UI" w:hAnsi="Segoe UI"/>
                <w:color w:val="101820"/>
                <w:kern w:val="0"/>
                <w:sz w:val="18"/>
                <w:szCs w:val="24"/>
                <w:lang w:val="en-US" w:eastAsia="ja-JP" w:bidi="ar-SA"/>
              </w:rPr>
              <w:t xml:space="preserve"> off; sample data off in production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A06 Vulnerable components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Lock files with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at review (see vulnerability management)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A07 Identification and authentication failures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 lockout, rate limits, TOTP, refresh-token rotation with reuse detection, idle sign-out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A08 Software and data integrity failures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Webhook signatures verified on the raw body; uploads checked by file signature; lock files; reviewed pull requests (recommended)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A09 Security logging and monitoring failures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log, sign-in history, request ids, redacted JSON logs; alarms recommended in the monitoring chapter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A10 Server-side request forgery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API calls only fixed provider addresses (SMTP, PayMongo, Dragonpay); no user-supplied URL is fetched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Further controls: uploads limited by type (</w:t>
      </w:r>
      <w:r>
        <w:rPr>
          <w:rFonts w:eastAsia="Consolas" w:cs="Consolas" w:ascii="Consolas" w:hAnsi="Consolas"/>
          <w:color w:val="101820"/>
          <w:sz w:val="19"/>
        </w:rPr>
        <w:t>uploads.allowed_types</w:t>
      </w:r>
      <w:r>
        <w:rPr>
          <w:rFonts w:eastAsia="Segoe UI" w:cs="Segoe UI" w:ascii="Segoe UI" w:hAnsi="Segoe UI"/>
          <w:color w:val="101820"/>
          <w:sz w:val="21"/>
        </w:rPr>
        <w:t xml:space="preserve">, checked by file signature), size (10 MB, 10 files) and decompressed size (50 MB); stored files served with </w:t>
      </w:r>
      <w:r>
        <w:rPr>
          <w:rFonts w:eastAsia="Consolas" w:cs="Consolas" w:ascii="Consolas" w:hAnsi="Consolas"/>
          <w:color w:val="101820"/>
          <w:sz w:val="19"/>
        </w:rPr>
        <w:t>nosniff</w:t>
      </w:r>
      <w:r>
        <w:rPr>
          <w:rFonts w:eastAsia="Segoe UI" w:cs="Segoe UI" w:ascii="Segoe UI" w:hAnsi="Segoe UI"/>
          <w:color w:val="101820"/>
          <w:sz w:val="21"/>
        </w:rPr>
        <w:t xml:space="preserve"> and a sandbox content security policy, and anything other than images and PDF as a download; 5xx responses return a generic message with the request id.</w:t>
      </w:r>
    </w:p>
    <w:p>
      <w:pPr>
        <w:pStyle w:val="Heading2"/>
        <w:rPr/>
      </w:pPr>
      <w:bookmarkStart w:id="44" w:name="__RefHeading___Toc15435_1606252305"/>
      <w:bookmarkEnd w:id="44"/>
      <w:r>
        <w:rPr>
          <w:rFonts w:eastAsia="Segoe UI" w:cs="Segoe UI"/>
          <w:b/>
          <w:color w:val="0F4761"/>
          <w:sz w:val="26"/>
        </w:rPr>
        <w:t>9.4  Encryption</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 transit</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rest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Browser to edge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(CDN, load balancer or reverse proxy)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Edge to API</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or private network</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to database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w:t>
            </w:r>
            <w:r>
              <w:rPr>
                <w:rFonts w:eastAsia="Consolas" w:cs="Consolas" w:ascii="Consolas" w:hAnsi="Consolas"/>
                <w:color w:val="101820"/>
                <w:kern w:val="0"/>
                <w:sz w:val="16"/>
                <w:szCs w:val="24"/>
                <w:lang w:val="en-US" w:eastAsia="ja-JP" w:bidi="ar-SA"/>
              </w:rPr>
              <w:t>sslmode=require</w:t>
            </w:r>
            <w:r>
              <w:rPr>
                <w:rFonts w:eastAsia="Segoe UI" w:cs="Segoe UI" w:ascii="Segoe UI" w:hAnsi="Segoe UI"/>
                <w:color w:val="101820"/>
                <w:kern w:val="0"/>
                <w:sz w:val="18"/>
                <w:szCs w:val="24"/>
                <w:lang w:val="en-US" w:eastAsia="ja-JP" w:bidi="ar-SA"/>
              </w:rPr>
              <w: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encryption of the managed database (KMS or provider key), recommended on every option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to SMTP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STARTTLS on port 587</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encryption of EFS, Azure Files or the partner's storage (recommended)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Encrypted snapshots and write-once storage (recommended)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secrets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AES-256-GCM, key derived from </w:t>
            </w:r>
            <w:r>
              <w:rPr>
                <w:rFonts w:eastAsia="Consolas" w:cs="Consolas" w:ascii="Consolas" w:hAnsi="Consolas"/>
                <w:color w:val="101820"/>
                <w:kern w:val="0"/>
                <w:sz w:val="16"/>
                <w:szCs w:val="24"/>
                <w:lang w:val="en-US" w:eastAsia="ja-JP" w:bidi="ar-SA"/>
              </w:rPr>
              <w:t>DATA_ENCRYPTION_KEY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HMAC-SHA256 keyed from </w:t>
            </w:r>
            <w:r>
              <w:rPr>
                <w:rFonts w:eastAsia="Consolas" w:cs="Consolas" w:ascii="Consolas" w:hAnsi="Consolas"/>
                <w:color w:val="101820"/>
                <w:kern w:val="0"/>
                <w:sz w:val="16"/>
                <w:szCs w:val="24"/>
                <w:lang w:val="en-US" w:eastAsia="ja-JP" w:bidi="ar-SA"/>
              </w:rPr>
              <w:t>DATA_ENCRYPTION_KEY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Sandbox gateway webhook secret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Derived from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when no secret is set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 hash</w:t>
            </w:r>
          </w:p>
        </w:tc>
      </w:tr>
    </w:tbl>
    <w:p>
      <w:pPr>
        <w:pStyle w:val="Normal"/>
        <w:spacing w:before="0" w:after="80"/>
        <w:rPr/>
      </w:pPr>
      <w:r>
        <w:rPr/>
      </w:r>
    </w:p>
    <w:p>
      <w:pPr>
        <w:pStyle w:val="Normal"/>
        <w:spacing w:lineRule="auto" w:line="276" w:before="0" w:after="120"/>
        <w:rPr/>
      </w:pPr>
      <w:r>
        <w:rPr>
          <w:rFonts w:eastAsia="Consolas" w:cs="Consolas" w:ascii="Consolas" w:hAnsi="Consolas"/>
          <w:color w:val="101820"/>
          <w:sz w:val="19"/>
        </w:rPr>
        <w:t>DATA_ENCRYPTION_KEY</w:t>
      </w:r>
      <w:r>
        <w:rPr>
          <w:rFonts w:eastAsia="Segoe UI" w:cs="Segoe UI" w:ascii="Segoe UI" w:hAnsi="Segoe UI"/>
          <w:color w:val="101820"/>
          <w:sz w:val="21"/>
        </w:rPr>
        <w:t xml:space="preserve"> is not used to encrypt client records, ID numbers or uploaded documents; these rely on storage encryption of the database, file store and backups. Losing the key makes two-factor secrets unreadable (administrators reset two-factor and users enrol again); no business data is lost.</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Keep </w:t>
      </w:r>
      <w:r>
        <w:rPr>
          <w:rFonts w:eastAsia="Consolas" w:cs="Consolas" w:ascii="Consolas" w:hAnsi="Consolas"/>
          <w:color w:val="101820"/>
          <w:sz w:val="18"/>
        </w:rPr>
        <w:t>DATA_ENCRYPTION_KEY</w:t>
      </w:r>
      <w:r>
        <w:rPr>
          <w:rFonts w:eastAsia="Segoe UI" w:cs="Segoe UI" w:ascii="Segoe UI" w:hAnsi="Segoe UI"/>
          <w:color w:val="101820"/>
          <w:sz w:val="20"/>
        </w:rPr>
        <w:t xml:space="preserve"> and </w:t>
      </w:r>
      <w:r>
        <w:rPr>
          <w:rFonts w:eastAsia="Consolas" w:cs="Consolas" w:ascii="Consolas" w:hAnsi="Consolas"/>
          <w:color w:val="101820"/>
          <w:sz w:val="18"/>
        </w:rPr>
        <w:t>JWT_SECRET</w:t>
      </w:r>
      <w:r>
        <w:rPr>
          <w:rFonts w:eastAsia="Segoe UI" w:cs="Segoe UI" w:ascii="Segoe UI" w:hAnsi="Segoe UI"/>
          <w:color w:val="101820"/>
          <w:sz w:val="20"/>
        </w:rPr>
        <w:t xml:space="preserve"> in the secret store with versioning and an escrow copy under dual control. Turn on storage encryption for the database, file store and backups in every option; on premises use encrypted volumes (LUKS or the storage array's encryption).</w:t>
      </w:r>
    </w:p>
    <w:p>
      <w:pPr>
        <w:pStyle w:val="Heading2"/>
        <w:rPr/>
      </w:pPr>
      <w:bookmarkStart w:id="45" w:name="__RefHeading___Toc15437_1606252305"/>
      <w:bookmarkEnd w:id="45"/>
      <w:r>
        <w:rPr>
          <w:rFonts w:eastAsia="Segoe UI" w:cs="Segoe UI"/>
          <w:b/>
          <w:color w:val="0F4761"/>
          <w:sz w:val="26"/>
        </w:rPr>
        <w:t>9.5  Audit trail and logging</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entity, record id, action, before and after JSON, IP and time, written by every mutating handler; kept by default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and status history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period status, bank reconciliation history, remittance approvals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attempts, two-factor results, token reuse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gateway notification with signature result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log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 on standard output with request id; secrets redacted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Master &gt; Audit Trail filters by entity, record, user and date. </w:t>
      </w:r>
      <w:r>
        <w:rPr>
          <w:rFonts w:eastAsia="Segoe UI" w:cs="Segoe UI" w:ascii="Segoe UI" w:hAnsi="Segoe UI"/>
          <w:b/>
          <w:color w:val="101820"/>
          <w:sz w:val="21"/>
        </w:rPr>
        <w:t>Recommended</w:t>
      </w:r>
      <w:r>
        <w:rPr>
          <w:rFonts w:eastAsia="Segoe UI" w:cs="Segoe UI" w:ascii="Segoe UI" w:hAnsi="Segoe UI"/>
          <w:color w:val="101820"/>
          <w:sz w:val="21"/>
        </w:rPr>
        <w:t xml:space="preserve"> reviews (document 11): monthly access reviews of administrators and new or dormant users; weekly review of changes to settings, posting rules, number series, tax codes and the Company master; monthly review of maker-checker exceptions; weekly review of security events. Ship application logs to central storage kept at least one year.</w:t>
      </w:r>
    </w:p>
    <w:p>
      <w:pPr>
        <w:pStyle w:val="Heading2"/>
        <w:rPr/>
      </w:pPr>
      <w:bookmarkStart w:id="46" w:name="__RefHeading___Toc15439_1606252305"/>
      <w:bookmarkEnd w:id="46"/>
      <w:r>
        <w:rPr>
          <w:rFonts w:eastAsia="Segoe UI" w:cs="Segoe UI"/>
          <w:b/>
          <w:color w:val="0F4761"/>
          <w:sz w:val="26"/>
        </w:rPr>
        <w:t>9.6  Vulnerability management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dependencies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reported no advisories on 29 September 2026 (document 04)</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dependencies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71 advisories at the review, almost all build-time dependencies of react-scripts 5.0.1; Create React App is no longer maintained. Move to Vite is the planned remedy.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Unused packages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js-cookie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react-pro-sidebar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web-vitals</w:t>
            </w:r>
            <w:r>
              <w:rPr>
                <w:rFonts w:eastAsia="Segoe UI" w:cs="Segoe UI" w:ascii="Segoe UI" w:hAnsi="Segoe UI"/>
                <w:color w:val="101820"/>
                <w:kern w:val="0"/>
                <w:sz w:val="18"/>
                <w:szCs w:val="24"/>
                <w:lang w:val="en-US" w:eastAsia="ja-JP" w:bidi="ar-SA"/>
              </w:rPr>
              <w:t xml:space="preserve"> to be removed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Base images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node:22-alpine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nginx:1.27-alpine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postgres:16-alpine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Run </w:t>
      </w:r>
      <w:r>
        <w:rPr>
          <w:rFonts w:eastAsia="Consolas" w:cs="Consolas" w:ascii="Consolas" w:hAnsi="Consolas"/>
          <w:color w:val="101820"/>
          <w:sz w:val="18"/>
        </w:rPr>
        <w:t>npm audit</w:t>
      </w:r>
      <w:r>
        <w:rPr>
          <w:rFonts w:eastAsia="Segoe UI" w:cs="Segoe UI" w:ascii="Segoe UI" w:hAnsi="Segoe UI"/>
          <w:color w:val="101820"/>
          <w:sz w:val="20"/>
        </w:rPr>
        <w:t xml:space="preserve"> and an image scan (for example Trivy or the registry's scanner) in CI on every pull request; enable GitHub Dependabot alerts and secret scanning; patch critical findings within 14 days and high within 30 days; patch the operating system, PostgreSQL and nginx monthly.</w:t>
      </w:r>
    </w:p>
    <w:p>
      <w:pPr>
        <w:pStyle w:val="Heading2"/>
        <w:rPr/>
      </w:pPr>
      <w:bookmarkStart w:id="47" w:name="__RefHeading___Toc15441_1606252305"/>
      <w:bookmarkEnd w:id="47"/>
      <w:r>
        <w:rPr>
          <w:rFonts w:eastAsia="Segoe UI" w:cs="Segoe UI"/>
          <w:b/>
          <w:color w:val="0F4761"/>
          <w:sz w:val="26"/>
        </w:rPr>
        <w:t>9.7  Penetration testing approach</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No penetration test report is part of the repository. Commission an independent test before go-live and yearly, and after major changes.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and API on UAT with production configuration, public paths (approval, payment checkout, webhooks), the hosting perimeter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OWASP Web Security Testing Guide and OWASP API Security Top 10; authenticated tests with one user per role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Focus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control between roles and scoped users, maker-checker bypass, file link signatures, upload handling, token handling, rate limits, webhook forgery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authorisation by the broker and the hosting provider; test data only; no production personal data</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Findings rated, fixed and retested; summary kept as evidence for the NPC and auditors</w:t>
            </w:r>
          </w:p>
        </w:tc>
      </w:tr>
    </w:tbl>
    <w:p>
      <w:pPr>
        <w:pStyle w:val="Normal"/>
        <w:spacing w:before="0" w:after="80"/>
        <w:rPr/>
      </w:pPr>
      <w:r>
        <w:rPr/>
      </w:r>
    </w:p>
    <w:p>
      <w:pPr>
        <w:pStyle w:val="Heading2"/>
        <w:rPr/>
      </w:pPr>
      <w:bookmarkStart w:id="48" w:name="__RefHeading___Toc15443_1606252305"/>
      <w:bookmarkEnd w:id="48"/>
      <w:r>
        <w:rPr>
          <w:rFonts w:eastAsia="Segoe UI" w:cs="Segoe UI"/>
          <w:b/>
          <w:color w:val="0F4761"/>
          <w:sz w:val="26"/>
        </w:rPr>
        <w:t>9.8  Secure development lifecycle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Practice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Current state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review</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Pull requests run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xml:space="preserve"> (lint and 65 backend test files against PostgreSQL 16; front-end tests)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integration tests with vitest and supertest on a real database; front-end tests with Jest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 rules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no-console</w:t>
            </w:r>
            <w:r>
              <w:rPr>
                <w:rFonts w:eastAsia="Segoe UI" w:cs="Segoe UI" w:ascii="Segoe UI" w:hAnsi="Segoe UI"/>
                <w:color w:val="101820"/>
                <w:kern w:val="0"/>
                <w:sz w:val="18"/>
                <w:szCs w:val="24"/>
                <w:lang w:val="en-US" w:eastAsia="ja-JP" w:bidi="ar-SA"/>
              </w:rPr>
              <w:t xml:space="preserve"> outside scripts, </w:t>
            </w:r>
            <w:r>
              <w:rPr>
                <w:rFonts w:eastAsia="Consolas" w:cs="Consolas" w:ascii="Consolas" w:hAnsi="Consolas"/>
                <w:color w:val="101820"/>
                <w:kern w:val="0"/>
                <w:sz w:val="16"/>
                <w:szCs w:val="24"/>
                <w:lang w:val="en-US" w:eastAsia="ja-JP" w:bidi="ar-SA"/>
              </w:rPr>
              <w:t>no-unused-vars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eqeqeq</w:t>
            </w:r>
            <w:r>
              <w:rPr>
                <w:rFonts w:eastAsia="Segoe UI" w:cs="Segoe UI" w:ascii="Segoe UI" w:hAnsi="Segoe UI"/>
                <w:color w:val="101820"/>
                <w:kern w:val="0"/>
                <w:sz w:val="18"/>
                <w:szCs w:val="24"/>
                <w:lang w:val="en-US" w:eastAsia="ja-JP" w:bidi="ar-SA"/>
              </w:rPr>
              <w:t xml:space="preserve"> as errors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Secure defaults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checks; sample data off in production; routes authenticated unless declared public</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inventory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export:api</w:t>
            </w:r>
            <w:r>
              <w:rPr>
                <w:rFonts w:eastAsia="Segoe UI" w:cs="Segoe UI" w:ascii="Segoe UI" w:hAnsi="Segoe UI"/>
                <w:color w:val="101820"/>
                <w:kern w:val="0"/>
                <w:sz w:val="18"/>
                <w:szCs w:val="24"/>
                <w:lang w:val="en-US" w:eastAsia="ja-JP" w:bidi="ar-SA"/>
              </w:rPr>
              <w:t xml:space="preserve"> writes OpenAPI, Postman and Excel lists of every route and its permission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Never in the repository; placeholders in </w:t>
            </w:r>
            <w:r>
              <w:rPr>
                <w:rFonts w:eastAsia="Consolas" w:cs="Consolas" w:ascii="Consolas" w:hAnsi="Consolas"/>
                <w:color w:val="101820"/>
                <w:kern w:val="0"/>
                <w:sz w:val="16"/>
                <w:szCs w:val="24"/>
                <w:lang w:val="en-US" w:eastAsia="ja-JP" w:bidi="ar-SA"/>
              </w:rPr>
              <w:t>deploy/*.env.example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Branch protection with required reviews and CI; tests restored in the deployment pipeline; dependency and image scanning; a short threat review for changes to authentication, payments and personal data.</w:t>
      </w:r>
      <w:r>
        <w:br w:type="page"/>
      </w:r>
    </w:p>
    <w:p>
      <w:pPr>
        <w:pStyle w:val="Heading1"/>
        <w:rPr/>
      </w:pPr>
      <w:bookmarkStart w:id="49" w:name="__RefHeading___Toc15445_1606252305"/>
      <w:bookmarkEnd w:id="49"/>
      <w:r>
        <w:rPr>
          <w:rFonts w:eastAsia="Segoe UI" w:cs="Segoe UI" w:ascii="Segoe UI" w:hAnsi="Segoe UI"/>
          <w:b/>
          <w:color w:val="0F4761"/>
          <w:sz w:val="32"/>
        </w:rPr>
        <w:t>10.  Data privacy</w:t>
      </w:r>
    </w:p>
    <w:p>
      <w:pPr>
        <w:pStyle w:val="Heading2"/>
        <w:rPr/>
      </w:pPr>
      <w:bookmarkStart w:id="50" w:name="__RefHeading___Toc15447_1606252305"/>
      <w:bookmarkEnd w:id="50"/>
      <w:r>
        <w:rPr>
          <w:rFonts w:eastAsia="Segoe UI" w:cs="Segoe UI"/>
          <w:b/>
          <w:color w:val="0F4761"/>
          <w:sz w:val="26"/>
        </w:rPr>
        <w:t>10.1  Legal framework</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Instrument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Relevance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of 2012 (Republic Act 10173)</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Principles of transparency, legitimate purpose and proportionality; lawful criteria for processing; rights of data subjects; security of personal data; accountability for transfers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Implementing Rules and Regulations of the DPA (2016)</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duties of controllers and processors, organisational, physical and technical security measures, outsourcing and subcontracting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Circular 16-03, Personal Data Breach Management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response team, notification to the NPC and to affected data subjects within 72 hours of knowledge, breach records and annual report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Circular 2022-04</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of personal data processing systems and of the DPO with the NPC</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NPC circulars and advisories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of personal data, consent, privacy impact assessment and administrative fines; the DPO confirms the current issuances</w:t>
            </w:r>
          </w:p>
        </w:tc>
      </w:tr>
    </w:tbl>
    <w:p>
      <w:pPr>
        <w:pStyle w:val="Normal"/>
        <w:spacing w:before="0" w:after="80"/>
        <w:rPr/>
      </w:pPr>
      <w:r>
        <w:rPr/>
      </w:r>
    </w:p>
    <w:p>
      <w:pPr>
        <w:pStyle w:val="Heading2"/>
        <w:rPr/>
      </w:pPr>
      <w:bookmarkStart w:id="51" w:name="__RefHeading___Toc15449_1606252305"/>
      <w:bookmarkEnd w:id="51"/>
      <w:r>
        <w:rPr>
          <w:rFonts w:eastAsia="Segoe UI" w:cs="Segoe UI"/>
          <w:b/>
          <w:color w:val="0F4761"/>
          <w:sz w:val="26"/>
        </w:rPr>
        <w:t>10.2  Roles under the DPA</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duties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controller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the purposes and means; appoints the DPO; registers with the NPC where required; answers data subjects; notifies breaches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processor (when it hosts, supports or accesses production data)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Processes only on the broker's documented instructions; confidentiality; security; assists with rights requests and breaches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 or hosting partner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Sub-processor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Infrastructure security under its contract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reinsurers, payment gateways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Separate controllers or processors for their own processing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by the broker's agreements with them</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Sign a Data Processing Agreement between the broker and iorta TechNXT covering the subject matter and duration, the instructions, confidentiality, security measures (this document), sub-processors (the hosting provider), assistance with rights requests and breaches (notice to the broker without undue delay so the 72-hour deadline can be met), return or deletion of data at the end of the contract, and audit rights.</w:t>
      </w:r>
    </w:p>
    <w:p>
      <w:pPr>
        <w:pStyle w:val="Heading2"/>
        <w:rPr/>
      </w:pPr>
      <w:bookmarkStart w:id="52" w:name="__RefHeading___Toc15451_1606252305"/>
      <w:bookmarkEnd w:id="52"/>
      <w:r>
        <w:rPr>
          <w:rFonts w:eastAsia="Segoe UI" w:cs="Segoe UI"/>
          <w:b/>
          <w:color w:val="0F4761"/>
          <w:sz w:val="26"/>
        </w:rPr>
        <w:t>10.3  Personal data held in BrokerVerse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subject</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prospects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company, e-mail, phone, birth date, gender, address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persons and companies)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e-mail, phone, TIN, birth date, gender, address, credit limit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risks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plate, chassis and engine numbers; property locations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policies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Government ID type and number (PhilSys ID, UMID, passport, driver's licence and others in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ID image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uploaded documents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Claimants and payees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details, description, settlement amounts, payee and bank details, claim documents and photos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claim cash, documents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references, amounts, gateway notifications (no card numbers: card entry happens on the gateway's page)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payment_events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bank account, withholding tax data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master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users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username, e-mail, roles, sign-in history with IP and browser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Government-issued identifiers and some claim information (for example injury details in a personal accident claim) are sensitive personal information under the DPA and need the stricter protection the DPA requires. The system holds no structured beneficiary register for policies; named beneficiaries, where captured, sit in policy details or documents.</w:t>
      </w:r>
    </w:p>
    <w:p>
      <w:pPr>
        <w:pStyle w:val="Heading2"/>
        <w:rPr/>
      </w:pPr>
      <w:bookmarkStart w:id="53" w:name="__RefHeading___Toc15453_1606252305"/>
      <w:bookmarkEnd w:id="53"/>
      <w:r>
        <w:rPr>
          <w:rFonts w:eastAsia="Segoe UI" w:cs="Segoe UI"/>
          <w:b/>
          <w:color w:val="0F4761"/>
          <w:sz w:val="26"/>
        </w:rPr>
        <w:t>10.4  Lawful basis and consent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Usual basis under the DPA (to be confirmed by the DPO)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placement, policy issue, endorsements, claims, renewals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Necessary for a contract with the data subject or steps at their request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tax records, BIR forms, IC examination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with a legal obligation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identification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obligation and the insurers' underwriting requirements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 to leads, win-back campaigns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or legitimate interest where the DPO concludes it applies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BrokerVerse has no consent capture, privacy notice acknowledgement or marketing opt-out field. </w:t>
      </w:r>
      <w:r>
        <w:rPr>
          <w:rFonts w:eastAsia="Segoe UI" w:cs="Segoe UI" w:ascii="Segoe UI" w:hAnsi="Segoe UI"/>
          <w:b/>
          <w:color w:val="101820"/>
          <w:sz w:val="20"/>
        </w:rPr>
        <w:t>Recommended:</w:t>
      </w:r>
      <w:r>
        <w:rPr>
          <w:rFonts w:eastAsia="Segoe UI" w:cs="Segoe UI" w:ascii="Segoe UI" w:hAnsi="Segoe UI"/>
          <w:color w:val="101820"/>
          <w:sz w:val="20"/>
        </w:rPr>
        <w:t xml:space="preserve"> the broker gives its privacy notice in its own forms and proposal documents, records consent outside the system or in a document attached to the client, and excludes opted-out clients from campaigns by a master or remark until a consent field is added.</w:t>
      </w:r>
    </w:p>
    <w:p>
      <w:pPr>
        <w:pStyle w:val="Heading2"/>
        <w:rPr/>
      </w:pPr>
      <w:bookmarkStart w:id="54" w:name="__RefHeading___Toc15455_1606252305"/>
      <w:bookmarkEnd w:id="54"/>
      <w:r>
        <w:rPr>
          <w:rFonts w:eastAsia="Segoe UI" w:cs="Segoe UI"/>
          <w:b/>
          <w:color w:val="0F4761"/>
          <w:sz w:val="26"/>
        </w:rPr>
        <w:t>10.5  Data subject rights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Right (DPA section 16 and following)</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handled with BrokerVerse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be informed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privacy notice (outside the system)</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with its policies; reports and exports in XLSX, CSV or PDF; documents in the document viewers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Rectification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Edit the client or lead (Operations screens); every change is in the audit log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Object and withdraw consent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person from marketing lists and campaigns; record the decision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Erasure or blocking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can be deleted (soft delete, blocked once a policy exists); stored files can be deleted by the uploader, module writer or administrator. Records that support policies, claims and accounting are kept for the legal retention period.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portability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Exports in XLSX and CSV</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Damages and complaints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 and complaints procedure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There is no dedicated data subject request register, client anonymisation function or client data export screen. </w:t>
      </w:r>
      <w:r>
        <w:rPr>
          <w:rFonts w:eastAsia="Segoe UI" w:cs="Segoe UI" w:ascii="Segoe UI" w:hAnsi="Segoe UI"/>
          <w:b/>
          <w:color w:val="101820"/>
          <w:sz w:val="20"/>
        </w:rPr>
        <w:t>Recommended:</w:t>
      </w:r>
      <w:r>
        <w:rPr>
          <w:rFonts w:eastAsia="Segoe UI" w:cs="Segoe UI" w:ascii="Segoe UI" w:hAnsi="Segoe UI"/>
          <w:color w:val="101820"/>
          <w:sz w:val="20"/>
        </w:rPr>
        <w:t xml:space="preserve"> keep a rights request log outside the system (date received, identity check, response within the period the DPO sets) and, after the retention period, anonymise records through a reviewed database procedure.</w:t>
      </w:r>
    </w:p>
    <w:p>
      <w:pPr>
        <w:pStyle w:val="Heading2"/>
        <w:rPr/>
      </w:pPr>
      <w:bookmarkStart w:id="55" w:name="__RefHeading___Toc15457_1606252305"/>
      <w:bookmarkEnd w:id="55"/>
      <w:r>
        <w:rPr>
          <w:rFonts w:eastAsia="Segoe UI" w:cs="Segoe UI"/>
          <w:b/>
          <w:color w:val="0F4761"/>
          <w:sz w:val="26"/>
        </w:rPr>
        <w:t>10.6  Retention and disposal</w:t>
      </w:r>
    </w:p>
    <w:p>
      <w:pPr>
        <w:pStyle w:val="Normal"/>
        <w:spacing w:lineRule="auto" w:line="276" w:before="0" w:after="120"/>
        <w:rPr/>
      </w:pPr>
      <w:r>
        <w:rPr>
          <w:rFonts w:eastAsia="Segoe UI" w:cs="Segoe UI" w:ascii="Segoe UI" w:hAnsi="Segoe UI"/>
          <w:color w:val="101820"/>
          <w:sz w:val="21"/>
        </w:rPr>
        <w:t>Retention follows the recommendation of architecture document 10 until the compliance officer confirms it: financial and policy records 10 years, audit trail 10 years, unconverted leads and quotations 3 years then anonymised or deleted, security logs 2 years. Housekeeping already removes temporary data automatically (see the archival chapter). Disposal of media follows the hosting provider's certified destruction; on premises, use secure wipe or physical destruction with a certificate.</w:t>
      </w:r>
    </w:p>
    <w:p>
      <w:pPr>
        <w:pStyle w:val="Heading2"/>
        <w:rPr/>
      </w:pPr>
      <w:bookmarkStart w:id="56" w:name="__RefHeading___Toc15459_1606252305"/>
      <w:bookmarkEnd w:id="56"/>
      <w:r>
        <w:rPr>
          <w:rFonts w:eastAsia="Segoe UI" w:cs="Segoe UI"/>
          <w:b/>
          <w:color w:val="0F4761"/>
          <w:sz w:val="26"/>
        </w:rPr>
        <w:t>10.7  Security of personal data</w:t>
      </w:r>
    </w:p>
    <w:p>
      <w:pPr>
        <w:pStyle w:val="Normal"/>
        <w:spacing w:lineRule="auto" w:line="276" w:before="0" w:after="120"/>
        <w:rPr/>
      </w:pPr>
      <w:r>
        <w:rPr>
          <w:rFonts w:eastAsia="Segoe UI" w:cs="Segoe UI" w:ascii="Segoe UI" w:hAnsi="Segoe UI"/>
          <w:color w:val="101820"/>
          <w:sz w:val="21"/>
        </w:rPr>
        <w:t>The organisational, physical and technical measures required by the DPA and its IRR map to this document as follows.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Measure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addressed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Organisational: DPO, policies, training, contracts with processors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Processing Agreement (recommended)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Physical: data centre controls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 or partner certifications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access control, encryption, audit, monitoring, backup, vulnerability management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architecture and resilience chapters</w:t>
            </w:r>
          </w:p>
        </w:tc>
      </w:tr>
    </w:tbl>
    <w:p>
      <w:pPr>
        <w:pStyle w:val="Normal"/>
        <w:spacing w:before="0" w:after="80"/>
        <w:rPr/>
      </w:pPr>
      <w:r>
        <w:rPr/>
      </w:r>
    </w:p>
    <w:p>
      <w:pPr>
        <w:pStyle w:val="Heading2"/>
        <w:rPr/>
      </w:pPr>
      <w:bookmarkStart w:id="57" w:name="__RefHeading___Toc15461_1606252305"/>
      <w:bookmarkEnd w:id="57"/>
      <w:r>
        <w:rPr>
          <w:rFonts w:eastAsia="Segoe UI" w:cs="Segoe UI"/>
          <w:b/>
          <w:color w:val="0F4761"/>
          <w:sz w:val="26"/>
        </w:rPr>
        <w:t>10.8  Cross-border transfer</w:t>
      </w:r>
    </w:p>
    <w:p>
      <w:pPr>
        <w:pStyle w:val="Normal"/>
        <w:spacing w:lineRule="auto" w:line="276" w:before="0" w:after="120"/>
        <w:rPr/>
      </w:pPr>
      <w:r>
        <w:rPr>
          <w:rFonts w:eastAsia="Segoe UI" w:cs="Segoe UI" w:ascii="Segoe UI" w:hAnsi="Segoe UI"/>
          <w:color w:val="101820"/>
          <w:sz w:val="21"/>
        </w:rPr>
        <w:t xml:space="preserve">When BrokerVerse is hosted in Singapore (options A and B), personal data is stored and processed outside the Philippines. The DPA allows this; the broker remains responsible and must use contractual or other reasonable means to give comparable protection. </w:t>
      </w:r>
      <w:r>
        <w:rPr>
          <w:rFonts w:eastAsia="Segoe UI" w:cs="Segoe UI" w:ascii="Segoe UI" w:hAnsi="Segoe UI"/>
          <w:b/>
          <w:color w:val="101820"/>
          <w:sz w:val="21"/>
        </w:rPr>
        <w:t>Recommended:</w:t>
      </w:r>
      <w:r>
        <w:rPr>
          <w:rFonts w:eastAsia="Segoe UI" w:cs="Segoe UI" w:ascii="Segoe UI" w:hAnsi="Segoe UI"/>
          <w:color w:val="101820"/>
          <w:sz w:val="21"/>
        </w:rPr>
        <w:t xml:space="preserve"> record the transfer in the broker's privacy notice and processing records, rely on the provider's data processing terms and certifications, keep encryption keys under the broker's account, and document the decision in a privacy impact assessment. Option C keeps the data in the Philippines.</w:t>
      </w:r>
    </w:p>
    <w:p>
      <w:pPr>
        <w:pStyle w:val="Heading2"/>
        <w:rPr/>
      </w:pPr>
      <w:bookmarkStart w:id="58" w:name="__RefHeading___Toc15463_1606252305"/>
      <w:bookmarkEnd w:id="58"/>
      <w:r>
        <w:rPr>
          <w:rFonts w:eastAsia="Segoe UI" w:cs="Segoe UI"/>
          <w:b/>
          <w:color w:val="0F4761"/>
          <w:sz w:val="26"/>
        </w:rPr>
        <w:t>10.9  Breach management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Practice with BrokerVerse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Alarms on failed sign-ins, token reuse, 5xx spikes; audit and sign-in history; WAF logs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End user sessions (Master &gt; User Management), deactivate accounts, rotate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to sign everyone out, block addresses at the WAF</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 the audit log,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and request ids to find which records were affected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DPO notifies the NPC and affected data subjects within 72 hours of knowledge where NPC Circular 16-03 requires it; iorta TechNXT informs the broker without undue delay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and breach records kept for the annual report to the NPC</w:t>
            </w:r>
          </w:p>
        </w:tc>
      </w:tr>
    </w:tbl>
    <w:p>
      <w:pPr>
        <w:pStyle w:val="Normal"/>
        <w:spacing w:before="0" w:after="80"/>
        <w:rPr/>
      </w:pPr>
      <w:r>
        <w:rPr/>
      </w:r>
      <w:r>
        <w:br w:type="page"/>
      </w:r>
    </w:p>
    <w:p>
      <w:pPr>
        <w:pStyle w:val="Heading1"/>
        <w:rPr/>
      </w:pPr>
      <w:bookmarkStart w:id="59" w:name="__RefHeading___Toc15465_1606252305"/>
      <w:bookmarkEnd w:id="59"/>
      <w:r>
        <w:rPr>
          <w:rFonts w:eastAsia="Segoe UI" w:cs="Segoe UI" w:ascii="Segoe UI" w:hAnsi="Segoe UI"/>
          <w:b/>
          <w:color w:val="0F4761"/>
          <w:sz w:val="32"/>
        </w:rPr>
        <w:t>11.  Insurance Commission and records</w:t>
      </w:r>
    </w:p>
    <w:p>
      <w:pPr>
        <w:pStyle w:val="Normal"/>
        <w:spacing w:lineRule="auto" w:line="276" w:before="0" w:after="120"/>
        <w:rPr/>
      </w:pPr>
      <w:r>
        <w:rPr>
          <w:rFonts w:eastAsia="Segoe UI" w:cs="Segoe UI" w:ascii="Segoe UI" w:hAnsi="Segoe UI"/>
          <w:color w:val="101820"/>
          <w:sz w:val="21"/>
        </w:rPr>
        <w:t>The Amended Insurance Code (Republic Act 10607) and the circulars of the Insurance Commission require licensed brokers to keep complete and accurate books and records of the business they transact, to keep premiums received for insurers apart from their own funds and remit them on time, and to make their records available for examination by the Commission. The IC also expects regulated entities to manage information technology and cyber risk. BrokerVerse supports these expectations as follows; the compliance officer confirms the applicable circulars.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Expectation</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Support in BrokerVerse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records of policies placed, premiums, commissions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billing, receipt, remittance and commission registers with journals from posting rules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held for insurers and remitted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trust bank account in the masters; remittance with multi-level approval; remittance ageing on the insurer's terms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available for examination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in XLSX, CSV and PDF; audit trail; retention as recommended above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with insurers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reconciliation with approval and adjustment journals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 over changes and approvals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matrix, SoD, period locks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resilience and security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recovery objectives, monitoring and security controls in this document</w:t>
            </w:r>
          </w:p>
        </w:tc>
      </w:tr>
    </w:tbl>
    <w:p>
      <w:pPr>
        <w:pStyle w:val="Normal"/>
        <w:spacing w:before="0" w:after="80"/>
        <w:rPr/>
      </w:pPr>
      <w:r>
        <w:rPr/>
      </w:r>
      <w:r>
        <w:br w:type="page"/>
      </w:r>
    </w:p>
    <w:p>
      <w:pPr>
        <w:pStyle w:val="Heading1"/>
        <w:rPr/>
      </w:pPr>
      <w:bookmarkStart w:id="60" w:name="__RefHeading___Toc15467_1606252305"/>
      <w:bookmarkEnd w:id="60"/>
      <w:r>
        <w:rPr>
          <w:rFonts w:eastAsia="Segoe UI" w:cs="Segoe UI" w:ascii="Segoe UI" w:hAnsi="Segoe UI"/>
          <w:b/>
          <w:color w:val="0F4761"/>
          <w:sz w:val="32"/>
        </w:rPr>
        <w:t>12.  Compliance checklist</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meets it</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Customer responsibility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 accounts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created per person; initial password changed at first sign-in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approve and remove access through a joiner-mover-leaver process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Strong passwords and lockout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of 8 characters with four classes, 5-password history, 90-day age, lockout after 5 failures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settings before go-live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 authentication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built in, compulsory per role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Set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reset two-factor when a phone is lost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Least privilege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with read and write permissions; deny by default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Assign roles by job; keep few System Administrators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 of duties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SoD rules checked on role assignment; maker-checker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the rule set; act on conflicts in the User Access Matrix</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limits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with approved limits and delegations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Replace default limits with the board-approved signing authority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recertification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 dormant accounts deactivated after 90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a review at least twice a year (recommended)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with before and after values, kept by default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sensitive changes; set the retention period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in transit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TLS to the database; STARTTLS to SMTP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certificates; refuse plain HTTP</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at rest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secrets encrypted; passwords hashed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Turn on storage encryption for database, files and backups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 management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 refuses weak or missing secrets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Store secrets in a vault; escrow </w:t>
            </w:r>
            <w:r>
              <w:rPr>
                <w:rFonts w:eastAsia="Consolas" w:cs="Consolas" w:ascii="Consolas" w:hAnsi="Consolas"/>
                <w:color w:val="101820"/>
                <w:kern w:val="0"/>
                <w:sz w:val="16"/>
                <w:szCs w:val="24"/>
                <w:lang w:val="en-US" w:eastAsia="ja-JP" w:bidi="ar-SA"/>
              </w:rPr>
              <w:t>DATA_ENCRYPTION_KEY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and restore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Transactional database; health checks after restore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backups; test restores quarterly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availability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 single job execution, graceful shutdown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two instances and a database standby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and version endpoints, JSON logs, operational tables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dashboards, alarms and on-call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Vulnerability management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 files; backend audit clean at review</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Scan in CI; patch OS and middleware; yearly penetration test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management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CI; migrations on start under a lock</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Branch protection; UAT sign-off; pre-release snapshot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and registration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system function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Appoint the DPO; register with the NPC where required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 notice and consent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consent field in the system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the notice; record consent; manage opt-outs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rights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 edit, export; lead and file deletion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a request log; respond within the agreed period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and disposal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 of temporary data; financial records kept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retention periods; run archival and anonymisation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Cross-border transfer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choice of Singapore or the Philippines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the transfer; sign the provider's data processing terms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acts on instructions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the agreement with iorta TechNXT and the hosting partner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notification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Logs and audit data to assess a breach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response team; notify NPC and data subjects within 72 hours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and IC records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Registers, reconciliations, reports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records available for IC examination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card data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Card details entered on the gateway's page only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gateways that hold the card industry certification</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61" w:name="__RefHeading___Toc15469_1606252305"/>
      <w:bookmarkStart w:id="62" w:name="_Toc233203395"/>
      <w:bookmarkEnd w:id="61"/>
      <w:r>
        <w:rPr>
          <w:rStyle w:val="BookTitle"/>
          <w:bCs w:val="false"/>
          <w:i w:val="false"/>
          <w:iCs w:val="false"/>
          <w:spacing w:val="0"/>
        </w:rPr>
        <w:t>13.  Document Sign-Off</w:t>
      </w:r>
      <w:bookmarkEnd w:id="6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8">
            <wp:simplePos x="0" y="0"/>
            <wp:positionH relativeFrom="margin">
              <wp:align>center</wp:align>
            </wp:positionH>
            <wp:positionV relativeFrom="margin">
              <wp:align>center</wp:align>
            </wp:positionV>
            <wp:extent cx="7548245" cy="10677525"/>
            <wp:effectExtent l="0" t="0" r="0" b="0"/>
            <wp:wrapNone/>
            <wp:docPr id="1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
                    <pic:cNvPicPr>
                      <a:picLocks noChangeAspect="1" noChangeArrowheads="1"/>
                    </pic:cNvPicPr>
                  </pic:nvPicPr>
                  <pic:blipFill>
                    <a:blip r:embed="rId10"/>
                    <a:stretch>
                      <a:fillRect/>
                    </a:stretch>
                  </pic:blipFill>
                  <pic:spPr bwMode="auto">
                    <a:xfrm>
                      <a:off x="0" y="0"/>
                      <a:ext cx="7548245" cy="10677525"/>
                    </a:xfrm>
                    <a:prstGeom prst="rect">
                      <a:avLst/>
                    </a:prstGeom>
                  </pic:spPr>
                </pic:pic>
              </a:graphicData>
            </a:graphic>
          </wp:anchor>
        </w:drawing>
      </w:r>
    </w:p>
    <w:sectPr>
      <w:footerReference w:type="default" r:id="rId11"/>
      <w:footerReference w:type="first" r:id="rId12"/>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6">
          <wp:simplePos x="0" y="0"/>
          <wp:positionH relativeFrom="page">
            <wp:align>left</wp:align>
          </wp:positionH>
          <wp:positionV relativeFrom="paragraph">
            <wp:posOffset>-708025</wp:posOffset>
          </wp:positionV>
          <wp:extent cx="8778240" cy="885190"/>
          <wp:effectExtent l="0" t="0" r="0" b="0"/>
          <wp:wrapNone/>
          <wp:docPr id="15"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6">
          <wp:simplePos x="0" y="0"/>
          <wp:positionH relativeFrom="page">
            <wp:align>left</wp:align>
          </wp:positionH>
          <wp:positionV relativeFrom="paragraph">
            <wp:posOffset>-708025</wp:posOffset>
          </wp:positionV>
          <wp:extent cx="8778240" cy="885190"/>
          <wp:effectExtent l="0" t="0" r="0" b="0"/>
          <wp:wrapNone/>
          <wp:docPr id="16"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0.png"/>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40</Pages>
  <Words>8329</Words>
  <Characters>48601</Characters>
  <CharactersWithSpaces>55827</CharactersWithSpaces>
  <Paragraphs>1155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2026-10-03T16:28:32Z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