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2510_1161306186">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2512_1161306186">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2514_1161306186">
            <w:r>
              <w:rPr>
                <w:webHidden/>
                <w:rStyle w:val="IndexLink"/>
              </w:rPr>
              <w:t>3. About this document</w:t>
              <w:tab/>
              <w:t>5</w:t>
            </w:r>
          </w:hyperlink>
        </w:p>
        <w:p>
          <w:pPr>
            <w:pStyle w:val="TOC2"/>
            <w:tabs>
              <w:tab w:val="clear" w:pos="900"/>
              <w:tab w:val="clear" w:pos="9350"/>
              <w:tab w:val="right" w:pos="9025" w:leader="dot"/>
            </w:tabs>
            <w:rPr/>
          </w:pPr>
          <w:hyperlink w:anchor="__RefHeading___Toc12516_1161306186">
            <w:r>
              <w:rPr>
                <w:webHidden/>
                <w:rStyle w:val="IndexLink"/>
              </w:rPr>
              <w:t>3.1 Sources</w:t>
              <w:tab/>
              <w:t>5</w:t>
            </w:r>
          </w:hyperlink>
        </w:p>
        <w:p>
          <w:pPr>
            <w:pStyle w:val="TOC2"/>
            <w:tabs>
              <w:tab w:val="clear" w:pos="900"/>
              <w:tab w:val="clear" w:pos="9350"/>
              <w:tab w:val="right" w:pos="9025" w:leader="dot"/>
            </w:tabs>
            <w:rPr/>
          </w:pPr>
          <w:hyperlink w:anchor="__RefHeading___Toc12518_1161306186">
            <w:r>
              <w:rPr>
                <w:webHidden/>
                <w:rStyle w:val="IndexLink"/>
              </w:rPr>
              <w:t>3.2 The companion workbook</w:t>
              <w:tab/>
              <w:t>6</w:t>
            </w:r>
          </w:hyperlink>
        </w:p>
        <w:p>
          <w:pPr>
            <w:pStyle w:val="TOC2"/>
            <w:tabs>
              <w:tab w:val="clear" w:pos="900"/>
              <w:tab w:val="clear" w:pos="9350"/>
              <w:tab w:val="right" w:pos="9025" w:leader="dot"/>
            </w:tabs>
            <w:rPr/>
          </w:pPr>
          <w:hyperlink w:anchor="__RefHeading___Toc12520_1161306186">
            <w:r>
              <w:rPr>
                <w:webHidden/>
                <w:rStyle w:val="IndexLink"/>
              </w:rPr>
              <w:t>3.3 Database at a glance</w:t>
              <w:tab/>
              <w:t>6</w:t>
            </w:r>
          </w:hyperlink>
        </w:p>
        <w:p>
          <w:pPr>
            <w:pStyle w:val="TOC1"/>
            <w:tabs>
              <w:tab w:val="clear" w:pos="900"/>
              <w:tab w:val="clear" w:pos="9350"/>
              <w:tab w:val="right" w:pos="9025" w:leader="dot"/>
            </w:tabs>
            <w:rPr/>
          </w:pPr>
          <w:hyperlink w:anchor="__RefHeading___Toc12522_1161306186">
            <w:r>
              <w:rPr>
                <w:webHidden/>
                <w:rStyle w:val="IndexLink"/>
              </w:rPr>
              <w:t>4. Conventions</w:t>
              <w:tab/>
              <w:t>7</w:t>
            </w:r>
          </w:hyperlink>
        </w:p>
        <w:p>
          <w:pPr>
            <w:pStyle w:val="TOC2"/>
            <w:tabs>
              <w:tab w:val="clear" w:pos="900"/>
              <w:tab w:val="clear" w:pos="9350"/>
              <w:tab w:val="right" w:pos="9025" w:leader="dot"/>
            </w:tabs>
            <w:rPr/>
          </w:pPr>
          <w:hyperlink w:anchor="__RefHeading___Toc12524_1161306186">
            <w:r>
              <w:rPr>
                <w:webHidden/>
                <w:rStyle w:val="IndexLink"/>
              </w:rPr>
              <w:t>4.1 Naming</w:t>
              <w:tab/>
              <w:t>7</w:t>
            </w:r>
          </w:hyperlink>
        </w:p>
        <w:p>
          <w:pPr>
            <w:pStyle w:val="TOC2"/>
            <w:tabs>
              <w:tab w:val="clear" w:pos="900"/>
              <w:tab w:val="clear" w:pos="9350"/>
              <w:tab w:val="right" w:pos="9025" w:leader="dot"/>
            </w:tabs>
            <w:rPr/>
          </w:pPr>
          <w:hyperlink w:anchor="__RefHeading___Toc12526_1161306186">
            <w:r>
              <w:rPr>
                <w:webHidden/>
                <w:rStyle w:val="IndexLink"/>
              </w:rPr>
              <w:t>4.2 Identifiers</w:t>
              <w:tab/>
              <w:t>7</w:t>
            </w:r>
          </w:hyperlink>
        </w:p>
        <w:p>
          <w:pPr>
            <w:pStyle w:val="TOC2"/>
            <w:tabs>
              <w:tab w:val="clear" w:pos="900"/>
              <w:tab w:val="clear" w:pos="9350"/>
              <w:tab w:val="right" w:pos="9025" w:leader="dot"/>
            </w:tabs>
            <w:rPr/>
          </w:pPr>
          <w:hyperlink w:anchor="__RefHeading___Toc12528_1161306186">
            <w:r>
              <w:rPr>
                <w:webHidden/>
                <w:rStyle w:val="IndexLink"/>
              </w:rPr>
              <w:t>4.3 Money, rates and shares</w:t>
              <w:tab/>
              <w:t>8</w:t>
            </w:r>
          </w:hyperlink>
        </w:p>
        <w:p>
          <w:pPr>
            <w:pStyle w:val="TOC2"/>
            <w:tabs>
              <w:tab w:val="clear" w:pos="900"/>
              <w:tab w:val="clear" w:pos="9350"/>
              <w:tab w:val="right" w:pos="9025" w:leader="dot"/>
            </w:tabs>
            <w:rPr/>
          </w:pPr>
          <w:hyperlink w:anchor="__RefHeading___Toc12530_1161306186">
            <w:r>
              <w:rPr>
                <w:webHidden/>
                <w:rStyle w:val="IndexLink"/>
              </w:rPr>
              <w:t>4.4 Dates and the business time zone</w:t>
              <w:tab/>
              <w:t>8</w:t>
            </w:r>
          </w:hyperlink>
        </w:p>
        <w:p>
          <w:pPr>
            <w:pStyle w:val="TOC2"/>
            <w:tabs>
              <w:tab w:val="clear" w:pos="900"/>
              <w:tab w:val="clear" w:pos="9350"/>
              <w:tab w:val="right" w:pos="9025" w:leader="dot"/>
            </w:tabs>
            <w:rPr/>
          </w:pPr>
          <w:hyperlink w:anchor="__RefHeading___Toc12532_1161306186">
            <w:r>
              <w:rPr>
                <w:webHidden/>
                <w:rStyle w:val="IndexLink"/>
              </w:rPr>
              <w:t>4.5 Audit columns</w:t>
              <w:tab/>
              <w:t>8</w:t>
            </w:r>
          </w:hyperlink>
        </w:p>
        <w:p>
          <w:pPr>
            <w:pStyle w:val="TOC2"/>
            <w:tabs>
              <w:tab w:val="clear" w:pos="900"/>
              <w:tab w:val="clear" w:pos="9350"/>
              <w:tab w:val="right" w:pos="9025" w:leader="dot"/>
            </w:tabs>
            <w:rPr/>
          </w:pPr>
          <w:hyperlink w:anchor="__RefHeading___Toc12534_1161306186">
            <w:r>
              <w:rPr>
                <w:webHidden/>
                <w:rStyle w:val="IndexLink"/>
              </w:rPr>
              <w:t>4.6 Status, soft delete and cancellation</w:t>
              <w:tab/>
              <w:t>9</w:t>
            </w:r>
          </w:hyperlink>
        </w:p>
        <w:p>
          <w:pPr>
            <w:pStyle w:val="TOC2"/>
            <w:tabs>
              <w:tab w:val="clear" w:pos="900"/>
              <w:tab w:val="clear" w:pos="9350"/>
              <w:tab w:val="right" w:pos="9025" w:leader="dot"/>
            </w:tabs>
            <w:rPr/>
          </w:pPr>
          <w:hyperlink w:anchor="__RefHeading___Toc12536_1161306186">
            <w:r>
              <w:rPr>
                <w:webHidden/>
                <w:rStyle w:val="IndexLink"/>
              </w:rPr>
              <w:t>4.7 JSON document columns</w:t>
              <w:tab/>
              <w:t>9</w:t>
            </w:r>
          </w:hyperlink>
        </w:p>
        <w:p>
          <w:pPr>
            <w:pStyle w:val="TOC2"/>
            <w:tabs>
              <w:tab w:val="clear" w:pos="900"/>
              <w:tab w:val="clear" w:pos="9350"/>
              <w:tab w:val="right" w:pos="9025" w:leader="dot"/>
            </w:tabs>
            <w:rPr/>
          </w:pPr>
          <w:hyperlink w:anchor="__RefHeading___Toc12538_1161306186">
            <w:r>
              <w:rPr>
                <w:webHidden/>
                <w:rStyle w:val="IndexLink"/>
              </w:rPr>
              <w:t>4.8 Keys, constraints and indexes</w:t>
              <w:tab/>
              <w:t>9</w:t>
            </w:r>
          </w:hyperlink>
        </w:p>
        <w:p>
          <w:pPr>
            <w:pStyle w:val="TOC2"/>
            <w:tabs>
              <w:tab w:val="clear" w:pos="900"/>
              <w:tab w:val="clear" w:pos="9350"/>
              <w:tab w:val="right" w:pos="9025" w:leader="dot"/>
            </w:tabs>
            <w:rPr/>
          </w:pPr>
          <w:hyperlink w:anchor="__RefHeading___Toc12540_1161306186">
            <w:r>
              <w:rPr>
                <w:webHidden/>
                <w:rStyle w:val="IndexLink"/>
              </w:rPr>
              <w:t>4.9 References without a foreign key</w:t>
              <w:tab/>
              <w:t>10</w:t>
            </w:r>
          </w:hyperlink>
        </w:p>
        <w:p>
          <w:pPr>
            <w:pStyle w:val="TOC1"/>
            <w:tabs>
              <w:tab w:val="clear" w:pos="900"/>
              <w:tab w:val="clear" w:pos="9350"/>
              <w:tab w:val="right" w:pos="9025" w:leader="dot"/>
            </w:tabs>
            <w:rPr/>
          </w:pPr>
          <w:hyperlink w:anchor="__RefHeading___Toc12542_1161306186">
            <w:r>
              <w:rPr>
                <w:webHidden/>
                <w:rStyle w:val="IndexLink"/>
              </w:rPr>
              <w:t>5. Data model by functional area</w:t>
              <w:tab/>
              <w:t>11</w:t>
            </w:r>
          </w:hyperlink>
        </w:p>
        <w:p>
          <w:pPr>
            <w:pStyle w:val="TOC2"/>
            <w:tabs>
              <w:tab w:val="clear" w:pos="900"/>
              <w:tab w:val="clear" w:pos="9350"/>
              <w:tab w:val="right" w:pos="9025" w:leader="dot"/>
            </w:tabs>
            <w:rPr/>
          </w:pPr>
          <w:hyperlink w:anchor="__RefHeading___Toc12544_1161306186">
            <w:r>
              <w:rPr>
                <w:webHidden/>
                <w:rStyle w:val="IndexLink"/>
              </w:rPr>
              <w:t>5.1 Overview</w:t>
              <w:tab/>
              <w:t>11</w:t>
            </w:r>
          </w:hyperlink>
        </w:p>
        <w:p>
          <w:pPr>
            <w:pStyle w:val="TOC2"/>
            <w:tabs>
              <w:tab w:val="clear" w:pos="900"/>
              <w:tab w:val="clear" w:pos="9350"/>
              <w:tab w:val="right" w:pos="9025" w:leader="dot"/>
            </w:tabs>
            <w:rPr/>
          </w:pPr>
          <w:hyperlink w:anchor="__RefHeading___Toc12546_1161306186">
            <w:r>
              <w:rPr>
                <w:webHidden/>
                <w:rStyle w:val="IndexLink"/>
              </w:rPr>
              <w:t>5.2 Party and client</w:t>
              <w:tab/>
              <w:t>11</w:t>
            </w:r>
          </w:hyperlink>
        </w:p>
        <w:p>
          <w:pPr>
            <w:pStyle w:val="TOC2"/>
            <w:tabs>
              <w:tab w:val="clear" w:pos="900"/>
              <w:tab w:val="clear" w:pos="9350"/>
              <w:tab w:val="right" w:pos="9025" w:leader="dot"/>
            </w:tabs>
            <w:rPr/>
          </w:pPr>
          <w:hyperlink w:anchor="__RefHeading___Toc12548_1161306186">
            <w:r>
              <w:rPr>
                <w:webHidden/>
                <w:rStyle w:val="IndexLink"/>
              </w:rPr>
              <w:t>5.3 Product and rating</w:t>
              <w:tab/>
              <w:t>12</w:t>
            </w:r>
          </w:hyperlink>
        </w:p>
        <w:p>
          <w:pPr>
            <w:pStyle w:val="TOC2"/>
            <w:tabs>
              <w:tab w:val="clear" w:pos="900"/>
              <w:tab w:val="clear" w:pos="9350"/>
              <w:tab w:val="right" w:pos="9025" w:leader="dot"/>
            </w:tabs>
            <w:rPr/>
          </w:pPr>
          <w:hyperlink w:anchor="__RefHeading___Toc12550_1161306186">
            <w:r>
              <w:rPr>
                <w:webHidden/>
                <w:rStyle w:val="IndexLink"/>
              </w:rPr>
              <w:t>5.4 Sales and quotation</w:t>
              <w:tab/>
              <w:t>13</w:t>
            </w:r>
          </w:hyperlink>
        </w:p>
        <w:p>
          <w:pPr>
            <w:pStyle w:val="TOC2"/>
            <w:tabs>
              <w:tab w:val="clear" w:pos="900"/>
              <w:tab w:val="clear" w:pos="9350"/>
              <w:tab w:val="right" w:pos="9025" w:leader="dot"/>
            </w:tabs>
            <w:rPr/>
          </w:pPr>
          <w:hyperlink w:anchor="__RefHeading___Toc12552_1161306186">
            <w:r>
              <w:rPr>
                <w:webHidden/>
                <w:rStyle w:val="IndexLink"/>
              </w:rPr>
              <w:t>5.5 Placement</w:t>
              <w:tab/>
              <w:t>13</w:t>
            </w:r>
          </w:hyperlink>
        </w:p>
        <w:p>
          <w:pPr>
            <w:pStyle w:val="TOC2"/>
            <w:tabs>
              <w:tab w:val="clear" w:pos="900"/>
              <w:tab w:val="clear" w:pos="9350"/>
              <w:tab w:val="right" w:pos="9025" w:leader="dot"/>
            </w:tabs>
            <w:rPr/>
          </w:pPr>
          <w:hyperlink w:anchor="__RefHeading___Toc12554_1161306186">
            <w:r>
              <w:rPr>
                <w:webHidden/>
                <w:rStyle w:val="IndexLink"/>
              </w:rPr>
              <w:t>5.6 Policy and endorsement</w:t>
              <w:tab/>
              <w:t>14</w:t>
            </w:r>
          </w:hyperlink>
        </w:p>
        <w:p>
          <w:pPr>
            <w:pStyle w:val="TOC2"/>
            <w:tabs>
              <w:tab w:val="clear" w:pos="900"/>
              <w:tab w:val="clear" w:pos="9350"/>
              <w:tab w:val="right" w:pos="9025" w:leader="dot"/>
            </w:tabs>
            <w:rPr/>
          </w:pPr>
          <w:hyperlink w:anchor="__RefHeading___Toc12556_1161306186">
            <w:r>
              <w:rPr>
                <w:webHidden/>
                <w:rStyle w:val="IndexLink"/>
              </w:rPr>
              <w:t>5.7 Billing, receipts and payments</w:t>
              <w:tab/>
              <w:t>15</w:t>
            </w:r>
          </w:hyperlink>
        </w:p>
        <w:p>
          <w:pPr>
            <w:pStyle w:val="TOC2"/>
            <w:tabs>
              <w:tab w:val="clear" w:pos="900"/>
              <w:tab w:val="clear" w:pos="9350"/>
              <w:tab w:val="right" w:pos="9025" w:leader="dot"/>
            </w:tabs>
            <w:rPr/>
          </w:pPr>
          <w:hyperlink w:anchor="__RefHeading___Toc12558_1161306186">
            <w:r>
              <w:rPr>
                <w:webHidden/>
                <w:rStyle w:val="IndexLink"/>
              </w:rPr>
              <w:t>5.8 Remittance and insurer accounting</w:t>
              <w:tab/>
              <w:t>16</w:t>
            </w:r>
          </w:hyperlink>
        </w:p>
        <w:p>
          <w:pPr>
            <w:pStyle w:val="TOC2"/>
            <w:tabs>
              <w:tab w:val="clear" w:pos="900"/>
              <w:tab w:val="clear" w:pos="9350"/>
              <w:tab w:val="right" w:pos="9025" w:leader="dot"/>
            </w:tabs>
            <w:rPr/>
          </w:pPr>
          <w:hyperlink w:anchor="__RefHeading___Toc12560_1161306186">
            <w:r>
              <w:rPr>
                <w:webHidden/>
                <w:rStyle w:val="IndexLink"/>
              </w:rPr>
              <w:t>5.9 Commission</w:t>
              <w:tab/>
              <w:t>16</w:t>
            </w:r>
          </w:hyperlink>
        </w:p>
        <w:p>
          <w:pPr>
            <w:pStyle w:val="TOC2"/>
            <w:tabs>
              <w:tab w:val="clear" w:pos="900"/>
              <w:tab w:val="clear" w:pos="9350"/>
              <w:tab w:val="right" w:pos="9025" w:leader="dot"/>
            </w:tabs>
            <w:rPr/>
          </w:pPr>
          <w:hyperlink w:anchor="__RefHeading___Toc12562_1161306186">
            <w:r>
              <w:rPr>
                <w:webHidden/>
                <w:rStyle w:val="IndexLink"/>
              </w:rPr>
              <w:t>5.10 Claims</w:t>
              <w:tab/>
              <w:t>17</w:t>
            </w:r>
          </w:hyperlink>
        </w:p>
        <w:p>
          <w:pPr>
            <w:pStyle w:val="TOC2"/>
            <w:tabs>
              <w:tab w:val="clear" w:pos="900"/>
              <w:tab w:val="clear" w:pos="9350"/>
              <w:tab w:val="right" w:pos="9025" w:leader="dot"/>
            </w:tabs>
            <w:rPr/>
          </w:pPr>
          <w:hyperlink w:anchor="__RefHeading___Toc12564_1161306186">
            <w:r>
              <w:rPr>
                <w:webHidden/>
                <w:rStyle w:val="IndexLink"/>
              </w:rPr>
              <w:t>5.11 Renewals</w:t>
              <w:tab/>
              <w:t>18</w:t>
            </w:r>
          </w:hyperlink>
        </w:p>
        <w:p>
          <w:pPr>
            <w:pStyle w:val="TOC2"/>
            <w:tabs>
              <w:tab w:val="clear" w:pos="900"/>
              <w:tab w:val="clear" w:pos="9350"/>
              <w:tab w:val="right" w:pos="9025" w:leader="dot"/>
            </w:tabs>
            <w:rPr/>
          </w:pPr>
          <w:hyperlink w:anchor="__RefHeading___Toc12566_1161306186">
            <w:r>
              <w:rPr>
                <w:webHidden/>
                <w:rStyle w:val="IndexLink"/>
              </w:rPr>
              <w:t>5.12 General ledger and period end</w:t>
              <w:tab/>
              <w:t>18</w:t>
            </w:r>
          </w:hyperlink>
        </w:p>
        <w:p>
          <w:pPr>
            <w:pStyle w:val="TOC2"/>
            <w:tabs>
              <w:tab w:val="clear" w:pos="900"/>
              <w:tab w:val="clear" w:pos="9350"/>
              <w:tab w:val="right" w:pos="9025" w:leader="dot"/>
            </w:tabs>
            <w:rPr/>
          </w:pPr>
          <w:hyperlink w:anchor="__RefHeading___Toc12568_1161306186">
            <w:r>
              <w:rPr>
                <w:webHidden/>
                <w:rStyle w:val="IndexLink"/>
              </w:rPr>
              <w:t>5.13 Bank and insurer reconciliation</w:t>
              <w:tab/>
              <w:t>19</w:t>
            </w:r>
          </w:hyperlink>
        </w:p>
        <w:p>
          <w:pPr>
            <w:pStyle w:val="TOC2"/>
            <w:tabs>
              <w:tab w:val="clear" w:pos="900"/>
              <w:tab w:val="clear" w:pos="9350"/>
              <w:tab w:val="right" w:pos="9025" w:leader="dot"/>
            </w:tabs>
            <w:rPr/>
          </w:pPr>
          <w:hyperlink w:anchor="__RefHeading___Toc12570_1161306186">
            <w:r>
              <w:rPr>
                <w:webHidden/>
                <w:rStyle w:val="IndexLink"/>
              </w:rPr>
              <w:t>5.14 Credit control</w:t>
              <w:tab/>
              <w:t>20</w:t>
            </w:r>
          </w:hyperlink>
        </w:p>
        <w:p>
          <w:pPr>
            <w:pStyle w:val="TOC2"/>
            <w:tabs>
              <w:tab w:val="clear" w:pos="900"/>
              <w:tab w:val="clear" w:pos="9350"/>
              <w:tab w:val="right" w:pos="9025" w:leader="dot"/>
            </w:tabs>
            <w:rPr/>
          </w:pPr>
          <w:hyperlink w:anchor="__RefHeading___Toc12572_1161306186">
            <w:r>
              <w:rPr>
                <w:webHidden/>
                <w:rStyle w:val="IndexLink"/>
              </w:rPr>
              <w:t>5.15 Reinsurance</w:t>
              <w:tab/>
              <w:t>20</w:t>
            </w:r>
          </w:hyperlink>
        </w:p>
        <w:p>
          <w:pPr>
            <w:pStyle w:val="TOC2"/>
            <w:tabs>
              <w:tab w:val="clear" w:pos="900"/>
              <w:tab w:val="clear" w:pos="9350"/>
              <w:tab w:val="right" w:pos="9025" w:leader="dot"/>
            </w:tabs>
            <w:rPr/>
          </w:pPr>
          <w:hyperlink w:anchor="__RefHeading___Toc12574_1161306186">
            <w:r>
              <w:rPr>
                <w:webHidden/>
                <w:rStyle w:val="IndexLink"/>
              </w:rPr>
              <w:t>5.16 Incentives</w:t>
              <w:tab/>
              <w:t>21</w:t>
            </w:r>
          </w:hyperlink>
        </w:p>
        <w:p>
          <w:pPr>
            <w:pStyle w:val="TOC2"/>
            <w:tabs>
              <w:tab w:val="clear" w:pos="900"/>
              <w:tab w:val="clear" w:pos="9350"/>
              <w:tab w:val="right" w:pos="9025" w:leader="dot"/>
            </w:tabs>
            <w:rPr/>
          </w:pPr>
          <w:hyperlink w:anchor="__RefHeading___Toc12576_1161306186">
            <w:r>
              <w:rPr>
                <w:webHidden/>
                <w:rStyle w:val="IndexLink"/>
              </w:rPr>
              <w:t>5.17 Security and audit</w:t>
              <w:tab/>
              <w:t>21</w:t>
            </w:r>
          </w:hyperlink>
        </w:p>
        <w:p>
          <w:pPr>
            <w:pStyle w:val="TOC2"/>
            <w:tabs>
              <w:tab w:val="clear" w:pos="900"/>
              <w:tab w:val="clear" w:pos="9350"/>
              <w:tab w:val="right" w:pos="9025" w:leader="dot"/>
            </w:tabs>
            <w:rPr/>
          </w:pPr>
          <w:hyperlink w:anchor="__RefHeading___Toc12578_1161306186">
            <w:r>
              <w:rPr>
                <w:webHidden/>
                <w:rStyle w:val="IndexLink"/>
              </w:rPr>
              <w:t>5.18 Configuration and schedules</w:t>
              <w:tab/>
              <w:t>22</w:t>
            </w:r>
          </w:hyperlink>
        </w:p>
        <w:p>
          <w:pPr>
            <w:pStyle w:val="TOC1"/>
            <w:tabs>
              <w:tab w:val="clear" w:pos="900"/>
              <w:tab w:val="clear" w:pos="9350"/>
              <w:tab w:val="right" w:pos="9025" w:leader="dot"/>
            </w:tabs>
            <w:rPr/>
          </w:pPr>
          <w:hyperlink w:anchor="__RefHeading___Toc12580_1161306186">
            <w:r>
              <w:rPr>
                <w:webHidden/>
                <w:rStyle w:val="IndexLink"/>
              </w:rPr>
              <w:t>6. Status lifecycles</w:t>
              <w:tab/>
              <w:t>23</w:t>
            </w:r>
          </w:hyperlink>
        </w:p>
        <w:p>
          <w:pPr>
            <w:pStyle w:val="TOC2"/>
            <w:tabs>
              <w:tab w:val="clear" w:pos="900"/>
              <w:tab w:val="clear" w:pos="9350"/>
              <w:tab w:val="right" w:pos="9025" w:leader="dot"/>
            </w:tabs>
            <w:rPr/>
          </w:pPr>
          <w:hyperlink w:anchor="__RefHeading___Toc12582_1161306186">
            <w:r>
              <w:rPr>
                <w:webHidden/>
                <w:rStyle w:val="IndexLink"/>
              </w:rPr>
              <w:t>6.1 Sales, placement and policy</w:t>
              <w:tab/>
              <w:t>23</w:t>
            </w:r>
          </w:hyperlink>
        </w:p>
        <w:p>
          <w:pPr>
            <w:pStyle w:val="TOC2"/>
            <w:tabs>
              <w:tab w:val="clear" w:pos="900"/>
              <w:tab w:val="clear" w:pos="9350"/>
              <w:tab w:val="right" w:pos="9025" w:leader="dot"/>
            </w:tabs>
            <w:rPr/>
          </w:pPr>
          <w:hyperlink w:anchor="__RefHeading___Toc12584_1161306186">
            <w:r>
              <w:rPr>
                <w:webHidden/>
                <w:rStyle w:val="IndexLink"/>
              </w:rPr>
              <w:t>6.2 Money and accounting</w:t>
              <w:tab/>
              <w:t>23</w:t>
            </w:r>
          </w:hyperlink>
        </w:p>
        <w:p>
          <w:pPr>
            <w:pStyle w:val="TOC2"/>
            <w:tabs>
              <w:tab w:val="clear" w:pos="900"/>
              <w:tab w:val="clear" w:pos="9350"/>
              <w:tab w:val="right" w:pos="9025" w:leader="dot"/>
            </w:tabs>
            <w:rPr/>
          </w:pPr>
          <w:hyperlink w:anchor="__RefHeading___Toc12586_1161306186">
            <w:r>
              <w:rPr>
                <w:webHidden/>
                <w:rStyle w:val="IndexLink"/>
              </w:rPr>
              <w:t>6.3 Claims, renewals and other areas</w:t>
              <w:tab/>
              <w:t>24</w:t>
            </w:r>
          </w:hyperlink>
        </w:p>
        <w:p>
          <w:pPr>
            <w:pStyle w:val="TOC1"/>
            <w:tabs>
              <w:tab w:val="clear" w:pos="900"/>
              <w:tab w:val="clear" w:pos="9350"/>
              <w:tab w:val="right" w:pos="9025" w:leader="dot"/>
            </w:tabs>
            <w:rPr/>
          </w:pPr>
          <w:hyperlink w:anchor="__RefHeading___Toc12588_1161306186">
            <w:r>
              <w:rPr>
                <w:webHidden/>
                <w:rStyle w:val="IndexLink"/>
              </w:rPr>
              <w:t>7. Personal data and retention</w:t>
              <w:tab/>
              <w:t>26</w:t>
            </w:r>
          </w:hyperlink>
        </w:p>
        <w:p>
          <w:pPr>
            <w:pStyle w:val="TOC2"/>
            <w:tabs>
              <w:tab w:val="clear" w:pos="900"/>
              <w:tab w:val="clear" w:pos="9350"/>
              <w:tab w:val="right" w:pos="9025" w:leader="dot"/>
            </w:tabs>
            <w:rPr/>
          </w:pPr>
          <w:hyperlink w:anchor="__RefHeading___Toc12590_1161306186">
            <w:r>
              <w:rPr>
                <w:webHidden/>
                <w:rStyle w:val="IndexLink"/>
              </w:rPr>
              <w:t>7.1 Personal data under the Data Privacy Act</w:t>
              <w:tab/>
              <w:t>26</w:t>
            </w:r>
          </w:hyperlink>
        </w:p>
        <w:p>
          <w:pPr>
            <w:pStyle w:val="TOC2"/>
            <w:tabs>
              <w:tab w:val="clear" w:pos="900"/>
              <w:tab w:val="clear" w:pos="9350"/>
              <w:tab w:val="right" w:pos="9025" w:leader="dot"/>
            </w:tabs>
            <w:rPr/>
          </w:pPr>
          <w:hyperlink w:anchor="__RefHeading___Toc12592_1161306186">
            <w:r>
              <w:rPr>
                <w:webHidden/>
                <w:rStyle w:val="IndexLink"/>
              </w:rPr>
              <w:t>7.2 Tables and columns holding personal data</w:t>
              <w:tab/>
              <w:t>26</w:t>
            </w:r>
          </w:hyperlink>
        </w:p>
        <w:p>
          <w:pPr>
            <w:pStyle w:val="TOC2"/>
            <w:tabs>
              <w:tab w:val="clear" w:pos="900"/>
              <w:tab w:val="clear" w:pos="9350"/>
              <w:tab w:val="right" w:pos="9025" w:leader="dot"/>
            </w:tabs>
            <w:rPr/>
          </w:pPr>
          <w:hyperlink w:anchor="__RefHeading___Toc12594_1161306186">
            <w:r>
              <w:rPr>
                <w:webHidden/>
                <w:rStyle w:val="IndexLink"/>
              </w:rPr>
              <w:t>7.3 Protection in the database</w:t>
              <w:tab/>
              <w:t>28</w:t>
            </w:r>
          </w:hyperlink>
        </w:p>
        <w:p>
          <w:pPr>
            <w:pStyle w:val="TOC2"/>
            <w:tabs>
              <w:tab w:val="clear" w:pos="900"/>
              <w:tab w:val="clear" w:pos="9350"/>
              <w:tab w:val="right" w:pos="9025" w:leader="dot"/>
            </w:tabs>
            <w:rPr/>
          </w:pPr>
          <w:hyperlink w:anchor="__RefHeading___Toc12596_1161306186">
            <w:r>
              <w:rPr>
                <w:webHidden/>
                <w:rStyle w:val="IndexLink"/>
              </w:rPr>
              <w:t>7.4 Retention</w:t>
              <w:tab/>
              <w:t>28</w:t>
            </w:r>
          </w:hyperlink>
        </w:p>
        <w:p>
          <w:pPr>
            <w:pStyle w:val="TOC1"/>
            <w:tabs>
              <w:tab w:val="clear" w:pos="900"/>
              <w:tab w:val="clear" w:pos="9350"/>
              <w:tab w:val="right" w:pos="9025" w:leader="dot"/>
            </w:tabs>
            <w:rPr/>
          </w:pPr>
          <w:hyperlink w:anchor="__RefHeading___Toc12598_1161306186">
            <w:r>
              <w:rPr>
                <w:webHidden/>
                <w:rStyle w:val="IndexLink"/>
              </w:rPr>
              <w:t>8. Appendix A: Table list</w:t>
              <w:tab/>
              <w:t>30</w:t>
            </w:r>
          </w:hyperlink>
        </w:p>
        <w:p>
          <w:pPr>
            <w:pStyle w:val="TOC2"/>
            <w:tabs>
              <w:tab w:val="clear" w:pos="900"/>
              <w:tab w:val="clear" w:pos="9350"/>
              <w:tab w:val="right" w:pos="9025" w:leader="dot"/>
            </w:tabs>
            <w:rPr/>
          </w:pPr>
          <w:hyperlink w:anchor="__RefHeading___Toc12600_1161306186">
            <w:r>
              <w:rPr>
                <w:webHidden/>
                <w:rStyle w:val="IndexLink"/>
              </w:rPr>
              <w:t>8.1 Party and client</w:t>
              <w:tab/>
              <w:t>30</w:t>
            </w:r>
          </w:hyperlink>
        </w:p>
        <w:p>
          <w:pPr>
            <w:pStyle w:val="TOC2"/>
            <w:tabs>
              <w:tab w:val="clear" w:pos="900"/>
              <w:tab w:val="clear" w:pos="9350"/>
              <w:tab w:val="right" w:pos="9025" w:leader="dot"/>
            </w:tabs>
            <w:rPr/>
          </w:pPr>
          <w:hyperlink w:anchor="__RefHeading___Toc12602_1161306186">
            <w:r>
              <w:rPr>
                <w:webHidden/>
                <w:rStyle w:val="IndexLink"/>
              </w:rPr>
              <w:t>8.2 Product and rating</w:t>
              <w:tab/>
              <w:t>30</w:t>
            </w:r>
          </w:hyperlink>
        </w:p>
        <w:p>
          <w:pPr>
            <w:pStyle w:val="TOC2"/>
            <w:tabs>
              <w:tab w:val="clear" w:pos="900"/>
              <w:tab w:val="clear" w:pos="9350"/>
              <w:tab w:val="right" w:pos="9025" w:leader="dot"/>
            </w:tabs>
            <w:rPr/>
          </w:pPr>
          <w:hyperlink w:anchor="__RefHeading___Toc12604_1161306186">
            <w:r>
              <w:rPr>
                <w:webHidden/>
                <w:rStyle w:val="IndexLink"/>
              </w:rPr>
              <w:t>8.3 Sales and quotation</w:t>
              <w:tab/>
              <w:t>31</w:t>
            </w:r>
          </w:hyperlink>
        </w:p>
        <w:p>
          <w:pPr>
            <w:pStyle w:val="TOC2"/>
            <w:tabs>
              <w:tab w:val="clear" w:pos="900"/>
              <w:tab w:val="clear" w:pos="9350"/>
              <w:tab w:val="right" w:pos="9025" w:leader="dot"/>
            </w:tabs>
            <w:rPr/>
          </w:pPr>
          <w:hyperlink w:anchor="__RefHeading___Toc12606_1161306186">
            <w:r>
              <w:rPr>
                <w:webHidden/>
                <w:rStyle w:val="IndexLink"/>
              </w:rPr>
              <w:t>8.4 Placement</w:t>
              <w:tab/>
              <w:t>31</w:t>
            </w:r>
          </w:hyperlink>
        </w:p>
        <w:p>
          <w:pPr>
            <w:pStyle w:val="TOC2"/>
            <w:tabs>
              <w:tab w:val="clear" w:pos="900"/>
              <w:tab w:val="clear" w:pos="9350"/>
              <w:tab w:val="right" w:pos="9025" w:leader="dot"/>
            </w:tabs>
            <w:rPr/>
          </w:pPr>
          <w:hyperlink w:anchor="__RefHeading___Toc12608_1161306186">
            <w:r>
              <w:rPr>
                <w:webHidden/>
                <w:rStyle w:val="IndexLink"/>
              </w:rPr>
              <w:t>8.5 Policy and endorsement</w:t>
              <w:tab/>
              <w:t>32</w:t>
            </w:r>
          </w:hyperlink>
        </w:p>
        <w:p>
          <w:pPr>
            <w:pStyle w:val="TOC2"/>
            <w:tabs>
              <w:tab w:val="clear" w:pos="900"/>
              <w:tab w:val="clear" w:pos="9350"/>
              <w:tab w:val="right" w:pos="9025" w:leader="dot"/>
            </w:tabs>
            <w:rPr/>
          </w:pPr>
          <w:hyperlink w:anchor="__RefHeading___Toc12610_1161306186">
            <w:r>
              <w:rPr>
                <w:webHidden/>
                <w:rStyle w:val="IndexLink"/>
              </w:rPr>
              <w:t>8.6 Billing, receipts and payments</w:t>
              <w:tab/>
              <w:t>32</w:t>
            </w:r>
          </w:hyperlink>
        </w:p>
        <w:p>
          <w:pPr>
            <w:pStyle w:val="TOC2"/>
            <w:tabs>
              <w:tab w:val="clear" w:pos="900"/>
              <w:tab w:val="clear" w:pos="9350"/>
              <w:tab w:val="right" w:pos="9025" w:leader="dot"/>
            </w:tabs>
            <w:rPr/>
          </w:pPr>
          <w:hyperlink w:anchor="__RefHeading___Toc12612_1161306186">
            <w:r>
              <w:rPr>
                <w:webHidden/>
                <w:rStyle w:val="IndexLink"/>
              </w:rPr>
              <w:t>8.7 Remittance and insurer accounting</w:t>
              <w:tab/>
              <w:t>33</w:t>
            </w:r>
          </w:hyperlink>
        </w:p>
        <w:p>
          <w:pPr>
            <w:pStyle w:val="TOC2"/>
            <w:tabs>
              <w:tab w:val="clear" w:pos="900"/>
              <w:tab w:val="clear" w:pos="9350"/>
              <w:tab w:val="right" w:pos="9025" w:leader="dot"/>
            </w:tabs>
            <w:rPr/>
          </w:pPr>
          <w:hyperlink w:anchor="__RefHeading___Toc12614_1161306186">
            <w:r>
              <w:rPr>
                <w:webHidden/>
                <w:rStyle w:val="IndexLink"/>
              </w:rPr>
              <w:t>8.8 Commission</w:t>
              <w:tab/>
              <w:t>33</w:t>
            </w:r>
          </w:hyperlink>
        </w:p>
        <w:p>
          <w:pPr>
            <w:pStyle w:val="TOC2"/>
            <w:tabs>
              <w:tab w:val="clear" w:pos="900"/>
              <w:tab w:val="clear" w:pos="9350"/>
              <w:tab w:val="right" w:pos="9025" w:leader="dot"/>
            </w:tabs>
            <w:rPr/>
          </w:pPr>
          <w:hyperlink w:anchor="__RefHeading___Toc12616_1161306186">
            <w:r>
              <w:rPr>
                <w:webHidden/>
                <w:rStyle w:val="IndexLink"/>
              </w:rPr>
              <w:t>8.9 Claims</w:t>
              <w:tab/>
              <w:t>34</w:t>
            </w:r>
          </w:hyperlink>
        </w:p>
        <w:p>
          <w:pPr>
            <w:pStyle w:val="TOC2"/>
            <w:tabs>
              <w:tab w:val="clear" w:pos="900"/>
              <w:tab w:val="clear" w:pos="9350"/>
              <w:tab w:val="right" w:pos="9025" w:leader="dot"/>
            </w:tabs>
            <w:rPr/>
          </w:pPr>
          <w:hyperlink w:anchor="__RefHeading___Toc12618_1161306186">
            <w:r>
              <w:rPr>
                <w:webHidden/>
                <w:rStyle w:val="IndexLink"/>
              </w:rPr>
              <w:t>8.10 Renewals</w:t>
              <w:tab/>
              <w:t>34</w:t>
            </w:r>
          </w:hyperlink>
        </w:p>
        <w:p>
          <w:pPr>
            <w:pStyle w:val="TOC2"/>
            <w:tabs>
              <w:tab w:val="clear" w:pos="900"/>
              <w:tab w:val="clear" w:pos="9350"/>
              <w:tab w:val="right" w:pos="9025" w:leader="dot"/>
            </w:tabs>
            <w:rPr/>
          </w:pPr>
          <w:hyperlink w:anchor="__RefHeading___Toc12620_1161306186">
            <w:r>
              <w:rPr>
                <w:webHidden/>
                <w:rStyle w:val="IndexLink"/>
              </w:rPr>
              <w:t>8.11 General ledger and period end</w:t>
              <w:tab/>
              <w:t>34</w:t>
            </w:r>
          </w:hyperlink>
        </w:p>
        <w:p>
          <w:pPr>
            <w:pStyle w:val="TOC2"/>
            <w:tabs>
              <w:tab w:val="clear" w:pos="900"/>
              <w:tab w:val="clear" w:pos="9350"/>
              <w:tab w:val="right" w:pos="9025" w:leader="dot"/>
            </w:tabs>
            <w:rPr/>
          </w:pPr>
          <w:hyperlink w:anchor="__RefHeading___Toc12622_1161306186">
            <w:r>
              <w:rPr>
                <w:webHidden/>
                <w:rStyle w:val="IndexLink"/>
              </w:rPr>
              <w:t>8.12 Bank and insurer reconciliation</w:t>
              <w:tab/>
              <w:t>35</w:t>
            </w:r>
          </w:hyperlink>
        </w:p>
        <w:p>
          <w:pPr>
            <w:pStyle w:val="TOC2"/>
            <w:tabs>
              <w:tab w:val="clear" w:pos="900"/>
              <w:tab w:val="clear" w:pos="9350"/>
              <w:tab w:val="right" w:pos="9025" w:leader="dot"/>
            </w:tabs>
            <w:rPr/>
          </w:pPr>
          <w:hyperlink w:anchor="__RefHeading___Toc12624_1161306186">
            <w:r>
              <w:rPr>
                <w:webHidden/>
                <w:rStyle w:val="IndexLink"/>
              </w:rPr>
              <w:t>8.13 Credit control</w:t>
              <w:tab/>
              <w:t>36</w:t>
            </w:r>
          </w:hyperlink>
        </w:p>
        <w:p>
          <w:pPr>
            <w:pStyle w:val="TOC2"/>
            <w:tabs>
              <w:tab w:val="clear" w:pos="900"/>
              <w:tab w:val="clear" w:pos="9350"/>
              <w:tab w:val="right" w:pos="9025" w:leader="dot"/>
            </w:tabs>
            <w:rPr/>
          </w:pPr>
          <w:hyperlink w:anchor="__RefHeading___Toc12626_1161306186">
            <w:r>
              <w:rPr>
                <w:webHidden/>
                <w:rStyle w:val="IndexLink"/>
              </w:rPr>
              <w:t>8.14 Reinsurance</w:t>
              <w:tab/>
              <w:t>37</w:t>
            </w:r>
          </w:hyperlink>
        </w:p>
        <w:p>
          <w:pPr>
            <w:pStyle w:val="TOC2"/>
            <w:tabs>
              <w:tab w:val="clear" w:pos="900"/>
              <w:tab w:val="clear" w:pos="9350"/>
              <w:tab w:val="right" w:pos="9025" w:leader="dot"/>
            </w:tabs>
            <w:rPr/>
          </w:pPr>
          <w:hyperlink w:anchor="__RefHeading___Toc12628_1161306186">
            <w:r>
              <w:rPr>
                <w:webHidden/>
                <w:rStyle w:val="IndexLink"/>
              </w:rPr>
              <w:t>8.15 Incentives</w:t>
              <w:tab/>
              <w:t>37</w:t>
            </w:r>
          </w:hyperlink>
        </w:p>
        <w:p>
          <w:pPr>
            <w:pStyle w:val="TOC2"/>
            <w:tabs>
              <w:tab w:val="clear" w:pos="900"/>
              <w:tab w:val="clear" w:pos="9350"/>
              <w:tab w:val="right" w:pos="9025" w:leader="dot"/>
            </w:tabs>
            <w:rPr/>
          </w:pPr>
          <w:hyperlink w:anchor="__RefHeading___Toc12630_1161306186">
            <w:r>
              <w:rPr>
                <w:webHidden/>
                <w:rStyle w:val="IndexLink"/>
              </w:rPr>
              <w:t>8.16 Security and audit</w:t>
              <w:tab/>
              <w:t>37</w:t>
            </w:r>
          </w:hyperlink>
        </w:p>
        <w:p>
          <w:pPr>
            <w:pStyle w:val="TOC2"/>
            <w:tabs>
              <w:tab w:val="clear" w:pos="900"/>
              <w:tab w:val="clear" w:pos="9350"/>
              <w:tab w:val="right" w:pos="9025" w:leader="dot"/>
            </w:tabs>
            <w:rPr/>
          </w:pPr>
          <w:hyperlink w:anchor="__RefHeading___Toc12632_1161306186">
            <w:r>
              <w:rPr>
                <w:webHidden/>
                <w:rStyle w:val="IndexLink"/>
              </w:rPr>
              <w:t>8.17 Configuration and schedules</w:t>
              <w:tab/>
              <w:t>38</w:t>
            </w:r>
          </w:hyperlink>
        </w:p>
        <w:p>
          <w:pPr>
            <w:pStyle w:val="TOC1"/>
            <w:tabs>
              <w:tab w:val="clear" w:pos="900"/>
              <w:tab w:val="clear" w:pos="9350"/>
              <w:tab w:val="right" w:pos="9025" w:leader="dot"/>
            </w:tabs>
            <w:rPr/>
          </w:pPr>
          <w:hyperlink w:anchor="__RefHeading___Toc12634_1161306186">
            <w:r>
              <w:rPr>
                <w:webHidden/>
                <w:rStyle w:val="IndexLink"/>
                <w:i w:val="false"/>
                <w:iCs w:val="false"/>
              </w:rPr>
              <w:t>9. Document Sign-Off</w:t>
            </w:r>
            <w:r>
              <w:rPr>
                <w:rStyle w:val="IndexLink"/>
              </w:rPr>
              <w:tab/>
              <w:t>40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2510_116130618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2512_116130618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2514_1161306186"/>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12516_1161306186"/>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(80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0216_claim_settlement_repair_shop.sql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catalogue of a fully migrated and loaded PostgreSQL test database (</w:t>
      </w:r>
      <w:r>
        <w:rPr>
          <w:rFonts w:eastAsia="Consolas" w:cs="Consolas" w:ascii="Consolas" w:hAnsi="Consolas"/>
          <w:color w:val="101820"/>
          <w:sz w:val="19"/>
        </w:rPr>
        <w:t>golive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and in the workbook are those of the loaded test database, which holds reference data and the sample data set. They show the relative weight of the tables, not production volumes. A production database starts with reference data only.</w:t>
      </w:r>
    </w:p>
    <w:p>
      <w:pPr>
        <w:pStyle w:val="Heading2"/>
        <w:rPr/>
      </w:pPr>
      <w:bookmarkStart w:id="8" w:name="__RefHeading___Toc12518_1161306186"/>
      <w:bookmarkEnd w:id="8"/>
      <w:r>
        <w:rPr>
          <w:rFonts w:eastAsia="Segoe UI" w:cs="Segoe UI"/>
          <w:b/>
          <w:color w:val="0F4761"/>
          <w:sz w:val="26"/>
        </w:rPr>
        <w:t>3.2  The companion workbook</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in the test database, number of columns, the migration that created it, retention class and whether it holds personal data.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(2,797 rows): position, data type, length or precision, nullable, default, primary key, foreign key target, uniqueness, personal data class, the migration that added it and a business description.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292 foreign keys: child and parent table and columns, delete and update rule, functional areas and whether an index supports the key.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520 indexes: kind, method, columns or expression and the condition of partial indexes.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404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12520_1161306186"/>
      <w:bookmarkEnd w:id="9"/>
      <w:r>
        <w:rPr>
          <w:rFonts w:eastAsia="Segoe UI" w:cs="Segoe UI"/>
          <w:b/>
          <w:color w:val="0F4761"/>
          <w:sz w:val="26"/>
        </w:rPr>
        <w:t>3.3  Database at a glance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(loaded test database)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(0001_core.sql to 0216_claim_settlement_repair_shop.sql)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2,756 in tables, 2,797 including the views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292 (244 no action, 44 cascade, 4 set null)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520 (167 primary keys, 111 further unique, 40 partial, 1 GIN)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174</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keys in 42 groups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7,669</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137 in 41 tables</w:t>
            </w:r>
          </w:p>
        </w:tc>
      </w:tr>
    </w:tbl>
    <w:p>
      <w:pPr>
        <w:pStyle w:val="Normal"/>
        <w:spacing w:before="0" w:after="80"/>
        <w:rPr/>
      </w:pPr>
      <w:r>
        <w:rPr/>
      </w:r>
      <w:r>
        <w:br w:type="page"/>
      </w:r>
    </w:p>
    <w:p>
      <w:pPr>
        <w:pStyle w:val="Heading1"/>
        <w:rPr/>
      </w:pPr>
      <w:bookmarkStart w:id="10" w:name="__RefHeading___Toc12522_1161306186"/>
      <w:bookmarkEnd w:id="10"/>
      <w:r>
        <w:rPr>
          <w:rFonts w:eastAsia="Segoe UI" w:cs="Segoe UI" w:ascii="Segoe UI" w:hAnsi="Segoe UI"/>
          <w:b/>
          <w:color w:val="0F4761"/>
          <w:sz w:val="32"/>
        </w:rPr>
        <w:t>4.  Conventions</w:t>
      </w:r>
    </w:p>
    <w:p>
      <w:pPr>
        <w:pStyle w:val="Heading2"/>
        <w:rPr/>
      </w:pPr>
      <w:bookmarkStart w:id="11" w:name="__RefHeading___Toc12524_1161306186"/>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12526_1161306186"/>
      <w:bookmarkEnd w:id="12"/>
      <w:r>
        <w:rPr>
          <w:rFonts w:eastAsia="Segoe UI" w:cs="Segoe UI"/>
          <w:b/>
          <w:color w:val="0F4761"/>
          <w:sz w:val="26"/>
        </w:rPr>
        <w:t>4.2  Identifiers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(61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(83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60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12528_1161306186"/>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232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61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PHP.</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12530_1161306186"/>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(120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(363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12532_1161306186"/>
      <w:bookmarkEnd w:id="15"/>
      <w:r>
        <w:rPr>
          <w:rFonts w:eastAsia="Segoe UI" w:cs="Segoe UI"/>
          <w:b/>
          <w:color w:val="0F4761"/>
          <w:sz w:val="26"/>
        </w:rPr>
        <w:t>4.5  Audit columns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12534_1161306186"/>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(110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12536_1161306186"/>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103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12538_1161306186"/>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292 foreign keys. 244 use no action: a referenced record cannot be deleted while it is used. 44 cascade: lines and histories that have no meaning without their parent (journal lines, receipt lines, claim history, renewal notices, role grants, match items). 4 set the reference to empty when the parent goes. 47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69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174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derive the normal balance of a GL account and mirror number series prefixes into settings.</w:t>
      </w:r>
    </w:p>
    <w:p>
      <w:pPr>
        <w:pStyle w:val="Heading2"/>
        <w:rPr/>
      </w:pPr>
      <w:bookmarkStart w:id="19" w:name="__RefHeading___Toc12540_1161306186"/>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r>
        <w:br w:type="page"/>
      </w:r>
    </w:p>
    <w:p>
      <w:pPr>
        <w:pStyle w:val="Heading1"/>
        <w:rPr/>
      </w:pPr>
      <w:bookmarkStart w:id="20" w:name="__RefHeading___Toc12542_1161306186"/>
      <w:bookmarkEnd w:id="20"/>
      <w:r>
        <w:rPr>
          <w:rFonts w:eastAsia="Segoe UI" w:cs="Segoe UI" w:ascii="Segoe UI" w:hAnsi="Segoe UI"/>
          <w:b/>
          <w:color w:val="0F4761"/>
          <w:sz w:val="32"/>
        </w:rPr>
        <w:t>5.  Data model by functional area</w:t>
      </w:r>
    </w:p>
    <w:p>
      <w:pPr>
        <w:pStyle w:val="Heading2"/>
        <w:rPr/>
      </w:pPr>
      <w:bookmarkStart w:id="21" w:name="__RefHeading___Toc12544_1161306186"/>
      <w:bookmarkEnd w:id="21"/>
      <w:r>
        <w:rPr>
          <w:rFonts w:eastAsia="Segoe UI" w:cs="Segoe UI"/>
          <w:b/>
          <w:color w:val="0F4761"/>
          <w:sz w:val="26"/>
        </w:rPr>
        <w:t>5.1  Overview</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r>
    </w:tbl>
    <w:p>
      <w:pPr>
        <w:pStyle w:val="Normal"/>
        <w:spacing w:before="0" w:after="80"/>
        <w:rPr/>
      </w:pPr>
      <w:r>
        <w:rPr/>
      </w:r>
    </w:p>
    <w:p>
      <w:pPr>
        <w:pStyle w:val="Heading2"/>
        <w:rPr/>
      </w:pPr>
      <w:bookmarkStart w:id="22" w:name="__RefHeading___Toc12546_1161306186"/>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 </w:t>
      </w:r>
      <w:r>
        <w:rPr>
          <w:rFonts w:eastAsia="Consolas" w:cs="Consolas" w:ascii="Consolas" w:hAnsi="Consolas"/>
          <w:color w:val="101820"/>
          <w:sz w:val="19"/>
        </w:rPr>
        <w:t>cities</w:t>
      </w:r>
      <w:r>
        <w:rPr>
          <w:rFonts w:eastAsia="Segoe UI" w:cs="Segoe UI" w:ascii="Segoe UI" w:hAnsi="Segoe UI"/>
          <w:color w:val="101820"/>
          <w:sz w:val="21"/>
        </w:rPr>
        <w:t xml:space="preserve"> → </w:t>
      </w:r>
      <w:r>
        <w:rPr>
          <w:rFonts w:eastAsia="Consolas" w:cs="Consolas" w:ascii="Consolas" w:hAnsi="Consolas"/>
          <w:color w:val="101820"/>
          <w:sz w:val="19"/>
        </w:rPr>
        <w:t>districts</w:t>
      </w:r>
      <w:r>
        <w:rPr>
          <w:rFonts w:eastAsia="Segoe UI" w:cs="Segoe UI" w:ascii="Segoe UI" w:hAnsi="Segoe UI"/>
          <w:color w:val="101820"/>
          <w:sz w:val="21"/>
        </w:rPr>
        <w:t xml:space="preserve">, and </w:t>
      </w:r>
      <w:r>
        <w:rPr>
          <w:rFonts w:eastAsia="Consolas" w:cs="Consolas" w:ascii="Consolas" w:hAnsi="Consolas"/>
          <w:color w:val="101820"/>
          <w:sz w:val="19"/>
        </w:rPr>
        <w:t>postal_codes</w:t>
      </w:r>
      <w:r>
        <w:rPr>
          <w:rFonts w:eastAsia="Segoe UI" w:cs="Segoe UI" w:ascii="Segoe UI" w:hAnsi="Segoe UI"/>
          <w:color w:val="101820"/>
          <w:sz w:val="21"/>
        </w:rPr>
        <w:t>) feed the address fields. Branches and signatories are printed on documents.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district within a city.</w:t>
            </w:r>
          </w:p>
        </w:tc>
      </w:tr>
    </w:tbl>
    <w:p>
      <w:pPr>
        <w:pStyle w:val="Normal"/>
        <w:spacing w:before="0" w:after="80"/>
        <w:rPr/>
      </w:pPr>
      <w:r>
        <w:rPr/>
      </w:r>
    </w:p>
    <w:p>
      <w:pPr>
        <w:pStyle w:val="Heading2"/>
        <w:rPr/>
      </w:pPr>
      <w:bookmarkStart w:id="23" w:name="__RefHeading___Toc12548_1161306186"/>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12550_1161306186"/>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12552_1161306186"/>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12554_1161306186"/>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bl>
    <w:p>
      <w:pPr>
        <w:pStyle w:val="Normal"/>
        <w:spacing w:before="0" w:after="80"/>
        <w:rPr/>
      </w:pPr>
      <w:r>
        <w:rPr/>
      </w:r>
    </w:p>
    <w:p>
      <w:pPr>
        <w:pStyle w:val="Heading2"/>
        <w:rPr/>
      </w:pPr>
      <w:bookmarkStart w:id="27" w:name="__RefHeading___Toc12556_1161306186"/>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bl>
    <w:p>
      <w:pPr>
        <w:pStyle w:val="Normal"/>
        <w:spacing w:before="0" w:after="80"/>
        <w:rPr/>
      </w:pPr>
      <w:r>
        <w:rPr/>
      </w:r>
    </w:p>
    <w:p>
      <w:pPr>
        <w:pStyle w:val="Heading2"/>
        <w:rPr/>
      </w:pPr>
      <w:bookmarkStart w:id="28" w:name="__RefHeading___Toc12558_1161306186"/>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remittance_delegations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items, approval requests and approval delegations.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12560_1161306186"/>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bl>
    <w:p>
      <w:pPr>
        <w:pStyle w:val="Normal"/>
        <w:spacing w:before="0" w:after="80"/>
        <w:rPr/>
      </w:pPr>
      <w:r>
        <w:rPr/>
      </w:r>
    </w:p>
    <w:p>
      <w:pPr>
        <w:pStyle w:val="Heading2"/>
        <w:rPr/>
      </w:pPr>
      <w:bookmarkStart w:id="30" w:name="__RefHeading___Toc12562_1161306186"/>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bl>
    <w:p>
      <w:pPr>
        <w:pStyle w:val="Normal"/>
        <w:spacing w:before="0" w:after="80"/>
        <w:rPr/>
      </w:pPr>
      <w:r>
        <w:rPr/>
      </w:r>
    </w:p>
    <w:p>
      <w:pPr>
        <w:pStyle w:val="Heading2"/>
        <w:rPr/>
      </w:pPr>
      <w:bookmarkStart w:id="31" w:name="__RefHeading___Toc12564_1161306186"/>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12566_1161306186"/>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12568_1161306186"/>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12570_1161306186"/>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12572_1161306186"/>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bl>
    <w:p>
      <w:pPr>
        <w:pStyle w:val="Normal"/>
        <w:spacing w:before="0" w:after="80"/>
        <w:rPr/>
      </w:pPr>
      <w:r>
        <w:rPr/>
      </w:r>
    </w:p>
    <w:p>
      <w:pPr>
        <w:pStyle w:val="Heading2"/>
        <w:rPr/>
      </w:pPr>
      <w:bookmarkStart w:id="36" w:name="__RefHeading___Toc12574_1161306186"/>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12576_1161306186"/>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12578_1161306186"/>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in 42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with base flag, decimals and exchange rate.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bl>
    <w:p>
      <w:pPr>
        <w:pStyle w:val="Normal"/>
        <w:spacing w:before="0" w:after="80"/>
        <w:rPr/>
      </w:pPr>
      <w:r>
        <w:rPr/>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bl>
    <w:p>
      <w:pPr>
        <w:pStyle w:val="Normal"/>
        <w:spacing w:before="0" w:after="80"/>
        <w:rPr/>
      </w:pPr>
      <w:r>
        <w:rPr/>
      </w:r>
      <w:r>
        <w:br w:type="page"/>
      </w:r>
    </w:p>
    <w:p>
      <w:pPr>
        <w:pStyle w:val="Heading1"/>
        <w:rPr/>
      </w:pPr>
      <w:bookmarkStart w:id="39" w:name="__RefHeading___Toc12580_1161306186"/>
      <w:bookmarkEnd w:id="39"/>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0" w:name="__RefHeading___Toc12582_1161306186"/>
      <w:bookmarkEnd w:id="40"/>
      <w:r>
        <w:rPr>
          <w:rFonts w:eastAsia="Segoe UI" w:cs="Segoe UI"/>
          <w:b/>
          <w:color w:val="0F4761"/>
          <w:sz w:val="26"/>
        </w:rPr>
        <w:t>6.1  Sales, placement and policy</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1" w:name="__RefHeading___Toc12584_1161306186"/>
      <w:bookmarkEnd w:id="41"/>
      <w:r>
        <w:rPr>
          <w:rFonts w:eastAsia="Segoe UI" w:cs="Segoe UI"/>
          <w:b/>
          <w:color w:val="0F4761"/>
          <w:sz w:val="26"/>
        </w:rPr>
        <w:t>6.2  Money and accounting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2" w:name="__RefHeading___Toc12586_1161306186"/>
      <w:bookmarkEnd w:id="42"/>
      <w:r>
        <w:rPr>
          <w:rFonts w:eastAsia="Segoe UI" w:cs="Segoe UI"/>
          <w:b/>
          <w:color w:val="0F4761"/>
          <w:sz w:val="26"/>
        </w:rPr>
        <w:t>6.3  Claims, renewals and other areas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r>
        <w:br w:type="page"/>
      </w:r>
    </w:p>
    <w:p>
      <w:pPr>
        <w:pStyle w:val="Heading1"/>
        <w:rPr/>
      </w:pPr>
      <w:bookmarkStart w:id="43" w:name="__RefHeading___Toc12588_1161306186"/>
      <w:bookmarkEnd w:id="43"/>
      <w:r>
        <w:rPr>
          <w:rFonts w:eastAsia="Segoe UI" w:cs="Segoe UI" w:ascii="Segoe UI" w:hAnsi="Segoe UI"/>
          <w:b/>
          <w:color w:val="0F4761"/>
          <w:sz w:val="32"/>
        </w:rPr>
        <w:t>7.  Personal data and retention</w:t>
      </w:r>
    </w:p>
    <w:p>
      <w:pPr>
        <w:pStyle w:val="Heading2"/>
        <w:rPr/>
      </w:pPr>
      <w:bookmarkStart w:id="44" w:name="__RefHeading___Toc12590_1161306186"/>
      <w:bookmarkEnd w:id="44"/>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referrers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for this document from the column names, their use in the code and the test data. The broker's Data Protection Officer should confirm it and record it in the register of processing activities.</w:t>
      </w:r>
    </w:p>
    <w:p>
      <w:pPr>
        <w:pStyle w:val="Heading2"/>
        <w:rPr/>
      </w:pPr>
      <w:bookmarkStart w:id="45" w:name="__RefHeading___Toc12592_1161306186"/>
      <w:bookmarkEnd w:id="45"/>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coverage_details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w:t>
            </w:r>
          </w:p>
        </w:tc>
      </w:tr>
    </w:tbl>
    <w:p>
      <w:pPr>
        <w:pStyle w:val="Normal"/>
        <w:spacing w:before="0" w:after="80"/>
        <w:rPr/>
      </w:pPr>
      <w:r>
        <w:rPr/>
      </w:r>
    </w:p>
    <w:p>
      <w:pPr>
        <w:pStyle w:val="Heading2"/>
        <w:rPr/>
      </w:pPr>
      <w:bookmarkStart w:id="46" w:name="__RefHeading___Toc12594_1161306186"/>
      <w:bookmarkEnd w:id="46"/>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The database has no column-level encryption or masking of client data; protection relies on database access control, encryption of the storage and of backups, and the application's permissions. See the Architecture, Infrastructure, Security and Privacy document.</w:t>
      </w:r>
    </w:p>
    <w:p>
      <w:pPr>
        <w:pStyle w:val="Heading2"/>
        <w:rPr/>
      </w:pPr>
      <w:bookmarkStart w:id="47" w:name="__RefHeading___Toc12596_1161306186"/>
      <w:bookmarkEnd w:id="47"/>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The system has two kinds of retention. Operational rows are deleted by the daily housekeeping job after the number of days set in System Settings &gt; Housekeeping (0 means keep forever). Business and financial records are never deleted by the system.</w:t>
      </w:r>
    </w:p>
    <w:tbl>
      <w:tblPr>
        <w:tblStyle w:val="TableGrid"/>
        <w:tblW w:w="90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7"/>
        <w:gridCol w:w="2257"/>
        <w:gridCol w:w="2257"/>
        <w:gridCol w:w="2256"/>
      </w:tblGrid>
      <w:tr>
        <w:trPr>
          <w:tblHeader w:val="true"/>
        </w:trPr>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The application has no anonymisation or erasure function for clients and leads; a data subject's request for erasure or blocking is handled by the support team with a reviewed database script, keeping the records that a statutory retention period still requires.</w:t>
      </w:r>
      <w:r>
        <w:br w:type="page"/>
      </w:r>
    </w:p>
    <w:p>
      <w:pPr>
        <w:pStyle w:val="Heading1"/>
        <w:rPr/>
      </w:pPr>
      <w:bookmarkStart w:id="48" w:name="__RefHeading___Toc12598_1161306186"/>
      <w:bookmarkEnd w:id="48"/>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in the loaded test database. The columns of each table are in the workbook, sheet Columns.</w:t>
      </w:r>
    </w:p>
    <w:p>
      <w:pPr>
        <w:pStyle w:val="Heading2"/>
        <w:rPr/>
      </w:pPr>
      <w:bookmarkStart w:id="49" w:name="__RefHeading___Toc12600_1161306186"/>
      <w:bookmarkEnd w:id="49"/>
      <w:r>
        <w:rPr>
          <w:rFonts w:eastAsia="Segoe UI" w:cs="Segoe UI"/>
          <w:b/>
          <w:color w:val="0F4761"/>
          <w:sz w:val="26"/>
        </w:rPr>
        <w:t>8.1  Party and client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Districts / barangays with postal code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 states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bl>
    <w:p>
      <w:pPr>
        <w:pStyle w:val="Normal"/>
        <w:spacing w:before="0" w:after="80"/>
        <w:rPr/>
      </w:pPr>
      <w:r>
        <w:rPr/>
      </w:r>
    </w:p>
    <w:p>
      <w:pPr>
        <w:pStyle w:val="Heading2"/>
        <w:rPr/>
      </w:pPr>
      <w:bookmarkStart w:id="50" w:name="__RefHeading___Toc12602_1161306186"/>
      <w:bookmarkEnd w:id="50"/>
      <w:r>
        <w:rPr>
          <w:rFonts w:eastAsia="Segoe UI" w:cs="Segoe UI"/>
          <w:b/>
          <w:color w:val="0F4761"/>
          <w:sz w:val="26"/>
        </w:rPr>
        <w:t>8.2  Product and rating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1" w:name="__RefHeading___Toc12604_1161306186"/>
      <w:bookmarkEnd w:id="51"/>
      <w:r>
        <w:rPr>
          <w:rFonts w:eastAsia="Segoe UI" w:cs="Segoe UI"/>
          <w:b/>
          <w:color w:val="0F4761"/>
          <w:sz w:val="26"/>
        </w:rPr>
        <w:t>8.3  Sales and quotation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bl>
    <w:p>
      <w:pPr>
        <w:pStyle w:val="Normal"/>
        <w:spacing w:before="0" w:after="80"/>
        <w:rPr/>
      </w:pPr>
      <w:r>
        <w:rPr/>
      </w:r>
    </w:p>
    <w:p>
      <w:pPr>
        <w:pStyle w:val="Heading2"/>
        <w:rPr/>
      </w:pPr>
      <w:bookmarkStart w:id="52" w:name="__RefHeading___Toc12606_1161306186"/>
      <w:bookmarkEnd w:id="52"/>
      <w:r>
        <w:rPr>
          <w:rFonts w:eastAsia="Segoe UI" w:cs="Segoe UI"/>
          <w:b/>
          <w:color w:val="0F4761"/>
          <w:sz w:val="26"/>
        </w:rPr>
        <w:t>8.4  Placement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w:t>
            </w:r>
          </w:p>
        </w:tc>
      </w:tr>
    </w:tbl>
    <w:p>
      <w:pPr>
        <w:pStyle w:val="Normal"/>
        <w:spacing w:before="0" w:after="80"/>
        <w:rPr/>
      </w:pPr>
      <w:r>
        <w:rPr/>
      </w:r>
    </w:p>
    <w:p>
      <w:pPr>
        <w:pStyle w:val="Heading2"/>
        <w:rPr/>
      </w:pPr>
      <w:bookmarkStart w:id="53" w:name="__RefHeading___Toc12608_1161306186"/>
      <w:bookmarkEnd w:id="53"/>
      <w:r>
        <w:rPr>
          <w:rFonts w:eastAsia="Segoe UI" w:cs="Segoe UI"/>
          <w:b/>
          <w:color w:val="0F4761"/>
          <w:sz w:val="26"/>
        </w:rPr>
        <w:t>8.5  Policy and endorsement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bl>
    <w:p>
      <w:pPr>
        <w:pStyle w:val="Normal"/>
        <w:spacing w:before="0" w:after="80"/>
        <w:rPr/>
      </w:pPr>
      <w:r>
        <w:rPr/>
      </w:r>
    </w:p>
    <w:p>
      <w:pPr>
        <w:pStyle w:val="Heading2"/>
        <w:rPr/>
      </w:pPr>
      <w:bookmarkStart w:id="54" w:name="__RefHeading___Toc12610_1161306186"/>
      <w:bookmarkEnd w:id="54"/>
      <w:r>
        <w:rPr>
          <w:rFonts w:eastAsia="Segoe UI" w:cs="Segoe UI"/>
          <w:b/>
          <w:color w:val="0F4761"/>
          <w:sz w:val="26"/>
        </w:rPr>
        <w:t>8.6  Billing, receipts and payments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55" w:name="__RefHeading___Toc12612_1161306186"/>
      <w:bookmarkEnd w:id="55"/>
      <w:r>
        <w:rPr>
          <w:rFonts w:eastAsia="Segoe UI" w:cs="Segoe UI"/>
          <w:b/>
          <w:color w:val="0F4761"/>
          <w:sz w:val="26"/>
        </w:rPr>
        <w:t>8.7  Remittance and insurer accounting</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delegations (period, transaction types, amount limit)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bl>
    <w:p>
      <w:pPr>
        <w:pStyle w:val="Normal"/>
        <w:spacing w:before="0" w:after="80"/>
        <w:rPr/>
      </w:pPr>
      <w:r>
        <w:rPr/>
      </w:r>
    </w:p>
    <w:p>
      <w:pPr>
        <w:pStyle w:val="Heading2"/>
        <w:rPr/>
      </w:pPr>
      <w:bookmarkStart w:id="56" w:name="__RefHeading___Toc12614_1161306186"/>
      <w:bookmarkEnd w:id="56"/>
      <w:r>
        <w:rPr>
          <w:rFonts w:eastAsia="Segoe UI" w:cs="Segoe UI"/>
          <w:b/>
          <w:color w:val="0F4761"/>
          <w:sz w:val="26"/>
        </w:rPr>
        <w:t>8.8  Commission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p>
    <w:p>
      <w:pPr>
        <w:pStyle w:val="Heading2"/>
        <w:rPr/>
      </w:pPr>
      <w:bookmarkStart w:id="57" w:name="__RefHeading___Toc12616_1161306186"/>
      <w:bookmarkEnd w:id="57"/>
      <w:r>
        <w:rPr>
          <w:rFonts w:eastAsia="Segoe UI" w:cs="Segoe UI"/>
          <w:b/>
          <w:color w:val="0F4761"/>
          <w:sz w:val="26"/>
        </w:rPr>
        <w:t>8.9  Claims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Heading2"/>
        <w:rPr/>
      </w:pPr>
      <w:bookmarkStart w:id="58" w:name="__RefHeading___Toc12618_1161306186"/>
      <w:bookmarkEnd w:id="58"/>
      <w:r>
        <w:rPr>
          <w:rFonts w:eastAsia="Segoe UI" w:cs="Segoe UI"/>
          <w:b/>
          <w:color w:val="0F4761"/>
          <w:sz w:val="26"/>
        </w:rPr>
        <w:t>8.10  Renewals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12620_1161306186"/>
      <w:bookmarkEnd w:id="59"/>
      <w:r>
        <w:rPr>
          <w:rFonts w:eastAsia="Segoe UI" w:cs="Segoe UI"/>
          <w:b/>
          <w:color w:val="0F4761"/>
          <w:sz w:val="26"/>
        </w:rPr>
        <w:t>8.11  General ledger and period end</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12622_1161306186"/>
      <w:bookmarkEnd w:id="60"/>
      <w:r>
        <w:rPr>
          <w:rFonts w:eastAsia="Segoe UI" w:cs="Segoe UI"/>
          <w:b/>
          <w:color w:val="0F4761"/>
          <w:sz w:val="26"/>
        </w:rPr>
        <w:t>8.12  Bank and insurer reconciliation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152</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Heading2"/>
        <w:rPr/>
      </w:pPr>
      <w:bookmarkStart w:id="61" w:name="__RefHeading___Toc12624_1161306186"/>
      <w:bookmarkEnd w:id="61"/>
      <w:r>
        <w:rPr>
          <w:rFonts w:eastAsia="Segoe UI" w:cs="Segoe UI"/>
          <w:b/>
          <w:color w:val="0F4761"/>
          <w:sz w:val="26"/>
        </w:rPr>
        <w:t>8.13  Credit control</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12626_1161306186"/>
      <w:bookmarkEnd w:id="62"/>
      <w:r>
        <w:rPr>
          <w:rFonts w:eastAsia="Segoe UI" w:cs="Segoe UI"/>
          <w:b/>
          <w:color w:val="0F4761"/>
          <w:sz w:val="26"/>
        </w:rPr>
        <w:t>8.14  Reinsurance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63" w:name="__RefHeading___Toc12628_1161306186"/>
      <w:bookmarkEnd w:id="63"/>
      <w:r>
        <w:rPr>
          <w:rFonts w:eastAsia="Segoe UI" w:cs="Segoe UI"/>
          <w:b/>
          <w:color w:val="0F4761"/>
          <w:sz w:val="26"/>
        </w:rPr>
        <w:t>8.15  Incentives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bl>
    <w:p>
      <w:pPr>
        <w:pStyle w:val="Normal"/>
        <w:spacing w:before="0" w:after="80"/>
        <w:rPr/>
      </w:pPr>
      <w:r>
        <w:rPr/>
      </w:r>
    </w:p>
    <w:p>
      <w:pPr>
        <w:pStyle w:val="Heading2"/>
        <w:rPr/>
      </w:pPr>
      <w:bookmarkStart w:id="64" w:name="__RefHeading___Toc12630_1161306186"/>
      <w:bookmarkEnd w:id="64"/>
      <w:r>
        <w:rPr>
          <w:rFonts w:eastAsia="Segoe UI" w:cs="Segoe UI"/>
          <w:b/>
          <w:color w:val="0F4761"/>
          <w:sz w:val="26"/>
        </w:rPr>
        <w:t>8.16  Security and audit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1,515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bl>
    <w:p>
      <w:pPr>
        <w:pStyle w:val="Normal"/>
        <w:spacing w:before="0" w:after="80"/>
        <w:rPr/>
      </w:pPr>
      <w:r>
        <w:rPr/>
      </w:r>
    </w:p>
    <w:p>
      <w:pPr>
        <w:pStyle w:val="Heading2"/>
        <w:rPr/>
      </w:pPr>
      <w:bookmarkStart w:id="65" w:name="__RefHeading___Toc12632_1161306186"/>
      <w:bookmarkEnd w:id="65"/>
      <w:r>
        <w:rPr>
          <w:rFonts w:eastAsia="Segoe UI" w:cs="Segoe UI"/>
          <w:b/>
          <w:color w:val="0F4761"/>
          <w:sz w:val="26"/>
        </w:rPr>
        <w:t>8.17  Configuration and schedules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(base flag, decimals, exchange rate)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6" w:name="__RefHeading___Toc12634_1161306186"/>
      <w:bookmarkStart w:id="67" w:name="_Toc233203395"/>
      <w:bookmarkEnd w:id="66"/>
      <w:r>
        <w:rPr>
          <w:rStyle w:val="BookTitle"/>
          <w:bCs w:val="false"/>
          <w:i w:val="false"/>
          <w:iCs w:val="false"/>
          <w:spacing w:val="0"/>
        </w:rPr>
        <w:t>9.  Document Sign-Off</w:t>
      </w:r>
      <w:bookmarkEnd w:id="6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2026-10-03T16:41:39Z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