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Production Support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Production Support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Approach and Standards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Approach and Standards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354_313810193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3356_313810193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3358_3138101934">
            <w:r>
              <w:rPr>
                <w:webHidden/>
                <w:rStyle w:val="IndexLink"/>
              </w:rPr>
              <w:t>3. Introduction</w:t>
              <w:tab/>
              <w:t>5</w:t>
            </w:r>
          </w:hyperlink>
        </w:p>
        <w:p>
          <w:pPr>
            <w:pStyle w:val="TOC2"/>
            <w:tabs>
              <w:tab w:val="clear" w:pos="900"/>
              <w:tab w:val="clear" w:pos="9350"/>
              <w:tab w:val="right" w:pos="9025" w:leader="dot"/>
            </w:tabs>
            <w:rPr/>
          </w:pPr>
          <w:hyperlink w:anchor="__RefHeading___Toc3360_3138101934">
            <w:r>
              <w:rPr>
                <w:webHidden/>
                <w:rStyle w:val="IndexLink"/>
              </w:rPr>
              <w:t>3.1 Purpose</w:t>
              <w:tab/>
              <w:t>5</w:t>
            </w:r>
          </w:hyperlink>
        </w:p>
        <w:p>
          <w:pPr>
            <w:pStyle w:val="TOC2"/>
            <w:tabs>
              <w:tab w:val="clear" w:pos="900"/>
              <w:tab w:val="clear" w:pos="9350"/>
              <w:tab w:val="right" w:pos="9025" w:leader="dot"/>
            </w:tabs>
            <w:rPr/>
          </w:pPr>
          <w:hyperlink w:anchor="__RefHeading___Toc3362_3138101934">
            <w:r>
              <w:rPr>
                <w:webHidden/>
                <w:rStyle w:val="IndexLink"/>
              </w:rPr>
              <w:t>3.2 Audience</w:t>
              <w:tab/>
              <w:t>5</w:t>
            </w:r>
          </w:hyperlink>
        </w:p>
        <w:p>
          <w:pPr>
            <w:pStyle w:val="TOC2"/>
            <w:tabs>
              <w:tab w:val="clear" w:pos="900"/>
              <w:tab w:val="clear" w:pos="9350"/>
              <w:tab w:val="right" w:pos="9025" w:leader="dot"/>
            </w:tabs>
            <w:rPr/>
          </w:pPr>
          <w:hyperlink w:anchor="__RefHeading___Toc3364_3138101934">
            <w:r>
              <w:rPr>
                <w:webHidden/>
                <w:rStyle w:val="IndexLink"/>
              </w:rPr>
              <w:t>3.3 Reference material</w:t>
              <w:tab/>
              <w:t>5</w:t>
            </w:r>
          </w:hyperlink>
        </w:p>
        <w:p>
          <w:pPr>
            <w:pStyle w:val="TOC1"/>
            <w:tabs>
              <w:tab w:val="clear" w:pos="900"/>
              <w:tab w:val="clear" w:pos="9350"/>
              <w:tab w:val="right" w:pos="9025" w:leader="dot"/>
            </w:tabs>
            <w:rPr/>
          </w:pPr>
          <w:hyperlink w:anchor="__RefHeading___Toc3366_3138101934">
            <w:r>
              <w:rPr>
                <w:webHidden/>
                <w:rStyle w:val="IndexLink"/>
              </w:rPr>
              <w:t>4. Support model</w:t>
              <w:tab/>
              <w:t>6</w:t>
            </w:r>
          </w:hyperlink>
        </w:p>
        <w:p>
          <w:pPr>
            <w:pStyle w:val="TOC2"/>
            <w:tabs>
              <w:tab w:val="clear" w:pos="900"/>
              <w:tab w:val="clear" w:pos="9350"/>
              <w:tab w:val="right" w:pos="9025" w:leader="dot"/>
            </w:tabs>
            <w:rPr/>
          </w:pPr>
          <w:hyperlink w:anchor="__RefHeading___Toc3368_3138101934">
            <w:r>
              <w:rPr>
                <w:webHidden/>
                <w:rStyle w:val="IndexLink"/>
              </w:rPr>
              <w:t>4.1 Levels</w:t>
              <w:tab/>
              <w:t>6</w:t>
            </w:r>
          </w:hyperlink>
        </w:p>
        <w:p>
          <w:pPr>
            <w:pStyle w:val="TOC2"/>
            <w:tabs>
              <w:tab w:val="clear" w:pos="900"/>
              <w:tab w:val="clear" w:pos="9350"/>
              <w:tab w:val="right" w:pos="9025" w:leader="dot"/>
            </w:tabs>
            <w:rPr/>
          </w:pPr>
          <w:hyperlink w:anchor="__RefHeading___Toc3370_3138101934">
            <w:r>
              <w:rPr>
                <w:webHidden/>
                <w:rStyle w:val="IndexLink"/>
              </w:rPr>
              <w:t>4.2 Responsibilities of L1</w:t>
              <w:tab/>
              <w:t>6</w:t>
            </w:r>
          </w:hyperlink>
        </w:p>
        <w:p>
          <w:pPr>
            <w:pStyle w:val="TOC2"/>
            <w:tabs>
              <w:tab w:val="clear" w:pos="900"/>
              <w:tab w:val="clear" w:pos="9350"/>
              <w:tab w:val="right" w:pos="9025" w:leader="dot"/>
            </w:tabs>
            <w:rPr/>
          </w:pPr>
          <w:hyperlink w:anchor="__RefHeading___Toc3372_3138101934">
            <w:r>
              <w:rPr>
                <w:webHidden/>
                <w:rStyle w:val="IndexLink"/>
              </w:rPr>
              <w:t>4.3 Service desk</w:t>
              <w:tab/>
              <w:t>6</w:t>
            </w:r>
          </w:hyperlink>
        </w:p>
        <w:p>
          <w:pPr>
            <w:pStyle w:val="TOC1"/>
            <w:tabs>
              <w:tab w:val="clear" w:pos="900"/>
              <w:tab w:val="clear" w:pos="9350"/>
              <w:tab w:val="right" w:pos="9025" w:leader="dot"/>
            </w:tabs>
            <w:rPr/>
          </w:pPr>
          <w:hyperlink w:anchor="__RefHeading___Toc3374_3138101934">
            <w:r>
              <w:rPr>
                <w:webHidden/>
                <w:rStyle w:val="IndexLink"/>
              </w:rPr>
              <w:t>5. Service hours</w:t>
              <w:tab/>
              <w:t>7</w:t>
            </w:r>
          </w:hyperlink>
        </w:p>
        <w:p>
          <w:pPr>
            <w:pStyle w:val="TOC1"/>
            <w:tabs>
              <w:tab w:val="clear" w:pos="900"/>
              <w:tab w:val="clear" w:pos="9350"/>
              <w:tab w:val="right" w:pos="9025" w:leader="dot"/>
            </w:tabs>
            <w:rPr/>
          </w:pPr>
          <w:hyperlink w:anchor="__RefHeading___Toc3376_3138101934">
            <w:r>
              <w:rPr>
                <w:webHidden/>
                <w:rStyle w:val="IndexLink"/>
              </w:rPr>
              <w:t>6. Severity levels and targets</w:t>
              <w:tab/>
              <w:t>8</w:t>
            </w:r>
          </w:hyperlink>
        </w:p>
        <w:p>
          <w:pPr>
            <w:pStyle w:val="TOC2"/>
            <w:tabs>
              <w:tab w:val="clear" w:pos="900"/>
              <w:tab w:val="clear" w:pos="9350"/>
              <w:tab w:val="right" w:pos="9025" w:leader="dot"/>
            </w:tabs>
            <w:rPr/>
          </w:pPr>
          <w:hyperlink w:anchor="__RefHeading___Toc3378_3138101934">
            <w:r>
              <w:rPr>
                <w:webHidden/>
                <w:rStyle w:val="IndexLink"/>
              </w:rPr>
              <w:t>6.1 Definitions</w:t>
              <w:tab/>
              <w:t>8</w:t>
            </w:r>
          </w:hyperlink>
        </w:p>
        <w:p>
          <w:pPr>
            <w:pStyle w:val="TOC2"/>
            <w:tabs>
              <w:tab w:val="clear" w:pos="900"/>
              <w:tab w:val="clear" w:pos="9350"/>
              <w:tab w:val="right" w:pos="9025" w:leader="dot"/>
            </w:tabs>
            <w:rPr/>
          </w:pPr>
          <w:hyperlink w:anchor="__RefHeading___Toc3380_3138101934">
            <w:r>
              <w:rPr>
                <w:webHidden/>
                <w:rStyle w:val="IndexLink"/>
              </w:rPr>
              <w:t>6.2 Targets</w:t>
              <w:tab/>
              <w:t>8</w:t>
            </w:r>
          </w:hyperlink>
        </w:p>
        <w:p>
          <w:pPr>
            <w:pStyle w:val="TOC1"/>
            <w:tabs>
              <w:tab w:val="clear" w:pos="900"/>
              <w:tab w:val="clear" w:pos="9350"/>
              <w:tab w:val="right" w:pos="9025" w:leader="dot"/>
            </w:tabs>
            <w:rPr/>
          </w:pPr>
          <w:hyperlink w:anchor="__RefHeading___Toc3382_3138101934">
            <w:r>
              <w:rPr>
                <w:webHidden/>
                <w:rStyle w:val="IndexLink"/>
              </w:rPr>
              <w:t>7. Ticket workflow</w:t>
              <w:tab/>
              <w:t>9</w:t>
            </w:r>
          </w:hyperlink>
        </w:p>
        <w:p>
          <w:pPr>
            <w:pStyle w:val="TOC2"/>
            <w:tabs>
              <w:tab w:val="clear" w:pos="900"/>
              <w:tab w:val="clear" w:pos="9350"/>
              <w:tab w:val="right" w:pos="9025" w:leader="dot"/>
            </w:tabs>
            <w:rPr/>
          </w:pPr>
          <w:hyperlink w:anchor="__RefHeading___Toc3384_3138101934">
            <w:r>
              <w:rPr>
                <w:webHidden/>
                <w:rStyle w:val="IndexLink"/>
              </w:rPr>
              <w:t>7.1 Minimum content of a ticket</w:t>
              <w:tab/>
              <w:t>9</w:t>
            </w:r>
          </w:hyperlink>
        </w:p>
        <w:p>
          <w:pPr>
            <w:pStyle w:val="TOC2"/>
            <w:tabs>
              <w:tab w:val="clear" w:pos="900"/>
              <w:tab w:val="clear" w:pos="9350"/>
              <w:tab w:val="right" w:pos="9025" w:leader="dot"/>
            </w:tabs>
            <w:rPr/>
          </w:pPr>
          <w:hyperlink w:anchor="__RefHeading___Toc3386_3138101934">
            <w:r>
              <w:rPr>
                <w:webHidden/>
                <w:rStyle w:val="IndexLink"/>
              </w:rPr>
              <w:t>7.2 Statuses</w:t>
              <w:tab/>
              <w:t>9</w:t>
            </w:r>
          </w:hyperlink>
        </w:p>
        <w:p>
          <w:pPr>
            <w:pStyle w:val="TOC2"/>
            <w:tabs>
              <w:tab w:val="clear" w:pos="900"/>
              <w:tab w:val="clear" w:pos="9350"/>
              <w:tab w:val="right" w:pos="9025" w:leader="dot"/>
            </w:tabs>
            <w:rPr/>
          </w:pPr>
          <w:hyperlink w:anchor="__RefHeading___Toc3388_3138101934">
            <w:r>
              <w:rPr>
                <w:webHidden/>
                <w:rStyle w:val="IndexLink"/>
              </w:rPr>
              <w:t>7.3 Triage steps at L2</w:t>
              <w:tab/>
              <w:t>9</w:t>
            </w:r>
          </w:hyperlink>
        </w:p>
        <w:p>
          <w:pPr>
            <w:pStyle w:val="TOC1"/>
            <w:tabs>
              <w:tab w:val="clear" w:pos="900"/>
              <w:tab w:val="clear" w:pos="9350"/>
              <w:tab w:val="right" w:pos="9025" w:leader="dot"/>
            </w:tabs>
            <w:rPr/>
          </w:pPr>
          <w:hyperlink w:anchor="__RefHeading___Toc3390_3138101934">
            <w:r>
              <w:rPr>
                <w:webHidden/>
                <w:rStyle w:val="IndexLink"/>
              </w:rPr>
              <w:t>8. Escalation matrix</w:t>
              <w:tab/>
              <w:t>11</w:t>
            </w:r>
          </w:hyperlink>
        </w:p>
        <w:p>
          <w:pPr>
            <w:pStyle w:val="TOC1"/>
            <w:tabs>
              <w:tab w:val="clear" w:pos="900"/>
              <w:tab w:val="clear" w:pos="9350"/>
              <w:tab w:val="right" w:pos="9025" w:leader="dot"/>
            </w:tabs>
            <w:rPr/>
          </w:pPr>
          <w:hyperlink w:anchor="__RefHeading___Toc3392_3138101934">
            <w:r>
              <w:rPr>
                <w:webHidden/>
                <w:rStyle w:val="IndexLink"/>
              </w:rPr>
              <w:t>9. Problem management</w:t>
              <w:tab/>
              <w:t>12</w:t>
            </w:r>
          </w:hyperlink>
        </w:p>
        <w:p>
          <w:pPr>
            <w:pStyle w:val="TOC1"/>
            <w:tabs>
              <w:tab w:val="clear" w:pos="900"/>
              <w:tab w:val="clear" w:pos="9350"/>
              <w:tab w:val="right" w:pos="9025" w:leader="dot"/>
            </w:tabs>
            <w:rPr/>
          </w:pPr>
          <w:hyperlink w:anchor="__RefHeading___Toc3394_3138101934">
            <w:r>
              <w:rPr>
                <w:webHidden/>
                <w:rStyle w:val="IndexLink"/>
              </w:rPr>
              <w:t>10. Change management</w:t>
              <w:tab/>
              <w:t>13</w:t>
            </w:r>
          </w:hyperlink>
        </w:p>
        <w:p>
          <w:pPr>
            <w:pStyle w:val="TOC2"/>
            <w:tabs>
              <w:tab w:val="clear" w:pos="900"/>
              <w:tab w:val="clear" w:pos="9350"/>
              <w:tab w:val="right" w:pos="9025" w:leader="dot"/>
            </w:tabs>
            <w:rPr/>
          </w:pPr>
          <w:hyperlink w:anchor="__RefHeading___Toc3396_3138101934">
            <w:r>
              <w:rPr>
                <w:webHidden/>
                <w:rStyle w:val="IndexLink"/>
              </w:rPr>
              <w:t>10.1 Types of change</w:t>
              <w:tab/>
              <w:t>13</w:t>
            </w:r>
          </w:hyperlink>
        </w:p>
        <w:p>
          <w:pPr>
            <w:pStyle w:val="TOC2"/>
            <w:tabs>
              <w:tab w:val="clear" w:pos="900"/>
              <w:tab w:val="clear" w:pos="9350"/>
              <w:tab w:val="right" w:pos="9025" w:leader="dot"/>
            </w:tabs>
            <w:rPr/>
          </w:pPr>
          <w:hyperlink w:anchor="__RefHeading___Toc3398_3138101934">
            <w:r>
              <w:rPr>
                <w:webHidden/>
                <w:rStyle w:val="IndexLink"/>
              </w:rPr>
              <w:t>10.2 Configuration changes in production</w:t>
              <w:tab/>
              <w:t>13</w:t>
            </w:r>
          </w:hyperlink>
        </w:p>
        <w:p>
          <w:pPr>
            <w:pStyle w:val="TOC2"/>
            <w:tabs>
              <w:tab w:val="clear" w:pos="900"/>
              <w:tab w:val="clear" w:pos="9350"/>
              <w:tab w:val="right" w:pos="9025" w:leader="dot"/>
            </w:tabs>
            <w:rPr/>
          </w:pPr>
          <w:hyperlink w:anchor="__RefHeading___Toc3400_3138101934">
            <w:r>
              <w:rPr>
                <w:webHidden/>
                <w:rStyle w:val="IndexLink"/>
              </w:rPr>
              <w:t>10.3 Data corrections</w:t>
              <w:tab/>
              <w:t>13</w:t>
            </w:r>
          </w:hyperlink>
        </w:p>
        <w:p>
          <w:pPr>
            <w:pStyle w:val="TOC1"/>
            <w:tabs>
              <w:tab w:val="clear" w:pos="900"/>
              <w:tab w:val="clear" w:pos="9350"/>
              <w:tab w:val="right" w:pos="9025" w:leader="dot"/>
            </w:tabs>
            <w:rPr/>
          </w:pPr>
          <w:hyperlink w:anchor="__RefHeading___Toc3402_3138101934">
            <w:r>
              <w:rPr>
                <w:webHidden/>
                <w:rStyle w:val="IndexLink"/>
              </w:rPr>
              <w:t>11. Release management and patching</w:t>
              <w:tab/>
              <w:t>14</w:t>
            </w:r>
          </w:hyperlink>
        </w:p>
        <w:p>
          <w:pPr>
            <w:pStyle w:val="TOC2"/>
            <w:tabs>
              <w:tab w:val="clear" w:pos="900"/>
              <w:tab w:val="clear" w:pos="9350"/>
              <w:tab w:val="right" w:pos="9025" w:leader="dot"/>
            </w:tabs>
            <w:rPr/>
          </w:pPr>
          <w:hyperlink w:anchor="__RefHeading___Toc3404_3138101934">
            <w:r>
              <w:rPr>
                <w:webHidden/>
                <w:rStyle w:val="IndexLink"/>
              </w:rPr>
              <w:t>11.1 Releases</w:t>
              <w:tab/>
              <w:t>14</w:t>
            </w:r>
          </w:hyperlink>
        </w:p>
        <w:p>
          <w:pPr>
            <w:pStyle w:val="TOC2"/>
            <w:tabs>
              <w:tab w:val="clear" w:pos="900"/>
              <w:tab w:val="clear" w:pos="9350"/>
              <w:tab w:val="right" w:pos="9025" w:leader="dot"/>
            </w:tabs>
            <w:rPr/>
          </w:pPr>
          <w:hyperlink w:anchor="__RefHeading___Toc3406_3138101934">
            <w:r>
              <w:rPr>
                <w:webHidden/>
                <w:rStyle w:val="IndexLink"/>
              </w:rPr>
              <w:t>11.2 Patching</w:t>
              <w:tab/>
              <w:t>14</w:t>
            </w:r>
          </w:hyperlink>
        </w:p>
        <w:p>
          <w:pPr>
            <w:pStyle w:val="TOC1"/>
            <w:tabs>
              <w:tab w:val="clear" w:pos="900"/>
              <w:tab w:val="clear" w:pos="9350"/>
              <w:tab w:val="right" w:pos="9025" w:leader="dot"/>
            </w:tabs>
            <w:rPr/>
          </w:pPr>
          <w:hyperlink w:anchor="__RefHeading___Toc3408_3138101934">
            <w:r>
              <w:rPr>
                <w:webHidden/>
                <w:rStyle w:val="IndexLink"/>
              </w:rPr>
              <w:t>12. Monitoring and health checks</w:t>
              <w:tab/>
              <w:t>15</w:t>
            </w:r>
          </w:hyperlink>
        </w:p>
        <w:p>
          <w:pPr>
            <w:pStyle w:val="TOC1"/>
            <w:tabs>
              <w:tab w:val="clear" w:pos="900"/>
              <w:tab w:val="clear" w:pos="9350"/>
              <w:tab w:val="right" w:pos="9025" w:leader="dot"/>
            </w:tabs>
            <w:rPr/>
          </w:pPr>
          <w:hyperlink w:anchor="__RefHeading___Toc3410_3138101934">
            <w:r>
              <w:rPr>
                <w:webHidden/>
                <w:rStyle w:val="IndexLink"/>
              </w:rPr>
              <w:t>13. Backup verification and DR drills</w:t>
              <w:tab/>
              <w:t>16</w:t>
            </w:r>
          </w:hyperlink>
        </w:p>
        <w:p>
          <w:pPr>
            <w:pStyle w:val="TOC2"/>
            <w:tabs>
              <w:tab w:val="clear" w:pos="900"/>
              <w:tab w:val="clear" w:pos="9350"/>
              <w:tab w:val="right" w:pos="9025" w:leader="dot"/>
            </w:tabs>
            <w:rPr/>
          </w:pPr>
          <w:hyperlink w:anchor="__RefHeading___Toc3412_3138101934">
            <w:r>
              <w:rPr>
                <w:webHidden/>
                <w:rStyle w:val="IndexLink"/>
              </w:rPr>
              <w:t>13.1 Backup verification</w:t>
              <w:tab/>
              <w:t>16</w:t>
            </w:r>
          </w:hyperlink>
        </w:p>
        <w:p>
          <w:pPr>
            <w:pStyle w:val="TOC2"/>
            <w:tabs>
              <w:tab w:val="clear" w:pos="900"/>
              <w:tab w:val="clear" w:pos="9350"/>
              <w:tab w:val="right" w:pos="9025" w:leader="dot"/>
            </w:tabs>
            <w:rPr/>
          </w:pPr>
          <w:hyperlink w:anchor="__RefHeading___Toc3414_3138101934">
            <w:r>
              <w:rPr>
                <w:webHidden/>
                <w:rStyle w:val="IndexLink"/>
              </w:rPr>
              <w:t>13.2 DR drills</w:t>
              <w:tab/>
              <w:t>16</w:t>
            </w:r>
          </w:hyperlink>
        </w:p>
        <w:p>
          <w:pPr>
            <w:pStyle w:val="TOC1"/>
            <w:tabs>
              <w:tab w:val="clear" w:pos="900"/>
              <w:tab w:val="clear" w:pos="9350"/>
              <w:tab w:val="right" w:pos="9025" w:leader="dot"/>
            </w:tabs>
            <w:rPr/>
          </w:pPr>
          <w:hyperlink w:anchor="__RefHeading___Toc3416_3138101934">
            <w:r>
              <w:rPr>
                <w:webHidden/>
                <w:rStyle w:val="IndexLink"/>
              </w:rPr>
              <w:t>14. Service reporting and KPIs</w:t>
              <w:tab/>
              <w:t>17</w:t>
            </w:r>
          </w:hyperlink>
        </w:p>
        <w:p>
          <w:pPr>
            <w:pStyle w:val="TOC2"/>
            <w:tabs>
              <w:tab w:val="clear" w:pos="900"/>
              <w:tab w:val="clear" w:pos="9350"/>
              <w:tab w:val="right" w:pos="9025" w:leader="dot"/>
            </w:tabs>
            <w:rPr/>
          </w:pPr>
          <w:hyperlink w:anchor="__RefHeading___Toc3418_3138101934">
            <w:r>
              <w:rPr>
                <w:webHidden/>
                <w:rStyle w:val="IndexLink"/>
              </w:rPr>
              <w:t>14.1 Monthly service report</w:t>
              <w:tab/>
              <w:t>17</w:t>
            </w:r>
          </w:hyperlink>
        </w:p>
        <w:p>
          <w:pPr>
            <w:pStyle w:val="TOC2"/>
            <w:tabs>
              <w:tab w:val="clear" w:pos="900"/>
              <w:tab w:val="clear" w:pos="9350"/>
              <w:tab w:val="right" w:pos="9025" w:leader="dot"/>
            </w:tabs>
            <w:rPr/>
          </w:pPr>
          <w:hyperlink w:anchor="__RefHeading___Toc3420_3138101934">
            <w:r>
              <w:rPr>
                <w:webHidden/>
                <w:rStyle w:val="IndexLink"/>
              </w:rPr>
              <w:t>14.2 KPIs</w:t>
              <w:tab/>
              <w:t>17</w:t>
            </w:r>
          </w:hyperlink>
        </w:p>
        <w:p>
          <w:pPr>
            <w:pStyle w:val="TOC1"/>
            <w:tabs>
              <w:tab w:val="clear" w:pos="900"/>
              <w:tab w:val="clear" w:pos="9350"/>
              <w:tab w:val="right" w:pos="9025" w:leader="dot"/>
            </w:tabs>
            <w:rPr/>
          </w:pPr>
          <w:hyperlink w:anchor="__RefHeading___Toc3422_3138101934">
            <w:r>
              <w:rPr>
                <w:webHidden/>
                <w:rStyle w:val="IndexLink"/>
              </w:rPr>
              <w:t>15. Knowledge base</w:t>
              <w:tab/>
              <w:t>18</w:t>
            </w:r>
          </w:hyperlink>
        </w:p>
        <w:p>
          <w:pPr>
            <w:pStyle w:val="TOC1"/>
            <w:tabs>
              <w:tab w:val="clear" w:pos="900"/>
              <w:tab w:val="clear" w:pos="9350"/>
              <w:tab w:val="right" w:pos="9025" w:leader="dot"/>
            </w:tabs>
            <w:rPr/>
          </w:pPr>
          <w:hyperlink w:anchor="__RefHeading___Toc3424_3138101934">
            <w:r>
              <w:rPr>
                <w:webHidden/>
                <w:rStyle w:val="IndexLink"/>
              </w:rPr>
              <w:t>16. Handover from hypercare</w:t>
              <w:tab/>
              <w:t>19</w:t>
            </w:r>
          </w:hyperlink>
        </w:p>
        <w:p>
          <w:pPr>
            <w:pStyle w:val="TOC1"/>
            <w:tabs>
              <w:tab w:val="clear" w:pos="900"/>
              <w:tab w:val="clear" w:pos="9350"/>
              <w:tab w:val="right" w:pos="9025" w:leader="dot"/>
            </w:tabs>
            <w:rPr/>
          </w:pPr>
          <w:hyperlink w:anchor="__RefHeading___Toc3426_3138101934">
            <w:r>
              <w:rPr>
                <w:webHidden/>
                <w:rStyle w:val="IndexLink"/>
              </w:rPr>
              <w:t>17. Root-cause analysis standards</w:t>
              <w:tab/>
              <w:t>20</w:t>
            </w:r>
          </w:hyperlink>
        </w:p>
        <w:p>
          <w:pPr>
            <w:pStyle w:val="TOC1"/>
            <w:tabs>
              <w:tab w:val="clear" w:pos="900"/>
              <w:tab w:val="clear" w:pos="9350"/>
              <w:tab w:val="right" w:pos="9025" w:leader="dot"/>
            </w:tabs>
            <w:rPr/>
          </w:pPr>
          <w:hyperlink w:anchor="__RefHeading___Toc3428_3138101934">
            <w:r>
              <w:rPr>
                <w:webHidden/>
                <w:rStyle w:val="IndexLink"/>
              </w:rPr>
              <w:t>18. Code fix standards</w:t>
              <w:tab/>
              <w:t>21</w:t>
            </w:r>
          </w:hyperlink>
        </w:p>
        <w:p>
          <w:pPr>
            <w:pStyle w:val="TOC2"/>
            <w:tabs>
              <w:tab w:val="clear" w:pos="900"/>
              <w:tab w:val="clear" w:pos="9350"/>
              <w:tab w:val="right" w:pos="9025" w:leader="dot"/>
            </w:tabs>
            <w:rPr/>
          </w:pPr>
          <w:hyperlink w:anchor="__RefHeading___Toc3430_3138101934">
            <w:r>
              <w:rPr>
                <w:webHidden/>
                <w:rStyle w:val="IndexLink"/>
              </w:rPr>
              <w:t>18.1 Branching and review</w:t>
              <w:tab/>
              <w:t>21</w:t>
            </w:r>
          </w:hyperlink>
        </w:p>
        <w:p>
          <w:pPr>
            <w:pStyle w:val="TOC2"/>
            <w:tabs>
              <w:tab w:val="clear" w:pos="900"/>
              <w:tab w:val="clear" w:pos="9350"/>
              <w:tab w:val="right" w:pos="9025" w:leader="dot"/>
            </w:tabs>
            <w:rPr/>
          </w:pPr>
          <w:hyperlink w:anchor="__RefHeading___Toc3432_3138101934">
            <w:r>
              <w:rPr>
                <w:webHidden/>
                <w:rStyle w:val="IndexLink"/>
              </w:rPr>
              <w:t>18.2 Rules for the change</w:t>
              <w:tab/>
              <w:t>21</w:t>
            </w:r>
          </w:hyperlink>
        </w:p>
        <w:p>
          <w:pPr>
            <w:pStyle w:val="TOC2"/>
            <w:tabs>
              <w:tab w:val="clear" w:pos="900"/>
              <w:tab w:val="clear" w:pos="9350"/>
              <w:tab w:val="right" w:pos="9025" w:leader="dot"/>
            </w:tabs>
            <w:rPr/>
          </w:pPr>
          <w:hyperlink w:anchor="__RefHeading___Toc3434_3138101934">
            <w:r>
              <w:rPr>
                <w:webHidden/>
                <w:rStyle w:val="IndexLink"/>
              </w:rPr>
              <w:t>18.3 Tests</w:t>
              <w:tab/>
              <w:t>21</w:t>
            </w:r>
          </w:hyperlink>
        </w:p>
        <w:p>
          <w:pPr>
            <w:pStyle w:val="TOC1"/>
            <w:tabs>
              <w:tab w:val="clear" w:pos="900"/>
              <w:tab w:val="clear" w:pos="9350"/>
              <w:tab w:val="right" w:pos="9025" w:leader="dot"/>
            </w:tabs>
            <w:rPr/>
          </w:pPr>
          <w:hyperlink w:anchor="__RefHeading___Toc3436_3138101934">
            <w:r>
              <w:rPr>
                <w:webHidden/>
                <w:rStyle w:val="IndexLink"/>
              </w:rPr>
              <w:t>19. Regression testing</w:t>
              <w:tab/>
              <w:t>22</w:t>
            </w:r>
          </w:hyperlink>
        </w:p>
        <w:p>
          <w:pPr>
            <w:pStyle w:val="TOC1"/>
            <w:tabs>
              <w:tab w:val="clear" w:pos="900"/>
              <w:tab w:val="clear" w:pos="9350"/>
              <w:tab w:val="right" w:pos="9025" w:leader="dot"/>
            </w:tabs>
            <w:rPr/>
          </w:pPr>
          <w:hyperlink w:anchor="__RefHeading___Toc3438_3138101934">
            <w:r>
              <w:rPr>
                <w:webHidden/>
                <w:rStyle w:val="IndexLink"/>
              </w:rPr>
              <w:t>20. Security incidents and personal data breaches</w:t>
              <w:tab/>
              <w:t>23</w:t>
            </w:r>
          </w:hyperlink>
        </w:p>
        <w:p>
          <w:pPr>
            <w:pStyle w:val="TOC2"/>
            <w:tabs>
              <w:tab w:val="clear" w:pos="900"/>
              <w:tab w:val="clear" w:pos="9350"/>
              <w:tab w:val="right" w:pos="9025" w:leader="dot"/>
            </w:tabs>
            <w:rPr/>
          </w:pPr>
          <w:hyperlink w:anchor="__RefHeading___Toc3440_3138101934">
            <w:r>
              <w:rPr>
                <w:webHidden/>
                <w:rStyle w:val="IndexLink"/>
              </w:rPr>
              <w:t>20.1 Security incidents</w:t>
              <w:tab/>
              <w:t>23</w:t>
            </w:r>
          </w:hyperlink>
        </w:p>
        <w:p>
          <w:pPr>
            <w:pStyle w:val="TOC2"/>
            <w:tabs>
              <w:tab w:val="clear" w:pos="900"/>
              <w:tab w:val="clear" w:pos="9350"/>
              <w:tab w:val="right" w:pos="9025" w:leader="dot"/>
            </w:tabs>
            <w:rPr/>
          </w:pPr>
          <w:hyperlink w:anchor="__RefHeading___Toc3442_3138101934">
            <w:r>
              <w:rPr>
                <w:webHidden/>
                <w:rStyle w:val="IndexLink"/>
              </w:rPr>
              <w:t>20.2 Personal data breaches</w:t>
              <w:tab/>
              <w:t>23</w:t>
            </w:r>
          </w:hyperlink>
        </w:p>
        <w:p>
          <w:pPr>
            <w:pStyle w:val="TOC1"/>
            <w:tabs>
              <w:tab w:val="clear" w:pos="900"/>
              <w:tab w:val="clear" w:pos="9350"/>
              <w:tab w:val="right" w:pos="9025" w:leader="dot"/>
            </w:tabs>
            <w:rPr/>
          </w:pPr>
          <w:hyperlink w:anchor="__RefHeading___Toc3444_3138101934">
            <w:r>
              <w:rPr>
                <w:webHidden/>
                <w:rStyle w:val="IndexLink"/>
              </w:rPr>
              <w:t>21. Support exclusions</w:t>
              <w:tab/>
              <w:t>24</w:t>
            </w:r>
          </w:hyperlink>
        </w:p>
        <w:p>
          <w:pPr>
            <w:pStyle w:val="TOC1"/>
            <w:tabs>
              <w:tab w:val="clear" w:pos="900"/>
              <w:tab w:val="clear" w:pos="9350"/>
              <w:tab w:val="right" w:pos="9025" w:leader="dot"/>
            </w:tabs>
            <w:rPr/>
          </w:pPr>
          <w:hyperlink w:anchor="__RefHeading___Toc3446_3138101934">
            <w:r>
              <w:rPr>
                <w:webHidden/>
                <w:rStyle w:val="IndexLink"/>
              </w:rPr>
              <w:t>22. What the broker provides</w:t>
              <w:tab/>
              <w:t>25</w:t>
            </w:r>
          </w:hyperlink>
        </w:p>
        <w:p>
          <w:pPr>
            <w:pStyle w:val="TOC1"/>
            <w:tabs>
              <w:tab w:val="clear" w:pos="900"/>
              <w:tab w:val="clear" w:pos="9350"/>
              <w:tab w:val="right" w:pos="9025" w:leader="dot"/>
            </w:tabs>
            <w:rPr/>
          </w:pPr>
          <w:hyperlink w:anchor="__RefHeading___Toc3448_3138101934">
            <w:r>
              <w:rPr>
                <w:webHidden/>
                <w:rStyle w:val="IndexLink"/>
                <w:i w:val="false"/>
                <w:iCs w:val="false"/>
              </w:rPr>
              <w:t>23. Document Sign-Off</w:t>
            </w:r>
            <w:r>
              <w:rPr>
                <w:rStyle w:val="IndexLink"/>
              </w:rPr>
              <w:tab/>
              <w:t>26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354_313810193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356_313810193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 L2, 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Key performance indicator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RCA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Root-cause analysis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restore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ITIL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IT Infrastructure Library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Pull request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358_3138101934"/>
      <w:bookmarkEnd w:id="6"/>
      <w:r>
        <w:rPr>
          <w:rFonts w:eastAsia="Segoe UI" w:cs="Segoe UI" w:ascii="Segoe UI" w:hAnsi="Segoe UI"/>
          <w:b/>
          <w:color w:val="0F4761"/>
          <w:sz w:val="32"/>
        </w:rPr>
        <w:t>3.  Introduction</w:t>
      </w:r>
    </w:p>
    <w:p>
      <w:pPr>
        <w:pStyle w:val="Heading2"/>
        <w:rPr/>
      </w:pPr>
      <w:bookmarkStart w:id="7" w:name="__RefHeading___Toc3360_313810193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sets out how iorta TechNXT supports BrokerVerse OOTB in production for a Philippine non-life insurance broker after hypercare: the support model, service hours, severity levels and targets, the ticket and escalation process, problem, change and release management, monitoring, backups and disaster recovery drills, reporting, and the standards the support and engineering teams work to.</w:t>
      </w:r>
    </w:p>
    <w:p>
      <w:pPr>
        <w:pStyle w:val="Normal"/>
        <w:spacing w:lineRule="auto" w:line="276" w:before="0" w:after="120"/>
        <w:rPr/>
      </w:pPr>
      <w:r>
        <w:rPr>
          <w:rFonts w:eastAsia="Segoe UI" w:cs="Segoe UI" w:ascii="Segoe UI" w:hAnsi="Segoe UI"/>
          <w:color w:val="101820"/>
          <w:sz w:val="21"/>
        </w:rPr>
        <w:t xml:space="preserve">The figures in this document (hours, targets, frequencies) are the iorta TechNXT standard proposal. The final values are fixed in the support agreement with the broker and are then copied into </w:t>
      </w:r>
      <w:r>
        <w:rPr>
          <w:rFonts w:eastAsia="Consolas" w:cs="Consolas" w:ascii="Consolas" w:hAnsi="Consolas"/>
          <w:color w:val="101820"/>
          <w:sz w:val="19"/>
        </w:rPr>
        <w:t>docs/onboarding/SUPPORT_AND_ESCALATION.md</w:t>
      </w:r>
      <w:r>
        <w:rPr>
          <w:rFonts w:eastAsia="Segoe UI" w:cs="Segoe UI" w:ascii="Segoe UI" w:hAnsi="Segoe UI"/>
          <w:color w:val="101820"/>
          <w:sz w:val="21"/>
        </w:rPr>
        <w:t>.</w:t>
      </w:r>
    </w:p>
    <w:p>
      <w:pPr>
        <w:pStyle w:val="Heading2"/>
        <w:rPr/>
      </w:pPr>
      <w:bookmarkStart w:id="8" w:name="__RefHeading___Toc3362_3138101934"/>
      <w:bookmarkEnd w:id="8"/>
      <w:r>
        <w:rPr>
          <w:rFonts w:eastAsia="Segoe UI" w:cs="Segoe UI"/>
          <w:b/>
          <w:color w:val="0F4761"/>
          <w:sz w:val="26"/>
        </w:rPr>
        <w:t>3.2  Audience</w:t>
      </w:r>
    </w:p>
    <w:p>
      <w:pPr>
        <w:pStyle w:val="Normal"/>
        <w:spacing w:lineRule="auto" w:line="276" w:before="0" w:after="120"/>
        <w:rPr/>
      </w:pPr>
      <w:r>
        <w:rPr>
          <w:rFonts w:eastAsia="Segoe UI" w:cs="Segoe UI" w:ascii="Segoe UI" w:hAnsi="Segoe UI"/>
          <w:color w:val="101820"/>
          <w:sz w:val="21"/>
        </w:rPr>
        <w:t>The broker's System Administrator, key users and IT management; the iorta TechNXT application support, engineering and DevOps teams; the account manager.</w:t>
      </w:r>
    </w:p>
    <w:p>
      <w:pPr>
        <w:pStyle w:val="Heading2"/>
        <w:rPr/>
      </w:pPr>
      <w:bookmarkStart w:id="9" w:name="__RefHeading___Toc3364_3138101934"/>
      <w:bookmarkEnd w:id="9"/>
      <w:r>
        <w:rPr>
          <w:rFonts w:eastAsia="Segoe UI" w:cs="Segoe UI"/>
          <w:b/>
          <w:color w:val="0F4761"/>
          <w:sz w:val="26"/>
        </w:rPr>
        <w:t>3.3  Reference material</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Material</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in support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docs/onboarding/SUPPORT_AND_ESCALATION.md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a user report must contain and what support checks first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docs/developer-guide/README.md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backend.md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frontend.md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Tracing a defect from a screen to the API and the database; logs and request IDs; common production issues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backend/docs/api</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OpenAPI file, Postman collection, API touchpoint workbook (screen to route)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deploy/REFERENCE.md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 health checks, start-up rules, upgrade and rollback</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Architecture documents 07 to 11 (</w:t>
            </w:r>
            <w:r>
              <w:rPr>
                <w:rFonts w:eastAsia="Consolas" w:cs="Consolas" w:ascii="Consolas" w:hAnsi="Consolas"/>
                <w:color w:val="101820"/>
                <w:kern w:val="0"/>
                <w:sz w:val="16"/>
                <w:szCs w:val="24"/>
                <w:lang w:val="en-US" w:eastAsia="ja-JP" w:bidi="ar-SA"/>
              </w:rPr>
              <w:t>docs/architecture</w:t>
            </w:r>
            <w:r>
              <w:rPr>
                <w:rFonts w:eastAsia="Segoe UI" w:cs="Segoe UI" w:ascii="Segoe UI" w:hAnsi="Segoe UI"/>
                <w:color w:val="101820"/>
                <w:kern w:val="0"/>
                <w:sz w:val="18"/>
                <w:szCs w:val="24"/>
                <w:lang w:val="en-US" w:eastAsia="ja-JP" w:bidi="ar-SA"/>
              </w:rPr>
              <w: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availability, RTO and RPO, backup and recovery, archival and housekeeping, monitoring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and role decks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Expected behaviour of each screen; known limitations (manual Appendix 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docs/onboarding/UAT_SCRIPTS.md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backend/scripts/uat-scenario.js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regression scripts</w:t>
            </w:r>
          </w:p>
        </w:tc>
      </w:tr>
    </w:tbl>
    <w:p>
      <w:pPr>
        <w:pStyle w:val="Normal"/>
        <w:spacing w:before="0" w:after="80"/>
        <w:rPr/>
      </w:pPr>
      <w:r>
        <w:rPr/>
      </w:r>
      <w:r>
        <w:br w:type="page"/>
      </w:r>
    </w:p>
    <w:p>
      <w:pPr>
        <w:pStyle w:val="Heading1"/>
        <w:rPr/>
      </w:pPr>
      <w:bookmarkStart w:id="10" w:name="__RefHeading___Toc3366_3138101934"/>
      <w:bookmarkEnd w:id="10"/>
      <w:r>
        <w:rPr>
          <w:rFonts w:eastAsia="Segoe UI" w:cs="Segoe UI" w:ascii="Segoe UI" w:hAnsi="Segoe UI"/>
          <w:b/>
          <w:color w:val="0F4761"/>
          <w:sz w:val="32"/>
        </w:rPr>
        <w:t>4.  Support model</w:t>
      </w:r>
    </w:p>
    <w:p>
      <w:pPr>
        <w:pStyle w:val="Heading2"/>
        <w:rPr/>
      </w:pPr>
      <w:bookmarkStart w:id="11" w:name="__RefHeading___Toc3368_3138101934"/>
      <w:bookmarkEnd w:id="11"/>
      <w:r>
        <w:rPr>
          <w:rFonts w:eastAsia="Segoe UI" w:cs="Segoe UI"/>
          <w:b/>
          <w:color w:val="0F4761"/>
          <w:sz w:val="26"/>
        </w:rPr>
        <w:t>4.1  Levels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super users: one trained key user per team, and the broker's System Administrator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checks that a role, setting or master record is not the cause; users, roles, password and two-step verification resets, settings and master data; logging the ticket with the evidence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 triage and classification; reproduction in the test environment; analysis with request IDs, logs, Audit Trail and job runs; configuration and data corrections under change control; workarounds; known-error records; release coordination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 (development and DevOps)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database corrections that need a script, performance, infrastructure, security incidents, root-cause analysis, fixes and releases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This model maps to the levels users see in the user manual (Appendix H) and in </w:t>
      </w:r>
      <w:r>
        <w:rPr>
          <w:rFonts w:eastAsia="Consolas" w:cs="Consolas" w:ascii="Consolas" w:hAnsi="Consolas"/>
          <w:color w:val="101820"/>
          <w:sz w:val="19"/>
        </w:rPr>
        <w:t>SUPPORT_AND_ESCALATION.md</w:t>
      </w:r>
      <w:r>
        <w:rPr>
          <w:rFonts w:eastAsia="Segoe UI" w:cs="Segoe UI" w:ascii="Segoe UI" w:hAnsi="Segoe UI"/>
          <w:color w:val="101820"/>
          <w:sz w:val="21"/>
        </w:rPr>
        <w:t>: the key user is the first line, the broker's System Administrator the second line inside the broker, and iorta TechNXT the third line. Inside iorta TechNXT, application support (L2) and engineering (L3) split the work.</w:t>
      </w:r>
    </w:p>
    <w:p>
      <w:pPr>
        <w:pStyle w:val="Heading2"/>
        <w:rPr/>
      </w:pPr>
      <w:bookmarkStart w:id="12" w:name="__RefHeading___Toc3370_3138101934"/>
      <w:bookmarkEnd w:id="12"/>
      <w:r>
        <w:rPr>
          <w:rFonts w:eastAsia="Segoe UI" w:cs="Segoe UI"/>
          <w:b/>
          <w:color w:val="0F4761"/>
          <w:sz w:val="26"/>
        </w:rPr>
        <w:t>4.2  Responsibilities of L1</w:t>
      </w:r>
    </w:p>
    <w:p>
      <w:pPr>
        <w:pStyle w:val="Normal"/>
        <w:numPr>
          <w:ilvl w:val="0"/>
          <w:numId w:val="1"/>
        </w:numPr>
        <w:spacing w:before="0" w:after="60"/>
        <w:rPr/>
      </w:pPr>
      <w:r>
        <w:rPr>
          <w:rFonts w:eastAsia="Segoe UI" w:cs="Segoe UI" w:ascii="Segoe UI" w:hAnsi="Segoe UI"/>
          <w:color w:val="101820"/>
          <w:sz w:val="21"/>
        </w:rPr>
        <w:t>Answer how-to questions from the user manual and the role decks.</w:t>
      </w:r>
    </w:p>
    <w:p>
      <w:pPr>
        <w:pStyle w:val="Normal"/>
        <w:numPr>
          <w:ilvl w:val="0"/>
          <w:numId w:val="1"/>
        </w:numPr>
        <w:spacing w:before="0" w:after="60"/>
        <w:rPr/>
      </w:pPr>
      <w:r>
        <w:rPr>
          <w:rFonts w:eastAsia="Segoe UI" w:cs="Segoe UI" w:ascii="Segoe UI" w:hAnsi="Segoe UI"/>
          <w:color w:val="101820"/>
          <w:sz w:val="21"/>
        </w:rPr>
        <w:t>Check the user's role and menus (</w:t>
      </w:r>
      <w:r>
        <w:rPr>
          <w:rFonts w:eastAsia="Consolas" w:cs="Consolas" w:ascii="Consolas" w:hAnsi="Consolas"/>
          <w:color w:val="101820"/>
          <w:sz w:val="19"/>
        </w:rPr>
        <w:t>GETTING_STARTED.md</w:t>
      </w:r>
      <w:r>
        <w:rPr>
          <w:rFonts w:eastAsia="Segoe UI" w:cs="Segoe UI" w:ascii="Segoe UI" w:hAnsi="Segoe UI"/>
          <w:color w:val="101820"/>
          <w:sz w:val="21"/>
        </w:rPr>
        <w:t>, section 2), the setting concerned (Master &gt; Configuration) and Master &gt; Audit Trail for a recent change.</w:t>
      </w:r>
    </w:p>
    <w:p>
      <w:pPr>
        <w:pStyle w:val="Normal"/>
        <w:numPr>
          <w:ilvl w:val="0"/>
          <w:numId w:val="1"/>
        </w:numPr>
        <w:spacing w:before="0" w:after="60"/>
        <w:rPr/>
      </w:pPr>
      <w:r>
        <w:rPr>
          <w:rFonts w:eastAsia="Segoe UI" w:cs="Segoe UI" w:ascii="Segoe UI" w:hAnsi="Segoe UI"/>
          <w:color w:val="101820"/>
          <w:sz w:val="21"/>
        </w:rPr>
        <w:t xml:space="preserve">For uploads, compare the rejected file with the template in </w:t>
      </w:r>
      <w:r>
        <w:rPr>
          <w:rFonts w:eastAsia="Consolas" w:cs="Consolas" w:ascii="Consolas" w:hAnsi="Consolas"/>
          <w:color w:val="101820"/>
          <w:sz w:val="19"/>
        </w:rPr>
        <w:t>docs/templates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Raise a ticket with the evidence of chapter 7 when the issue remains.</w:t>
      </w:r>
    </w:p>
    <w:p>
      <w:pPr>
        <w:pStyle w:val="Normal"/>
        <w:numPr>
          <w:ilvl w:val="0"/>
          <w:numId w:val="1"/>
        </w:numPr>
        <w:spacing w:before="0" w:after="60"/>
        <w:rPr/>
      </w:pPr>
      <w:r>
        <w:rPr>
          <w:rFonts w:eastAsia="Segoe UI" w:cs="Segoe UI" w:ascii="Segoe UI" w:hAnsi="Segoe UI"/>
          <w:color w:val="101820"/>
          <w:sz w:val="21"/>
        </w:rPr>
        <w:t>Communicate with the broker's users during an incident and confirm the fix.</w:t>
      </w:r>
    </w:p>
    <w:p>
      <w:pPr>
        <w:pStyle w:val="Heading2"/>
        <w:rPr/>
      </w:pPr>
      <w:bookmarkStart w:id="13" w:name="__RefHeading___Toc3372_3138101934"/>
      <w:bookmarkEnd w:id="13"/>
      <w:r>
        <w:rPr>
          <w:rFonts w:eastAsia="Segoe UI" w:cs="Segoe UI"/>
          <w:b/>
          <w:color w:val="0F4761"/>
          <w:sz w:val="26"/>
        </w:rPr>
        <w:t>4.3  Service desk</w:t>
      </w:r>
    </w:p>
    <w:p>
      <w:pPr>
        <w:pStyle w:val="Normal"/>
        <w:spacing w:lineRule="auto" w:line="276" w:before="0" w:after="120"/>
        <w:rPr/>
      </w:pPr>
      <w:r>
        <w:rPr>
          <w:rFonts w:eastAsia="Segoe UI" w:cs="Segoe UI" w:ascii="Segoe UI" w:hAnsi="Segoe UI"/>
          <w:color w:val="101820"/>
          <w:sz w:val="21"/>
        </w:rPr>
        <w:t>iorta TechNXT runs one service desk for BrokerVerse: a support portal or mailbox for all tickets and a telephone line for P1. Only named L1 contacts of the broker (assumption: up to 5) raise tickets. The contact details are written into the support agreement.</w:t>
      </w:r>
      <w:r>
        <w:br w:type="page"/>
      </w:r>
    </w:p>
    <w:p>
      <w:pPr>
        <w:pStyle w:val="Heading1"/>
        <w:rPr/>
      </w:pPr>
      <w:bookmarkStart w:id="14" w:name="__RefHeading___Toc3374_3138101934"/>
      <w:bookmarkEnd w:id="14"/>
      <w:r>
        <w:rPr>
          <w:rFonts w:eastAsia="Segoe UI" w:cs="Segoe UI" w:ascii="Segoe UI" w:hAnsi="Segoe UI"/>
          <w:b/>
          <w:color w:val="0F4761"/>
          <w:sz w:val="32"/>
        </w:rPr>
        <w:t>5.  Service hours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Covers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support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8:00 to 18:00 PHT, Monday to Friday, except Philippine regular holidays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severities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Extended P1 support (optional)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a day, 7 days a week</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only, reported by telephone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maintenance window</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Agreed with the broker; default Saturday 20:00 to Sunday 06:00 PHT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Releases, patching, DR drills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Targets count service hours only. With the extended P1 option, P1 targets count elapsed time. Monitoring alarms (chapter 12) are watched outside service hours only where the extended option is taken.</w:t>
      </w:r>
      <w:r>
        <w:br w:type="page"/>
      </w:r>
    </w:p>
    <w:p>
      <w:pPr>
        <w:pStyle w:val="Heading1"/>
        <w:rPr/>
      </w:pPr>
      <w:bookmarkStart w:id="15" w:name="__RefHeading___Toc3376_3138101934"/>
      <w:bookmarkEnd w:id="15"/>
      <w:r>
        <w:rPr>
          <w:rFonts w:eastAsia="Segoe UI" w:cs="Segoe UI" w:ascii="Segoe UI" w:hAnsi="Segoe UI"/>
          <w:b/>
          <w:color w:val="0F4761"/>
          <w:sz w:val="32"/>
        </w:rPr>
        <w:t>6.  Severity levels and targets</w:t>
      </w:r>
    </w:p>
    <w:p>
      <w:pPr>
        <w:pStyle w:val="Heading2"/>
        <w:rPr/>
      </w:pPr>
      <w:bookmarkStart w:id="16" w:name="__RefHeading___Toc3378_3138101934"/>
      <w:bookmarkEnd w:id="16"/>
      <w:r>
        <w:rPr>
          <w:rFonts w:eastAsia="Segoe UI" w:cs="Segoe UI"/>
          <w:b/>
          <w:color w:val="0F4761"/>
          <w:sz w:val="26"/>
        </w:rPr>
        <w:t>6.1  Definitions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down or a core process stopped for all users; wrong financial postings or data exposed; no workaround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Nobody can sign in; official receipts cannot be issued; journals post wrong amounts; personal data visible to the wrong users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stopped for one team or one branch, or seriously degraded, with no acceptable workaround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fails; bank statement import refused for a valid file; remittance cannot be approved; scheduled jobs not running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or gives a wrong result and a workaround exists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report column wrong; an upload rejects one valid row; a PDF layout problem</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 cosmetic issue, documentation, or request for change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Wording, layout, how-to question, new report request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broker proposes the severity when raising the ticket. L2 confirms or changes it at triage, with the reason, and the broker may ask for a review through the escalation matrix.</w:t>
      </w:r>
    </w:p>
    <w:p>
      <w:pPr>
        <w:pStyle w:val="Heading2"/>
        <w:rPr/>
      </w:pPr>
      <w:bookmarkStart w:id="17" w:name="__RefHeading___Toc3380_3138101934"/>
      <w:bookmarkEnd w:id="17"/>
      <w:r>
        <w:rPr>
          <w:rFonts w:eastAsia="Segoe UI" w:cs="Segoe UI"/>
          <w:b/>
          <w:color w:val="0F4761"/>
          <w:sz w:val="26"/>
        </w:rPr>
        <w:t>6.2  Targets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blHeader w:val="true"/>
        </w:trPr>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First response</w:t>
            </w:r>
          </w:p>
        </w:tc>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Update frequency</w:t>
            </w:r>
          </w:p>
        </w:tc>
        <w:tc>
          <w:tcPr>
            <w:tcW w:w="18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Restore service or workaround</w:t>
            </w:r>
          </w:p>
        </w:tc>
        <w:tc>
          <w:tcPr>
            <w:tcW w:w="18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Permanent fix</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minutes</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hour</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service hours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Root cause in 5 business days; fix in the next emergency or planned release</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P2</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service hours</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4 service hours</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Next planned release</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business day</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3 business days</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business days</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release as agreed</w:t>
            </w:r>
          </w:p>
        </w:tc>
      </w:tr>
      <w:tr>
        <w:trPr/>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P4</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Weekly</w:t>
            </w:r>
          </w:p>
        </w:tc>
        <w:tc>
          <w:tcPr>
            <w:tcW w:w="18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18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with the broker or handled as a change request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These targets are the iorta TechNXT standard proposal. </w:t>
      </w:r>
      <w:r>
        <w:rPr>
          <w:rFonts w:eastAsia="Consolas" w:cs="Consolas" w:ascii="Consolas" w:hAnsi="Consolas"/>
          <w:color w:val="101820"/>
          <w:sz w:val="18"/>
        </w:rPr>
        <w:t>SUPPORT_AND_ESCALATION.md</w:t>
      </w:r>
      <w:r>
        <w:rPr>
          <w:rFonts w:eastAsia="Segoe UI" w:cs="Segoe UI" w:ascii="Segoe UI" w:hAnsi="Segoe UI"/>
          <w:color w:val="101820"/>
          <w:sz w:val="20"/>
        </w:rPr>
        <w:t xml:space="preserve"> shows an earlier proposal used at onboarding (P1 first response 1 business hour, fix in 1 business day). The support agreement fixes one set of values and both documents are then aligned.</w:t>
      </w:r>
    </w:p>
    <w:p>
      <w:pPr>
        <w:pStyle w:val="Normal"/>
        <w:spacing w:lineRule="auto" w:line="276" w:before="0" w:after="120"/>
        <w:rPr/>
      </w:pPr>
      <w:r>
        <w:rPr>
          <w:rFonts w:eastAsia="Segoe UI" w:cs="Segoe UI" w:ascii="Segoe UI" w:hAnsi="Segoe UI"/>
          <w:color w:val="101820"/>
          <w:sz w:val="21"/>
        </w:rPr>
        <w:t>Clock rules: the clock starts when the ticket is logged with the minimum evidence, stops while the ticket waits for the broker (status Awaiting customer), and ends when a workaround or fix is provided. A ticket counts as met when both the response and restore targets are met.</w:t>
      </w:r>
      <w:r>
        <w:br w:type="page"/>
      </w:r>
    </w:p>
    <w:p>
      <w:pPr>
        <w:pStyle w:val="Heading1"/>
        <w:rPr/>
      </w:pPr>
      <w:bookmarkStart w:id="18" w:name="__RefHeading___Toc3382_3138101934"/>
      <w:bookmarkEnd w:id="18"/>
      <w:r>
        <w:rPr>
          <w:rFonts w:eastAsia="Segoe UI" w:cs="Segoe UI" w:ascii="Segoe UI" w:hAnsi="Segoe UI"/>
          <w:b/>
          <w:color w:val="0F4761"/>
          <w:sz w:val="32"/>
        </w:rPr>
        <w:t>7.  Ticket workflow</w:t>
      </w:r>
    </w:p>
    <w:p>
      <w:pPr>
        <w:pStyle w:val="Heading2"/>
        <w:rPr/>
      </w:pPr>
      <w:bookmarkStart w:id="19" w:name="__RefHeading___Toc3384_3138101934"/>
      <w:bookmarkEnd w:id="19"/>
      <w:r>
        <w:rPr>
          <w:rFonts w:eastAsia="Segoe UI" w:cs="Segoe UI"/>
          <w:b/>
          <w:color w:val="0F4761"/>
          <w:sz w:val="26"/>
        </w:rPr>
        <w:t>7.1  Minimum content of a ticket</w:t>
      </w:r>
    </w:p>
    <w:p>
      <w:pPr>
        <w:pStyle w:val="Normal"/>
        <w:spacing w:lineRule="auto" w:line="276" w:before="0" w:after="120"/>
        <w:rPr/>
      </w:pPr>
      <w:r>
        <w:rPr>
          <w:rFonts w:eastAsia="Segoe UI" w:cs="Segoe UI" w:ascii="Segoe UI" w:hAnsi="Segoe UI"/>
          <w:color w:val="101820"/>
          <w:sz w:val="21"/>
        </w:rPr>
        <w:t xml:space="preserve">As in </w:t>
      </w:r>
      <w:r>
        <w:rPr>
          <w:rFonts w:eastAsia="Consolas" w:cs="Consolas" w:ascii="Consolas" w:hAnsi="Consolas"/>
          <w:color w:val="101820"/>
          <w:sz w:val="19"/>
        </w:rPr>
        <w:t>SUPPORT_AND_ESCALATION.md</w:t>
      </w:r>
      <w:r>
        <w:rPr>
          <w:rFonts w:eastAsia="Segoe UI" w:cs="Segoe UI" w:ascii="Segoe UI" w:hAnsi="Segoe UI"/>
          <w:color w:val="101820"/>
          <w:sz w:val="21"/>
        </w:rPr>
        <w:t>, section 2:</w:t>
      </w:r>
    </w:p>
    <w:p>
      <w:pPr>
        <w:pStyle w:val="Normal"/>
        <w:numPr>
          <w:ilvl w:val="0"/>
          <w:numId w:val="8"/>
        </w:numPr>
        <w:spacing w:before="0" w:after="60"/>
        <w:rPr/>
      </w:pPr>
      <w:r>
        <w:rPr>
          <w:rFonts w:eastAsia="Segoe UI" w:cs="Segoe UI" w:ascii="Segoe UI" w:hAnsi="Segoe UI"/>
          <w:color w:val="101820"/>
          <w:sz w:val="21"/>
        </w:rPr>
        <w:t>The screen (menu path) and the record number (policy, quotation, receipt, voucher, journal).</w:t>
      </w:r>
    </w:p>
    <w:p>
      <w:pPr>
        <w:pStyle w:val="Normal"/>
        <w:numPr>
          <w:ilvl w:val="0"/>
          <w:numId w:val="2"/>
        </w:numPr>
        <w:spacing w:before="0" w:after="60"/>
        <w:rPr/>
      </w:pPr>
      <w:r>
        <w:rPr>
          <w:rFonts w:eastAsia="Segoe UI" w:cs="Segoe UI" w:ascii="Segoe UI" w:hAnsi="Segoe UI"/>
          <w:color w:val="101820"/>
          <w:sz w:val="21"/>
        </w:rPr>
        <w:t>The date and time, to the minute.</w:t>
      </w:r>
    </w:p>
    <w:p>
      <w:pPr>
        <w:pStyle w:val="Normal"/>
        <w:numPr>
          <w:ilvl w:val="0"/>
          <w:numId w:val="2"/>
        </w:numPr>
        <w:spacing w:before="0" w:after="60"/>
        <w:rPr/>
      </w:pPr>
      <w:r>
        <w:rPr>
          <w:rFonts w:eastAsia="Segoe UI" w:cs="Segoe UI" w:ascii="Segoe UI" w:hAnsi="Segoe UI"/>
          <w:color w:val="101820"/>
          <w:sz w:val="21"/>
        </w:rPr>
        <w:t>The request ID shown in the error message, if any.</w:t>
      </w:r>
    </w:p>
    <w:p>
      <w:pPr>
        <w:pStyle w:val="Normal"/>
        <w:numPr>
          <w:ilvl w:val="0"/>
          <w:numId w:val="2"/>
        </w:numPr>
        <w:spacing w:before="0" w:after="60"/>
        <w:rPr/>
      </w:pPr>
      <w:r>
        <w:rPr>
          <w:rFonts w:eastAsia="Segoe UI" w:cs="Segoe UI" w:ascii="Segoe UI" w:hAnsi="Segoe UI"/>
          <w:color w:val="101820"/>
          <w:sz w:val="21"/>
        </w:rPr>
        <w:t>What was done, what happened and what was expected.</w:t>
      </w:r>
    </w:p>
    <w:p>
      <w:pPr>
        <w:pStyle w:val="Normal"/>
        <w:numPr>
          <w:ilvl w:val="0"/>
          <w:numId w:val="2"/>
        </w:numPr>
        <w:spacing w:before="0" w:after="60"/>
        <w:rPr/>
      </w:pPr>
      <w:r>
        <w:rPr>
          <w:rFonts w:eastAsia="Segoe UI" w:cs="Segoe UI" w:ascii="Segoe UI" w:hAnsi="Segoe UI"/>
          <w:color w:val="101820"/>
          <w:sz w:val="21"/>
        </w:rPr>
        <w:t>A screenshot, with client personal data covered.</w:t>
      </w:r>
    </w:p>
    <w:p>
      <w:pPr>
        <w:pStyle w:val="Normal"/>
        <w:numPr>
          <w:ilvl w:val="0"/>
          <w:numId w:val="2"/>
        </w:numPr>
        <w:spacing w:before="0" w:after="60"/>
        <w:rPr/>
      </w:pPr>
      <w:r>
        <w:rPr>
          <w:rFonts w:eastAsia="Segoe UI" w:cs="Segoe UI" w:ascii="Segoe UI" w:hAnsi="Segoe UI"/>
          <w:color w:val="101820"/>
          <w:sz w:val="21"/>
        </w:rPr>
        <w:t>The username (never the password) and the role.</w:t>
      </w:r>
    </w:p>
    <w:p>
      <w:pPr>
        <w:pStyle w:val="Normal"/>
        <w:numPr>
          <w:ilvl w:val="0"/>
          <w:numId w:val="2"/>
        </w:numPr>
        <w:spacing w:before="0" w:after="60"/>
        <w:rPr/>
      </w:pPr>
      <w:r>
        <w:rPr>
          <w:rFonts w:eastAsia="Segoe UI" w:cs="Segoe UI" w:ascii="Segoe UI" w:hAnsi="Segoe UI"/>
          <w:color w:val="101820"/>
          <w:sz w:val="21"/>
        </w:rPr>
        <w:t>How many users are affected and whether work can continue.</w:t>
      </w:r>
    </w:p>
    <w:p>
      <w:pPr>
        <w:pStyle w:val="Normal"/>
        <w:spacing w:lineRule="auto" w:line="276" w:before="0" w:after="120"/>
        <w:rPr/>
      </w:pPr>
      <w:r>
        <w:rPr>
          <w:rFonts w:eastAsia="Segoe UI" w:cs="Segoe UI" w:ascii="Segoe UI" w:hAnsi="Segoe UI"/>
          <w:color w:val="101820"/>
          <w:sz w:val="21"/>
        </w:rPr>
        <w:t>Passwords, two-step codes, environment settings and full client ID numbers are never sent in a ticket.</w:t>
      </w:r>
    </w:p>
    <w:p>
      <w:pPr>
        <w:pStyle w:val="Heading2"/>
        <w:rPr/>
      </w:pPr>
      <w:bookmarkStart w:id="20" w:name="__RefHeading___Toc3386_3138101934"/>
      <w:bookmarkEnd w:id="20"/>
      <w:r>
        <w:rPr>
          <w:rFonts w:eastAsia="Segoe UI" w:cs="Segoe UI"/>
          <w:b/>
          <w:color w:val="0F4761"/>
          <w:sz w:val="26"/>
        </w:rPr>
        <w:t>7.2  Statuses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moves it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Logged by L1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Acknowledged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Severity confirmed, owner assigned, first response sent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progress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analysis or being fixed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or L3</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Awaiting customer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Waiting for information, a test or a decision from the broker; the clock stops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Workaround provided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restored; the permanent fix is tracked on a problem record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Resolved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or answer delivered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confirmed, or no reply within 5 business days of Resolved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 or automatic</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reports within 5 business days that the issue remains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r>
    </w:tbl>
    <w:p>
      <w:pPr>
        <w:pStyle w:val="Normal"/>
        <w:spacing w:before="0" w:after="80"/>
        <w:rPr/>
      </w:pPr>
      <w:r>
        <w:rPr/>
      </w:r>
    </w:p>
    <w:p>
      <w:pPr>
        <w:pStyle w:val="Heading2"/>
        <w:rPr/>
      </w:pPr>
      <w:bookmarkStart w:id="21" w:name="__RefHeading___Toc3388_3138101934"/>
      <w:bookmarkEnd w:id="21"/>
      <w:r>
        <w:rPr>
          <w:rFonts w:eastAsia="Segoe UI" w:cs="Segoe UI"/>
          <w:b/>
          <w:color w:val="0F4761"/>
          <w:sz w:val="26"/>
        </w:rPr>
        <w:t>7.3  Triage steps at L2</w:t>
      </w:r>
    </w:p>
    <w:p>
      <w:pPr>
        <w:pStyle w:val="Normal"/>
        <w:numPr>
          <w:ilvl w:val="0"/>
          <w:numId w:val="9"/>
        </w:numPr>
        <w:spacing w:before="0" w:after="60"/>
        <w:rPr/>
      </w:pPr>
      <w:r>
        <w:rPr>
          <w:rFonts w:eastAsia="Segoe UI" w:cs="Segoe UI" w:ascii="Segoe UI" w:hAnsi="Segoe UI"/>
          <w:color w:val="101820"/>
          <w:sz w:val="21"/>
        </w:rPr>
        <w:t>Confirm severity and impact.</w:t>
      </w:r>
    </w:p>
    <w:p>
      <w:pPr>
        <w:pStyle w:val="Normal"/>
        <w:numPr>
          <w:ilvl w:val="0"/>
          <w:numId w:val="10"/>
        </w:numPr>
        <w:spacing w:before="0" w:after="60"/>
        <w:rPr/>
      </w:pPr>
      <w:r>
        <w:rPr>
          <w:rFonts w:eastAsia="Segoe UI" w:cs="Segoe UI" w:ascii="Segoe UI" w:hAnsi="Segoe UI"/>
          <w:color w:val="101820"/>
          <w:sz w:val="21"/>
        </w:rPr>
        <w:t>Find the request ID in the logs (JSON lines; the 500 message and stack are only in the log).</w:t>
      </w:r>
    </w:p>
    <w:p>
      <w:pPr>
        <w:pStyle w:val="Normal"/>
        <w:numPr>
          <w:ilvl w:val="0"/>
          <w:numId w:val="11"/>
        </w:numPr>
        <w:spacing w:before="0" w:after="60"/>
        <w:rPr/>
      </w:pPr>
      <w:r>
        <w:rPr>
          <w:rFonts w:eastAsia="Segoe UI" w:cs="Segoe UI" w:ascii="Segoe UI" w:hAnsi="Segoe UI"/>
          <w:color w:val="101820"/>
          <w:sz w:val="21"/>
        </w:rPr>
        <w:t xml:space="preserve">Check health: </w:t>
      </w:r>
      <w:r>
        <w:rPr>
          <w:rFonts w:eastAsia="Consolas" w:cs="Consolas" w:ascii="Consolas" w:hAnsi="Consolas"/>
          <w:color w:val="101820"/>
          <w:sz w:val="19"/>
        </w:rPr>
        <w:t>GET /api/health</w:t>
      </w:r>
      <w:r>
        <w:rPr>
          <w:rFonts w:eastAsia="Segoe UI" w:cs="Segoe UI" w:ascii="Segoe UI" w:hAnsi="Segoe UI"/>
          <w:color w:val="101820"/>
          <w:sz w:val="21"/>
        </w:rPr>
        <w:t xml:space="preserve"> (ready, database latency, pending migrations) and </w:t>
      </w:r>
      <w:r>
        <w:rPr>
          <w:rFonts w:eastAsia="Consolas" w:cs="Consolas" w:ascii="Consolas" w:hAnsi="Consolas"/>
          <w:color w:val="101820"/>
          <w:sz w:val="19"/>
        </w:rPr>
        <w:t>GET /api/version</w:t>
      </w:r>
      <w:r>
        <w:rPr>
          <w:rFonts w:eastAsia="Segoe UI" w:cs="Segoe UI" w:ascii="Segoe UI" w:hAnsi="Segoe UI"/>
          <w:color w:val="101820"/>
          <w:sz w:val="21"/>
        </w:rPr>
        <w:t>.</w:t>
      </w:r>
    </w:p>
    <w:p>
      <w:pPr>
        <w:pStyle w:val="Normal"/>
        <w:numPr>
          <w:ilvl w:val="0"/>
          <w:numId w:val="12"/>
        </w:numPr>
        <w:spacing w:before="0" w:after="60"/>
        <w:rPr/>
      </w:pPr>
      <w:r>
        <w:rPr>
          <w:rFonts w:eastAsia="Segoe UI" w:cs="Segoe UI" w:ascii="Segoe UI" w:hAnsi="Segoe UI"/>
          <w:color w:val="101820"/>
          <w:sz w:val="21"/>
        </w:rPr>
        <w:t>Find the route from the screen in the API touchpoint workbook and follow it to the module and tables.</w:t>
      </w:r>
    </w:p>
    <w:p>
      <w:pPr>
        <w:pStyle w:val="Normal"/>
        <w:numPr>
          <w:ilvl w:val="0"/>
          <w:numId w:val="13"/>
        </w:numPr>
        <w:spacing w:before="0" w:after="60"/>
        <w:rPr/>
      </w:pPr>
      <w:r>
        <w:rPr>
          <w:rFonts w:eastAsia="Segoe UI" w:cs="Segoe UI" w:ascii="Segoe UI" w:hAnsi="Segoe UI"/>
          <w:color w:val="101820"/>
          <w:sz w:val="21"/>
        </w:rPr>
        <w:t>Check the usual suspects of the area (</w:t>
      </w:r>
      <w:r>
        <w:rPr>
          <w:rFonts w:eastAsia="Consolas" w:cs="Consolas" w:ascii="Consolas" w:hAnsi="Consolas"/>
          <w:color w:val="101820"/>
          <w:sz w:val="19"/>
        </w:rPr>
        <w:t>docs/developer-guide/backend.md</w:t>
      </w:r>
      <w:r>
        <w:rPr>
          <w:rFonts w:eastAsia="Segoe UI" w:cs="Segoe UI" w:ascii="Segoe UI" w:hAnsi="Segoe UI"/>
          <w:color w:val="101820"/>
          <w:sz w:val="21"/>
        </w:rPr>
        <w:t>, section 7): sign-in and lockouts (</w:t>
      </w:r>
      <w:r>
        <w:rPr>
          <w:rFonts w:eastAsia="Consolas" w:cs="Consolas" w:ascii="Consolas" w:hAnsi="Consolas"/>
          <w:color w:val="101820"/>
          <w:sz w:val="19"/>
        </w:rPr>
        <w:t>login_history</w:t>
      </w:r>
      <w:r>
        <w:rPr>
          <w:rFonts w:eastAsia="Segoe UI" w:cs="Segoe UI" w:ascii="Segoe UI" w:hAnsi="Segoe UI"/>
          <w:color w:val="101820"/>
          <w:sz w:val="21"/>
        </w:rPr>
        <w:t>), document numbering, postings and closed periods, scheduled jobs (</w:t>
      </w:r>
      <w:r>
        <w:rPr>
          <w:rFonts w:eastAsia="Consolas" w:cs="Consolas" w:ascii="Consolas" w:hAnsi="Consolas"/>
          <w:color w:val="101820"/>
          <w:sz w:val="19"/>
        </w:rPr>
        <w:t>job_runs</w:t>
      </w:r>
      <w:r>
        <w:rPr>
          <w:rFonts w:eastAsia="Segoe UI" w:cs="Segoe UI" w:ascii="Segoe UI" w:hAnsi="Segoe UI"/>
          <w:color w:val="101820"/>
          <w:sz w:val="21"/>
        </w:rPr>
        <w:t>), PDFs, the e-mail outbox.</w:t>
      </w:r>
    </w:p>
    <w:p>
      <w:pPr>
        <w:pStyle w:val="Normal"/>
        <w:numPr>
          <w:ilvl w:val="0"/>
          <w:numId w:val="14"/>
        </w:numPr>
        <w:spacing w:before="0" w:after="60"/>
        <w:rPr/>
      </w:pPr>
      <w:r>
        <w:rPr>
          <w:rFonts w:eastAsia="Segoe UI" w:cs="Segoe UI" w:ascii="Segoe UI" w:hAnsi="Segoe UI"/>
          <w:color w:val="101820"/>
          <w:sz w:val="21"/>
        </w:rPr>
        <w:t>Check configuration before code: the setting in Master &gt; Configuration and its history in Master &gt; Audit Trail.</w:t>
      </w:r>
    </w:p>
    <w:p>
      <w:pPr>
        <w:pStyle w:val="Normal"/>
        <w:numPr>
          <w:ilvl w:val="0"/>
          <w:numId w:val="15"/>
        </w:numPr>
        <w:spacing w:before="0" w:after="60"/>
        <w:rPr/>
      </w:pPr>
      <w:r>
        <w:rPr>
          <w:rFonts w:eastAsia="Segoe UI" w:cs="Segoe UI" w:ascii="Segoe UI" w:hAnsi="Segoe UI"/>
          <w:color w:val="101820"/>
          <w:sz w:val="21"/>
        </w:rPr>
        <w:t>Reproduce in the test environment where possible.</w:t>
      </w:r>
    </w:p>
    <w:p>
      <w:pPr>
        <w:pStyle w:val="Normal"/>
        <w:numPr>
          <w:ilvl w:val="0"/>
          <w:numId w:val="16"/>
        </w:numPr>
        <w:spacing w:before="0" w:after="60"/>
        <w:rPr/>
      </w:pPr>
      <w:r>
        <w:rPr>
          <w:rFonts w:eastAsia="Segoe UI" w:cs="Segoe UI" w:ascii="Segoe UI" w:hAnsi="Segoe UI"/>
          <w:color w:val="101820"/>
          <w:sz w:val="21"/>
        </w:rPr>
        <w:t>Classify the cause: user or training, configuration, master or transaction data, code defect, infrastructure, third party.</w:t>
      </w:r>
    </w:p>
    <w:p>
      <w:pPr>
        <w:pStyle w:val="Normal"/>
        <w:numPr>
          <w:ilvl w:val="0"/>
          <w:numId w:val="17"/>
        </w:numPr>
        <w:spacing w:before="0" w:after="60"/>
        <w:rPr/>
      </w:pPr>
      <w:r>
        <w:rPr>
          <w:rFonts w:eastAsia="Segoe UI" w:cs="Segoe UI" w:ascii="Segoe UI" w:hAnsi="Segoe UI"/>
          <w:color w:val="101820"/>
          <w:sz w:val="21"/>
        </w:rPr>
        <w:t>Resolve at L2 or pass to L3 with the evidence.</w:t>
      </w:r>
      <w:r>
        <w:br w:type="page"/>
      </w:r>
    </w:p>
    <w:p>
      <w:pPr>
        <w:pStyle w:val="Heading1"/>
        <w:rPr/>
      </w:pPr>
      <w:bookmarkStart w:id="22" w:name="__RefHeading___Toc3390_3138101934"/>
      <w:bookmarkEnd w:id="22"/>
      <w:r>
        <w:rPr>
          <w:rFonts w:eastAsia="Segoe UI" w:cs="Segoe UI" w:ascii="Segoe UI" w:hAnsi="Segoe UI"/>
          <w:b/>
          <w:color w:val="0F4761"/>
          <w:sz w:val="32"/>
        </w:rPr>
        <w:t>8.  Escalation matrix</w:t>
      </w:r>
    </w:p>
    <w:p>
      <w:pPr>
        <w:pStyle w:val="Normal"/>
        <w:spacing w:lineRule="auto" w:line="276" w:before="0" w:after="120"/>
        <w:rPr/>
      </w:pPr>
      <w:r>
        <w:rPr>
          <w:rFonts w:eastAsia="Segoe UI" w:cs="Segoe UI" w:ascii="Segoe UI" w:hAnsi="Segoe UI"/>
          <w:color w:val="101820"/>
          <w:sz w:val="21"/>
        </w:rPr>
        <w:t>Functional escalation moves a ticket to the next support level. Hierarchical escalation brings in management when a target is at risk.</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 side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iorta TechNXT side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logged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informs the broker's IT head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lead and L3 on-call engaged at once; support manager informed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without response in 30 minutes, or no workaround in 2 hours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calls the support manager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engages engineering lead and DevOps lead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not restored in 4 hours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informed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and head of delivery informed; hourly calls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without response in 2 service hours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calls the L2 lead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lead assigns and reports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not restored in 2 business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informed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informed; plan sent to the broker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Disagreement on severity or closure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then account manager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Repeated incidents (3 or more of one cause in a month)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Raised in the monthly service review</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Problem record opened (chapter 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Names and telephone numbers of each role are listed in the support agreement and kept up to date by both parties.</w:t>
      </w:r>
      <w:r>
        <w:br w:type="page"/>
      </w:r>
    </w:p>
    <w:p>
      <w:pPr>
        <w:pStyle w:val="Heading1"/>
        <w:rPr/>
      </w:pPr>
      <w:bookmarkStart w:id="23" w:name="__RefHeading___Toc3392_3138101934"/>
      <w:bookmarkEnd w:id="23"/>
      <w:r>
        <w:rPr>
          <w:rFonts w:eastAsia="Segoe UI" w:cs="Segoe UI" w:ascii="Segoe UI" w:hAnsi="Segoe UI"/>
          <w:b/>
          <w:color w:val="0F4761"/>
          <w:sz w:val="32"/>
        </w:rPr>
        <w:t>9.  Problem management</w:t>
      </w:r>
    </w:p>
    <w:p>
      <w:pPr>
        <w:pStyle w:val="Normal"/>
        <w:spacing w:lineRule="auto" w:line="276" w:before="0" w:after="120"/>
        <w:rPr/>
      </w:pPr>
      <w:r>
        <w:rPr>
          <w:rFonts w:eastAsia="Segoe UI" w:cs="Segoe UI" w:ascii="Segoe UI" w:hAnsi="Segoe UI"/>
          <w:color w:val="101820"/>
          <w:sz w:val="21"/>
        </w:rPr>
        <w:t>Aligned with ITIL problem management.</w:t>
      </w:r>
    </w:p>
    <w:p>
      <w:pPr>
        <w:pStyle w:val="Normal"/>
        <w:numPr>
          <w:ilvl w:val="0"/>
          <w:numId w:val="1"/>
        </w:numPr>
        <w:spacing w:before="0" w:after="60"/>
        <w:rPr/>
      </w:pPr>
      <w:r>
        <w:rPr>
          <w:rFonts w:eastAsia="Segoe UI" w:cs="Segoe UI" w:ascii="Segoe UI" w:hAnsi="Segoe UI"/>
          <w:color w:val="101820"/>
          <w:sz w:val="21"/>
        </w:rPr>
        <w:t>A problem record is opened for every P1, for every P2 whose cause is not known when service is restored, and for any cause behind three or more incidents in a month.</w:t>
      </w:r>
    </w:p>
    <w:p>
      <w:pPr>
        <w:pStyle w:val="Normal"/>
        <w:numPr>
          <w:ilvl w:val="0"/>
          <w:numId w:val="1"/>
        </w:numPr>
        <w:spacing w:before="0" w:after="60"/>
        <w:rPr/>
      </w:pPr>
      <w:r>
        <w:rPr>
          <w:rFonts w:eastAsia="Segoe UI" w:cs="Segoe UI" w:ascii="Segoe UI" w:hAnsi="Segoe UI"/>
          <w:color w:val="101820"/>
          <w:sz w:val="21"/>
        </w:rPr>
        <w:t>L2 owns the record; L3 carries out the root-cause analysis to the standard of chapter 17.</w:t>
      </w:r>
    </w:p>
    <w:p>
      <w:pPr>
        <w:pStyle w:val="Normal"/>
        <w:numPr>
          <w:ilvl w:val="0"/>
          <w:numId w:val="1"/>
        </w:numPr>
        <w:spacing w:before="0" w:after="60"/>
        <w:rPr/>
      </w:pPr>
      <w:r>
        <w:rPr>
          <w:rFonts w:eastAsia="Segoe UI" w:cs="Segoe UI" w:ascii="Segoe UI" w:hAnsi="Segoe UI"/>
          <w:color w:val="101820"/>
          <w:sz w:val="21"/>
        </w:rPr>
        <w:t>A known-error record (symptom, cause, workaround) is published in the knowledge base as soon as the workaround is known.</w:t>
      </w:r>
    </w:p>
    <w:p>
      <w:pPr>
        <w:pStyle w:val="Normal"/>
        <w:numPr>
          <w:ilvl w:val="0"/>
          <w:numId w:val="1"/>
        </w:numPr>
        <w:spacing w:before="0" w:after="60"/>
        <w:rPr/>
      </w:pPr>
      <w:r>
        <w:rPr>
          <w:rFonts w:eastAsia="Segoe UI" w:cs="Segoe UI" w:ascii="Segoe UI" w:hAnsi="Segoe UI"/>
          <w:color w:val="101820"/>
          <w:sz w:val="21"/>
        </w:rPr>
        <w:t>The problem is closed when the permanent fix is released and no new incident of the same cause occurs for 30 days.</w:t>
      </w:r>
    </w:p>
    <w:p>
      <w:pPr>
        <w:pStyle w:val="Normal"/>
        <w:numPr>
          <w:ilvl w:val="0"/>
          <w:numId w:val="1"/>
        </w:numPr>
        <w:spacing w:before="0" w:after="60"/>
        <w:rPr/>
      </w:pPr>
      <w:r>
        <w:rPr>
          <w:rFonts w:eastAsia="Segoe UI" w:cs="Segoe UI" w:ascii="Segoe UI" w:hAnsi="Segoe UI"/>
          <w:color w:val="101820"/>
          <w:sz w:val="21"/>
        </w:rPr>
        <w:t>Open problems are reviewed in the monthly service review.</w:t>
      </w:r>
      <w:r>
        <w:br w:type="page"/>
      </w:r>
    </w:p>
    <w:p>
      <w:pPr>
        <w:pStyle w:val="Heading1"/>
        <w:rPr/>
      </w:pPr>
      <w:bookmarkStart w:id="24" w:name="__RefHeading___Toc3394_3138101934"/>
      <w:bookmarkEnd w:id="24"/>
      <w:r>
        <w:rPr>
          <w:rFonts w:eastAsia="Segoe UI" w:cs="Segoe UI" w:ascii="Segoe UI" w:hAnsi="Segoe UI"/>
          <w:b/>
          <w:color w:val="0F4761"/>
          <w:sz w:val="32"/>
        </w:rPr>
        <w:t>10.  Change management</w:t>
      </w:r>
    </w:p>
    <w:p>
      <w:pPr>
        <w:pStyle w:val="Heading2"/>
        <w:rPr/>
      </w:pPr>
      <w:bookmarkStart w:id="25" w:name="__RefHeading___Toc3396_3138101934"/>
      <w:bookmarkEnd w:id="25"/>
      <w:r>
        <w:rPr>
          <w:rFonts w:eastAsia="Segoe UI" w:cs="Segoe UI"/>
          <w:b/>
          <w:color w:val="0F4761"/>
          <w:sz w:val="26"/>
        </w:rPr>
        <w:t>10.1  Types of change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Adding a user, resetting a password, adding a master record, changing an e-mail text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Pre-approved; done by the broker's System Administrator; recorded in the Audit Trail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Normal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release; a change of tax rate, account determination or posting rule; a new document number series; a new scheduled job time; a data correction script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with impact, test evidence and rollback; approved by the broker's change owner and iorta TechNXT support manager (CAB)</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Emergency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for a P1; security patch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by the support manager and the broker's IT head by telephone or e-mail; recorded afterwards and reviewed at the next CAB</w:t>
            </w:r>
          </w:p>
        </w:tc>
      </w:tr>
    </w:tbl>
    <w:p>
      <w:pPr>
        <w:pStyle w:val="Normal"/>
        <w:spacing w:before="0" w:after="80"/>
        <w:rPr/>
      </w:pPr>
      <w:r>
        <w:rPr/>
      </w:r>
    </w:p>
    <w:p>
      <w:pPr>
        <w:pStyle w:val="Heading2"/>
        <w:rPr/>
      </w:pPr>
      <w:bookmarkStart w:id="26" w:name="__RefHeading___Toc3398_3138101934"/>
      <w:bookmarkEnd w:id="26"/>
      <w:r>
        <w:rPr>
          <w:rFonts w:eastAsia="Segoe UI" w:cs="Segoe UI"/>
          <w:b/>
          <w:color w:val="0F4761"/>
          <w:sz w:val="26"/>
        </w:rPr>
        <w:t>10.2  Configuration changes in production</w:t>
      </w:r>
    </w:p>
    <w:p>
      <w:pPr>
        <w:pStyle w:val="Normal"/>
        <w:numPr>
          <w:ilvl w:val="0"/>
          <w:numId w:val="1"/>
        </w:numPr>
        <w:spacing w:before="0" w:after="60"/>
        <w:rPr/>
      </w:pPr>
      <w:r>
        <w:rPr>
          <w:rFonts w:eastAsia="Segoe UI" w:cs="Segoe UI" w:ascii="Segoe UI" w:hAnsi="Segoe UI"/>
          <w:color w:val="101820"/>
          <w:sz w:val="21"/>
        </w:rPr>
        <w:t>Settings in Master &gt; Configuration apply at once on every server and are recorded in the Audit Trail with the old and new value.</w:t>
      </w:r>
    </w:p>
    <w:p>
      <w:pPr>
        <w:pStyle w:val="Normal"/>
        <w:numPr>
          <w:ilvl w:val="0"/>
          <w:numId w:val="1"/>
        </w:numPr>
        <w:spacing w:before="0" w:after="60"/>
        <w:rPr/>
      </w:pPr>
      <w:r>
        <w:rPr>
          <w:rFonts w:eastAsia="Segoe UI" w:cs="Segoe UI" w:ascii="Segoe UI" w:hAnsi="Segoe UI"/>
          <w:color w:val="101820"/>
          <w:sz w:val="21"/>
        </w:rPr>
        <w:t>Changes to account determination and posting rules go through Master &gt; Finance &gt; Configuration Approvals: proposed by one user and approved by another. The Posting Rules screen has a Simulate button; use it before approval.</w:t>
      </w:r>
    </w:p>
    <w:p>
      <w:pPr>
        <w:pStyle w:val="Normal"/>
        <w:numPr>
          <w:ilvl w:val="0"/>
          <w:numId w:val="1"/>
        </w:numPr>
        <w:spacing w:before="0" w:after="60"/>
        <w:rPr/>
      </w:pPr>
      <w:r>
        <w:rPr>
          <w:rFonts w:eastAsia="Segoe UI" w:cs="Segoe UI" w:ascii="Segoe UI" w:hAnsi="Segoe UI"/>
          <w:color w:val="101820"/>
          <w:sz w:val="21"/>
        </w:rPr>
        <w:t>GL accounts, tax rates and maker-checker switches are changed only with the agreement of the Accounting Manager (user manual, Master data chapter).</w:t>
      </w:r>
    </w:p>
    <w:p>
      <w:pPr>
        <w:pStyle w:val="Normal"/>
        <w:numPr>
          <w:ilvl w:val="0"/>
          <w:numId w:val="1"/>
        </w:numPr>
        <w:spacing w:before="0" w:after="60"/>
        <w:rPr/>
      </w:pPr>
      <w:r>
        <w:rPr>
          <w:rFonts w:eastAsia="Segoe UI" w:cs="Segoe UI" w:ascii="Segoe UI" w:hAnsi="Segoe UI"/>
          <w:color w:val="101820"/>
          <w:sz w:val="21"/>
        </w:rPr>
        <w:t>iorta TechNXT does not change the broker's business configuration in production without a ticket and the broker's written approval.</w:t>
      </w:r>
    </w:p>
    <w:p>
      <w:pPr>
        <w:pStyle w:val="Heading2"/>
        <w:rPr/>
      </w:pPr>
      <w:bookmarkStart w:id="27" w:name="__RefHeading___Toc3400_3138101934"/>
      <w:bookmarkEnd w:id="27"/>
      <w:r>
        <w:rPr>
          <w:rFonts w:eastAsia="Segoe UI" w:cs="Segoe UI"/>
          <w:b/>
          <w:color w:val="0F4761"/>
          <w:sz w:val="26"/>
        </w:rPr>
        <w:t>10.3  Data corrections</w:t>
      </w:r>
    </w:p>
    <w:p>
      <w:pPr>
        <w:pStyle w:val="Normal"/>
        <w:spacing w:lineRule="auto" w:line="276" w:before="0" w:after="120"/>
        <w:rPr/>
      </w:pPr>
      <w:r>
        <w:rPr>
          <w:rFonts w:eastAsia="Segoe UI" w:cs="Segoe UI" w:ascii="Segoe UI" w:hAnsi="Segoe UI"/>
          <w:color w:val="101820"/>
          <w:sz w:val="21"/>
        </w:rPr>
        <w:t>A correction of business data through the database is a normal change. It needs: the ticket, the script, a dry run on a copy of production in the test environment with the before and after counts, the broker's approval, a database snapshot just before it runs, and the result attached to the ticket. Financial data is corrected through the screens (correction or reversal journals) whenever the screens allow it, so the ledger keeps its trail.</w:t>
      </w:r>
      <w:r>
        <w:br w:type="page"/>
      </w:r>
    </w:p>
    <w:p>
      <w:pPr>
        <w:pStyle w:val="Heading1"/>
        <w:rPr/>
      </w:pPr>
      <w:bookmarkStart w:id="28" w:name="__RefHeading___Toc3402_3138101934"/>
      <w:bookmarkEnd w:id="28"/>
      <w:r>
        <w:rPr>
          <w:rFonts w:eastAsia="Segoe UI" w:cs="Segoe UI" w:ascii="Segoe UI" w:hAnsi="Segoe UI"/>
          <w:b/>
          <w:color w:val="0F4761"/>
          <w:sz w:val="32"/>
        </w:rPr>
        <w:t>11.  Release management and patching</w:t>
      </w:r>
    </w:p>
    <w:p>
      <w:pPr>
        <w:pStyle w:val="Heading2"/>
        <w:rPr/>
      </w:pPr>
      <w:bookmarkStart w:id="29" w:name="__RefHeading___Toc3404_3138101934"/>
      <w:bookmarkEnd w:id="29"/>
      <w:r>
        <w:rPr>
          <w:rFonts w:eastAsia="Segoe UI" w:cs="Segoe UI"/>
          <w:b/>
          <w:color w:val="0F4761"/>
          <w:sz w:val="26"/>
        </w:rPr>
        <w:t>11.1  Releases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types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 (monthly, when there are fixes or changes); emergency release (P1 or security)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 list the fixes, changes, migrations and anything an administrator must do by hand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release is installed in the test environment first; the broker runs the UAT scripts that cover the change; iorta TechNXT runs the regression of chapter 19</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 approval with the test evidence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Window</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maintenance window, announced at least 5 business days ahead (emergency releases: as agreed)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New image deployed; on start the API applies new migrations (they only add) and the idempotent seed, then reports ready on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with migrations, one instance first, then scale out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and published by the GitHub Actions workflow (build, S3 sync, CloudFront invalidation); the workflow runs the front-end tests and refuses to publish an unbuilt page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deploying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snapshot taken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deploying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Smoke test of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4 and </w:t>
            </w: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xml:space="preserve"> showing the expected commit and no pending migration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re-run the workflow on the previous commit or restore the previous S3 object versions, then invalidate CloudFront. Back end: redeploy the previous image tag; migrations only add, so the previous version runs on the newer schema; restore the snapshot only if data must be rolled back</w:t>
            </w:r>
          </w:p>
        </w:tc>
      </w:tr>
    </w:tbl>
    <w:p>
      <w:pPr>
        <w:pStyle w:val="Normal"/>
        <w:spacing w:before="0" w:after="80"/>
        <w:rPr/>
      </w:pPr>
      <w:r>
        <w:rPr/>
      </w:r>
    </w:p>
    <w:p>
      <w:pPr>
        <w:pStyle w:val="Heading2"/>
        <w:rPr/>
      </w:pPr>
      <w:bookmarkStart w:id="30" w:name="__RefHeading___Toc3406_3138101934"/>
      <w:bookmarkEnd w:id="30"/>
      <w:r>
        <w:rPr>
          <w:rFonts w:eastAsia="Segoe UI" w:cs="Segoe UI"/>
          <w:b/>
          <w:color w:val="0F4761"/>
          <w:sz w:val="26"/>
        </w:rPr>
        <w:t>11.2  Patching</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Node.js runtime and npm dependencies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advisories reviewed monthly; critical fixes as an emergency release, others in the next planned release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Container base image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Rebuilt with each release; at least quarterly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(managed service)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Minor versions applied in the maintenance window; major upgrades planned as a project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Operating system and managed services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Managed by the cloud provider; maintenance windows aligned with the broker's window</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 certificates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alarm at 30 days before expiry</w:t>
            </w:r>
          </w:p>
        </w:tc>
      </w:tr>
    </w:tbl>
    <w:p>
      <w:pPr>
        <w:pStyle w:val="Normal"/>
        <w:spacing w:before="0" w:after="80"/>
        <w:rPr/>
      </w:pPr>
      <w:r>
        <w:rPr/>
      </w:r>
      <w:r>
        <w:br w:type="page"/>
      </w:r>
    </w:p>
    <w:p>
      <w:pPr>
        <w:pStyle w:val="Heading1"/>
        <w:rPr/>
      </w:pPr>
      <w:bookmarkStart w:id="31" w:name="__RefHeading___Toc3408_3138101934"/>
      <w:bookmarkEnd w:id="31"/>
      <w:r>
        <w:rPr>
          <w:rFonts w:eastAsia="Segoe UI" w:cs="Segoe UI" w:ascii="Segoe UI" w:hAnsi="Segoe UI"/>
          <w:b/>
          <w:color w:val="0F4761"/>
          <w:sz w:val="32"/>
        </w:rPr>
        <w:t>12.  Monitoring and health checks</w:t>
      </w:r>
    </w:p>
    <w:p>
      <w:pPr>
        <w:pStyle w:val="Normal"/>
        <w:spacing w:lineRule="auto" w:line="276" w:before="0" w:after="120"/>
        <w:rPr/>
      </w:pPr>
      <w:r>
        <w:rPr>
          <w:rFonts w:eastAsia="Segoe UI" w:cs="Segoe UI" w:ascii="Segoe UI" w:hAnsi="Segoe UI"/>
          <w:color w:val="101820"/>
          <w:sz w:val="21"/>
        </w:rPr>
        <w:t>The monitoring design is in architecture document 11. The standard checks are: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API readiness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returns 200 and ready within 2 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alarm to on-call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sign-in page loads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journey with a monitoring user without business permissions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15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no pending migration, expected commit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15 minutes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5xx rate, response time, container CPU and memory, database CPU, storage and connections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Continuous, alarms as in document 11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Scheduled jobs: last status of each job in Master &gt; Configuration &gt; Schedules; failed runs in </w:t>
            </w:r>
            <w:r>
              <w:rPr>
                <w:rFonts w:eastAsia="Consolas" w:cs="Consolas" w:ascii="Consolas" w:hAnsi="Consolas"/>
                <w:color w:val="101820"/>
                <w:kern w:val="0"/>
                <w:sz w:val="16"/>
                <w:szCs w:val="24"/>
                <w:lang w:val="en-US" w:eastAsia="ja-JP" w:bidi="ar-SA"/>
              </w:rPr>
              <w:t>job_runs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09:00 PHT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queued older than 15 minutes, failed messages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and alarm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sign-ins, locked accounts, refresh-token reuse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and alarm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security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status and latest restorable time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daily health check is recorded (date, checker, result, tickets raised). Monitoring alarms raise tickets with the severity of document 11 (P1 immediate, P2 same business day, P3 next business day).</w:t>
      </w:r>
      <w:r>
        <w:br w:type="page"/>
      </w:r>
    </w:p>
    <w:p>
      <w:pPr>
        <w:pStyle w:val="Heading1"/>
        <w:rPr/>
      </w:pPr>
      <w:bookmarkStart w:id="32" w:name="__RefHeading___Toc3410_3138101934"/>
      <w:bookmarkEnd w:id="32"/>
      <w:r>
        <w:rPr>
          <w:rFonts w:eastAsia="Segoe UI" w:cs="Segoe UI" w:ascii="Segoe UI" w:hAnsi="Segoe UI"/>
          <w:b/>
          <w:color w:val="0F4761"/>
          <w:sz w:val="32"/>
        </w:rPr>
        <w:t>13.  Backup verification and DR drills</w:t>
      </w:r>
    </w:p>
    <w:p>
      <w:pPr>
        <w:pStyle w:val="Heading2"/>
        <w:rPr/>
      </w:pPr>
      <w:bookmarkStart w:id="33" w:name="__RefHeading___Toc3412_3138101934"/>
      <w:bookmarkEnd w:id="33"/>
      <w:r>
        <w:rPr>
          <w:rFonts w:eastAsia="Segoe UI" w:cs="Segoe UI"/>
          <w:b/>
          <w:color w:val="0F4761"/>
          <w:sz w:val="26"/>
        </w:rPr>
        <w:t>13.1  Backup verification</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 (from architecture document 09)</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automated snapshots and point-in-time restore; retention at least 30 days (35 recommended)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volume (documents, ID images, generated reports)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backup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held in the secret store, with a sealed escrow copy; without the same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users with two-step verification cannot sign in after a restore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jobs succeeded; latest restorable time within 15 minutes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Point-in-time restore to a new instance, API started against it in an isolated environment, smoke test; document restore and sample check</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restore into a clean PostgreSQL 16; row counts compared with the source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escrow check under dual control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test is recorded (date, operator, backup used, recovery point, duration, issues) and reviewed by the DevOps lead. A failed test is raised as a P2 incident.</w:t>
      </w:r>
    </w:p>
    <w:p>
      <w:pPr>
        <w:pStyle w:val="Heading2"/>
        <w:rPr/>
      </w:pPr>
      <w:bookmarkStart w:id="34" w:name="__RefHeading___Toc3414_3138101934"/>
      <w:bookmarkEnd w:id="34"/>
      <w:r>
        <w:rPr>
          <w:rFonts w:eastAsia="Segoe UI" w:cs="Segoe UI"/>
          <w:b/>
          <w:color w:val="0F4761"/>
          <w:sz w:val="26"/>
        </w:rPr>
        <w:t>13.2  DR drills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Drill</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Success criteria</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DR exercise with the broker's IT and business contacts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contacts and decision points confirmed; actions logged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recovery in the recovery region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years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Achieved RTO and RPO recorded against the agreed objectives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objectives proposed in architecture document 08 are: RPO at most 15 minutes and RTO at most 4 hours for a restore of the main data; RTO at most 15 minutes for an infrastructure failure inside the region; RPO and RTO at most 24 hours for the loss of a region. They become binding only when the broker accepts them and the environment is provisioned to meet them.</w:t>
      </w:r>
      <w:r>
        <w:br w:type="page"/>
      </w:r>
    </w:p>
    <w:p>
      <w:pPr>
        <w:pStyle w:val="Heading1"/>
        <w:rPr/>
      </w:pPr>
      <w:bookmarkStart w:id="35" w:name="__RefHeading___Toc3416_3138101934"/>
      <w:bookmarkEnd w:id="35"/>
      <w:r>
        <w:rPr>
          <w:rFonts w:eastAsia="Segoe UI" w:cs="Segoe UI" w:ascii="Segoe UI" w:hAnsi="Segoe UI"/>
          <w:b/>
          <w:color w:val="0F4761"/>
          <w:sz w:val="32"/>
        </w:rPr>
        <w:t>14.  Service reporting and KPIs</w:t>
      </w:r>
    </w:p>
    <w:p>
      <w:pPr>
        <w:pStyle w:val="Heading2"/>
        <w:rPr/>
      </w:pPr>
      <w:bookmarkStart w:id="36" w:name="__RefHeading___Toc3418_3138101934"/>
      <w:bookmarkEnd w:id="36"/>
      <w:r>
        <w:rPr>
          <w:rFonts w:eastAsia="Segoe UI" w:cs="Segoe UI"/>
          <w:b/>
          <w:color w:val="0F4761"/>
          <w:sz w:val="26"/>
        </w:rPr>
        <w:t>14.1  Monthly service report</w:t>
      </w:r>
    </w:p>
    <w:p>
      <w:pPr>
        <w:pStyle w:val="Normal"/>
        <w:spacing w:lineRule="auto" w:line="276" w:before="0" w:after="120"/>
        <w:rPr/>
      </w:pPr>
      <w:r>
        <w:rPr>
          <w:rFonts w:eastAsia="Segoe UI" w:cs="Segoe UI" w:ascii="Segoe UI" w:hAnsi="Segoe UI"/>
          <w:color w:val="101820"/>
          <w:sz w:val="21"/>
        </w:rPr>
        <w:t>Sent by the 10th business day of each month and discussed in a monthly service review with the broker's IT head and System Administrator.</w:t>
      </w:r>
    </w:p>
    <w:p>
      <w:pPr>
        <w:pStyle w:val="Normal"/>
        <w:numPr>
          <w:ilvl w:val="0"/>
          <w:numId w:val="1"/>
        </w:numPr>
        <w:spacing w:before="0" w:after="60"/>
        <w:rPr/>
      </w:pPr>
      <w:r>
        <w:rPr>
          <w:rFonts w:eastAsia="Segoe UI" w:cs="Segoe UI" w:ascii="Segoe UI" w:hAnsi="Segoe UI"/>
          <w:color w:val="101820"/>
          <w:sz w:val="21"/>
        </w:rPr>
        <w:t>Tickets opened, resolved and open, by severity, category and module.</w:t>
      </w:r>
    </w:p>
    <w:p>
      <w:pPr>
        <w:pStyle w:val="Normal"/>
        <w:numPr>
          <w:ilvl w:val="0"/>
          <w:numId w:val="1"/>
        </w:numPr>
        <w:spacing w:before="0" w:after="60"/>
        <w:rPr/>
      </w:pPr>
      <w:r>
        <w:rPr>
          <w:rFonts w:eastAsia="Segoe UI" w:cs="Segoe UI" w:ascii="Segoe UI" w:hAnsi="Segoe UI"/>
          <w:color w:val="101820"/>
          <w:sz w:val="21"/>
        </w:rPr>
        <w:t>SLA performance per severity, with the tickets that missed a target and why.</w:t>
      </w:r>
    </w:p>
    <w:p>
      <w:pPr>
        <w:pStyle w:val="Normal"/>
        <w:numPr>
          <w:ilvl w:val="0"/>
          <w:numId w:val="1"/>
        </w:numPr>
        <w:spacing w:before="0" w:after="60"/>
        <w:rPr/>
      </w:pPr>
      <w:r>
        <w:rPr>
          <w:rFonts w:eastAsia="Segoe UI" w:cs="Segoe UI" w:ascii="Segoe UI" w:hAnsi="Segoe UI"/>
          <w:color w:val="101820"/>
          <w:sz w:val="21"/>
        </w:rPr>
        <w:t>P1 and P2 incidents with their RCA status.</w:t>
      </w:r>
    </w:p>
    <w:p>
      <w:pPr>
        <w:pStyle w:val="Normal"/>
        <w:numPr>
          <w:ilvl w:val="0"/>
          <w:numId w:val="1"/>
        </w:numPr>
        <w:spacing w:before="0" w:after="60"/>
        <w:rPr/>
      </w:pPr>
      <w:r>
        <w:rPr>
          <w:rFonts w:eastAsia="Segoe UI" w:cs="Segoe UI" w:ascii="Segoe UI" w:hAnsi="Segoe UI"/>
          <w:color w:val="101820"/>
          <w:sz w:val="21"/>
        </w:rPr>
        <w:t>Problems and known errors opened and closed.</w:t>
      </w:r>
    </w:p>
    <w:p>
      <w:pPr>
        <w:pStyle w:val="Normal"/>
        <w:numPr>
          <w:ilvl w:val="0"/>
          <w:numId w:val="1"/>
        </w:numPr>
        <w:spacing w:before="0" w:after="60"/>
        <w:rPr/>
      </w:pPr>
      <w:r>
        <w:rPr>
          <w:rFonts w:eastAsia="Segoe UI" w:cs="Segoe UI" w:ascii="Segoe UI" w:hAnsi="Segoe UI"/>
          <w:color w:val="101820"/>
          <w:sz w:val="21"/>
        </w:rPr>
        <w:t>Changes and releases made; failed or rolled-back changes.</w:t>
      </w:r>
    </w:p>
    <w:p>
      <w:pPr>
        <w:pStyle w:val="Normal"/>
        <w:numPr>
          <w:ilvl w:val="0"/>
          <w:numId w:val="1"/>
        </w:numPr>
        <w:spacing w:before="0" w:after="60"/>
        <w:rPr/>
      </w:pPr>
      <w:r>
        <w:rPr>
          <w:rFonts w:eastAsia="Segoe UI" w:cs="Segoe UI" w:ascii="Segoe UI" w:hAnsi="Segoe UI"/>
          <w:color w:val="101820"/>
          <w:sz w:val="21"/>
        </w:rPr>
        <w:t>Availability of production in the month and planned downtime.</w:t>
      </w:r>
    </w:p>
    <w:p>
      <w:pPr>
        <w:pStyle w:val="Normal"/>
        <w:numPr>
          <w:ilvl w:val="0"/>
          <w:numId w:val="1"/>
        </w:numPr>
        <w:spacing w:before="0" w:after="60"/>
        <w:rPr/>
      </w:pPr>
      <w:r>
        <w:rPr>
          <w:rFonts w:eastAsia="Segoe UI" w:cs="Segoe UI" w:ascii="Segoe UI" w:hAnsi="Segoe UI"/>
          <w:color w:val="101820"/>
          <w:sz w:val="21"/>
        </w:rPr>
        <w:t>Monitoring and backup verification results; DR drill results when held.</w:t>
      </w:r>
    </w:p>
    <w:p>
      <w:pPr>
        <w:pStyle w:val="Normal"/>
        <w:numPr>
          <w:ilvl w:val="0"/>
          <w:numId w:val="1"/>
        </w:numPr>
        <w:spacing w:before="0" w:after="60"/>
        <w:rPr/>
      </w:pPr>
      <w:r>
        <w:rPr>
          <w:rFonts w:eastAsia="Segoe UI" w:cs="Segoe UI" w:ascii="Segoe UI" w:hAnsi="Segoe UI"/>
          <w:color w:val="101820"/>
          <w:sz w:val="21"/>
        </w:rPr>
        <w:t>Security events and access review results.</w:t>
      </w:r>
    </w:p>
    <w:p>
      <w:pPr>
        <w:pStyle w:val="Normal"/>
        <w:numPr>
          <w:ilvl w:val="0"/>
          <w:numId w:val="1"/>
        </w:numPr>
        <w:spacing w:before="0" w:after="60"/>
        <w:rPr/>
      </w:pPr>
      <w:r>
        <w:rPr>
          <w:rFonts w:eastAsia="Segoe UI" w:cs="Segoe UI" w:ascii="Segoe UI" w:hAnsi="Segoe UI"/>
          <w:color w:val="101820"/>
          <w:sz w:val="21"/>
        </w:rPr>
        <w:t>Trends, risks and recommendations, including training needs seen in the tickets.</w:t>
      </w:r>
    </w:p>
    <w:p>
      <w:pPr>
        <w:pStyle w:val="Heading2"/>
        <w:rPr/>
      </w:pPr>
      <w:bookmarkStart w:id="37" w:name="__RefHeading___Toc3420_3138101934"/>
      <w:bookmarkEnd w:id="37"/>
      <w:r>
        <w:rPr>
          <w:rFonts w:eastAsia="Segoe UI" w:cs="Segoe UI"/>
          <w:b/>
          <w:color w:val="0F4761"/>
          <w:sz w:val="26"/>
        </w:rPr>
        <w:t>14.2  KPIs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 (proposed)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SLA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responded to within target / tickets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SLA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restored within target / tickets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(P1: 100%)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 production was available in service hours / minutes in service hours, excluding planned maintenance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99.5%</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 rate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reopened / tickets resolved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Backlog 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P3 tickets older than 30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on time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RCA reports delivered within 5 business days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success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without rollback or incident / changes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tests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restore tests done and passed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contact resolution at L1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Questions closed by the broker's super users without a ticket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 by the broker</w:t>
            </w:r>
          </w:p>
        </w:tc>
      </w:tr>
    </w:tbl>
    <w:p>
      <w:pPr>
        <w:pStyle w:val="Normal"/>
        <w:spacing w:before="0" w:after="80"/>
        <w:rPr/>
      </w:pPr>
      <w:r>
        <w:rPr/>
      </w:r>
      <w:r>
        <w:br w:type="page"/>
      </w:r>
    </w:p>
    <w:p>
      <w:pPr>
        <w:pStyle w:val="Heading1"/>
        <w:rPr/>
      </w:pPr>
      <w:bookmarkStart w:id="38" w:name="__RefHeading___Toc3422_3138101934"/>
      <w:bookmarkEnd w:id="38"/>
      <w:r>
        <w:rPr>
          <w:rFonts w:eastAsia="Segoe UI" w:cs="Segoe UI" w:ascii="Segoe UI" w:hAnsi="Segoe UI"/>
          <w:b/>
          <w:color w:val="0F4761"/>
          <w:sz w:val="32"/>
        </w:rPr>
        <w:t>15.  Knowledge base</w:t>
      </w:r>
    </w:p>
    <w:p>
      <w:pPr>
        <w:pStyle w:val="Normal"/>
        <w:numPr>
          <w:ilvl w:val="0"/>
          <w:numId w:val="1"/>
        </w:numPr>
        <w:spacing w:before="0" w:after="60"/>
        <w:rPr/>
      </w:pPr>
      <w:r>
        <w:rPr>
          <w:rFonts w:eastAsia="Segoe UI" w:cs="Segoe UI" w:ascii="Segoe UI" w:hAnsi="Segoe UI"/>
          <w:color w:val="101820"/>
          <w:sz w:val="21"/>
        </w:rPr>
        <w:t>iorta TechNXT keeps a knowledge base shared with the broker's L1 contacts: how-to articles, known errors with workarounds, release notes, and the answers to repeated questions.</w:t>
      </w:r>
    </w:p>
    <w:p>
      <w:pPr>
        <w:pStyle w:val="Normal"/>
        <w:numPr>
          <w:ilvl w:val="0"/>
          <w:numId w:val="1"/>
        </w:numPr>
        <w:spacing w:before="0" w:after="60"/>
        <w:rPr/>
      </w:pPr>
      <w:r>
        <w:rPr>
          <w:rFonts w:eastAsia="Segoe UI" w:cs="Segoe UI" w:ascii="Segoe UI" w:hAnsi="Segoe UI"/>
          <w:color w:val="101820"/>
          <w:sz w:val="21"/>
        </w:rPr>
        <w:t>Each article names the screen by its menu path, the role, the BrokerVerse release it applies to and the date reviewed.</w:t>
      </w:r>
    </w:p>
    <w:p>
      <w:pPr>
        <w:pStyle w:val="Normal"/>
        <w:numPr>
          <w:ilvl w:val="0"/>
          <w:numId w:val="1"/>
        </w:numPr>
        <w:spacing w:before="0" w:after="60"/>
        <w:rPr/>
      </w:pPr>
      <w:r>
        <w:rPr>
          <w:rFonts w:eastAsia="Segoe UI" w:cs="Segoe UI" w:ascii="Segoe UI" w:hAnsi="Segoe UI"/>
          <w:color w:val="101820"/>
          <w:sz w:val="21"/>
        </w:rPr>
        <w:t>Every resolved ticket is checked for a knowledge article: a new article, an update or none needed.</w:t>
      </w:r>
    </w:p>
    <w:p>
      <w:pPr>
        <w:pStyle w:val="Normal"/>
        <w:numPr>
          <w:ilvl w:val="0"/>
          <w:numId w:val="1"/>
        </w:numPr>
        <w:spacing w:before="0" w:after="60"/>
        <w:rPr/>
      </w:pPr>
      <w:r>
        <w:rPr>
          <w:rFonts w:eastAsia="Segoe UI" w:cs="Segoe UI" w:ascii="Segoe UI" w:hAnsi="Segoe UI"/>
          <w:color w:val="101820"/>
          <w:sz w:val="21"/>
        </w:rPr>
        <w:t>The user manual (Appendix F, Troubleshooting; Appendix G, Known limitations) and the role decks are the starting set.</w:t>
      </w:r>
    </w:p>
    <w:p>
      <w:pPr>
        <w:pStyle w:val="Normal"/>
        <w:numPr>
          <w:ilvl w:val="0"/>
          <w:numId w:val="1"/>
        </w:numPr>
        <w:spacing w:before="0" w:after="60"/>
        <w:rPr/>
      </w:pPr>
      <w:r>
        <w:rPr>
          <w:rFonts w:eastAsia="Segoe UI" w:cs="Segoe UI" w:ascii="Segoe UI" w:hAnsi="Segoe UI"/>
          <w:color w:val="101820"/>
          <w:sz w:val="21"/>
        </w:rPr>
        <w:t>Articles are reviewed at each release and at least twice a year.</w:t>
      </w:r>
      <w:r>
        <w:br w:type="page"/>
      </w:r>
    </w:p>
    <w:p>
      <w:pPr>
        <w:pStyle w:val="Heading1"/>
        <w:rPr/>
      </w:pPr>
      <w:bookmarkStart w:id="39" w:name="__RefHeading___Toc3424_3138101934"/>
      <w:bookmarkEnd w:id="39"/>
      <w:r>
        <w:rPr>
          <w:rFonts w:eastAsia="Segoe UI" w:cs="Segoe UI" w:ascii="Segoe UI" w:hAnsi="Segoe UI"/>
          <w:b/>
          <w:color w:val="0F4761"/>
          <w:sz w:val="32"/>
        </w:rPr>
        <w:t>16.  Handover from hypercare</w:t>
      </w:r>
    </w:p>
    <w:p>
      <w:pPr>
        <w:pStyle w:val="Normal"/>
        <w:spacing w:lineRule="auto" w:line="276" w:before="0" w:after="120"/>
        <w:rPr/>
      </w:pPr>
      <w:r>
        <w:rPr>
          <w:rFonts w:eastAsia="Segoe UI" w:cs="Segoe UI" w:ascii="Segoe UI" w:hAnsi="Segoe UI"/>
          <w:color w:val="101820"/>
          <w:sz w:val="21"/>
        </w:rPr>
        <w:t>Production support takes over from the project team when these criteria are met: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P1 or P2 issue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completed with the Accounting Manager's approval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approved; trial balance reviewed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 issues and workarounds documented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Known-error records in the knowledge base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documentation current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addresses, versions, release tag, backups, monitoring, secrets owners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baseline recorded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or copy of the configuration workbook as built in production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Contacts and escalation matrix agreed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annex</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 super users trained on raising tickets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Attendance and a test ticket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and alarms live; first backup verification passed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dashboard; restore test record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meeting held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 signed by the broker's IT head, the iorta TechNXT project manager and support manager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Open P3 and P4 items move to the production support backlog with their history.</w:t>
      </w:r>
      <w:r>
        <w:br w:type="page"/>
      </w:r>
    </w:p>
    <w:p>
      <w:pPr>
        <w:pStyle w:val="Heading1"/>
        <w:rPr/>
      </w:pPr>
      <w:bookmarkStart w:id="40" w:name="__RefHeading___Toc3426_3138101934"/>
      <w:bookmarkEnd w:id="40"/>
      <w:r>
        <w:rPr>
          <w:rFonts w:eastAsia="Segoe UI" w:cs="Segoe UI" w:ascii="Segoe UI" w:hAnsi="Segoe UI"/>
          <w:b/>
          <w:color w:val="0F4761"/>
          <w:sz w:val="32"/>
        </w:rPr>
        <w:t>17.  Root-cause analysis standards</w:t>
      </w:r>
    </w:p>
    <w:p>
      <w:pPr>
        <w:pStyle w:val="Normal"/>
        <w:spacing w:lineRule="auto" w:line="276" w:before="0" w:after="120"/>
        <w:rPr/>
      </w:pPr>
      <w:r>
        <w:rPr>
          <w:rFonts w:eastAsia="Segoe UI" w:cs="Segoe UI" w:ascii="Segoe UI" w:hAnsi="Segoe UI"/>
          <w:color w:val="101820"/>
          <w:sz w:val="21"/>
        </w:rPr>
        <w:t>An RCA is written for every P1 and for each problem record. The draft goes to the broker within 5 business days of service restore.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Section</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happened, impact (users, branches, transactions, amounts), duration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Timeline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Detection, response, escalation, workaround, restore, with times in PHT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Request IDs and log lines,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rows, Audit Trail entries, monitoring graphs, the release deployed at the time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Root cause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cause found with a structured method (five whys or cause-and-effect), classed as code, configuration, data, infrastructure, third party, process or user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Contributing factors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gaps, missing tests, unclear procedure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impact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affected and how they were corrected or confirmed correct, including the ledger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Corrective actions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fixed this occurrence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Preventive actions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stops it happening again (test added, alarm added, procedure or training), with owner and date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Whether personal data was involved; if yes, the incident is also handled under chapter 20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RCAs are blameless: they look at systems and processes, not at individuals.</w:t>
      </w:r>
      <w:r>
        <w:br w:type="page"/>
      </w:r>
    </w:p>
    <w:p>
      <w:pPr>
        <w:pStyle w:val="Heading1"/>
        <w:rPr/>
      </w:pPr>
      <w:bookmarkStart w:id="41" w:name="__RefHeading___Toc3428_3138101934"/>
      <w:bookmarkEnd w:id="41"/>
      <w:r>
        <w:rPr>
          <w:rFonts w:eastAsia="Segoe UI" w:cs="Segoe UI" w:ascii="Segoe UI" w:hAnsi="Segoe UI"/>
          <w:b/>
          <w:color w:val="0F4761"/>
          <w:sz w:val="32"/>
        </w:rPr>
        <w:t>18.  Code fix standards</w:t>
      </w:r>
    </w:p>
    <w:p>
      <w:pPr>
        <w:pStyle w:val="Heading2"/>
        <w:rPr/>
      </w:pPr>
      <w:bookmarkStart w:id="42" w:name="__RefHeading___Toc3430_3138101934"/>
      <w:bookmarkEnd w:id="42"/>
      <w:r>
        <w:rPr>
          <w:rFonts w:eastAsia="Segoe UI" w:cs="Segoe UI"/>
          <w:b/>
          <w:color w:val="0F4761"/>
          <w:sz w:val="26"/>
        </w:rPr>
        <w:t>18.1  Branching and review</w:t>
      </w:r>
    </w:p>
    <w:p>
      <w:pPr>
        <w:pStyle w:val="Normal"/>
        <w:numPr>
          <w:ilvl w:val="0"/>
          <w:numId w:val="1"/>
        </w:numPr>
        <w:spacing w:before="0" w:after="60"/>
        <w:rPr/>
      </w:pPr>
      <w:r>
        <w:rPr>
          <w:rFonts w:eastAsia="Segoe UI" w:cs="Segoe UI" w:ascii="Segoe UI" w:hAnsi="Segoe UI"/>
          <w:color w:val="101820"/>
          <w:sz w:val="21"/>
        </w:rPr>
        <w:t xml:space="preserve">Fixes start from the release tag running in production (for example </w:t>
      </w:r>
      <w:r>
        <w:rPr>
          <w:rFonts w:eastAsia="Consolas" w:cs="Consolas" w:ascii="Consolas" w:hAnsi="Consolas"/>
          <w:color w:val="101820"/>
          <w:sz w:val="19"/>
        </w:rPr>
        <w:t>v1.0.0</w:t>
      </w:r>
      <w:r>
        <w:rPr>
          <w:rFonts w:eastAsia="Segoe UI" w:cs="Segoe UI" w:ascii="Segoe UI" w:hAnsi="Segoe UI"/>
          <w:color w:val="101820"/>
          <w:sz w:val="21"/>
        </w:rPr>
        <w:t xml:space="preserve"> on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on a branch named </w:t>
      </w:r>
      <w:r>
        <w:rPr>
          <w:rFonts w:eastAsia="Consolas" w:cs="Consolas" w:ascii="Consolas" w:hAnsi="Consolas"/>
          <w:color w:val="101820"/>
          <w:sz w:val="19"/>
        </w:rPr>
        <w:t>fix/&lt;ticket-number&gt;-&lt;short-description&gt;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Every change goes through a pull request reviewed and approved by an engineer other than the author. The review checks the fix, the test, permissions on any route, audit calls on any change, and that no secret or personal data is in the code or the test data.</w:t>
      </w:r>
    </w:p>
    <w:p>
      <w:pPr>
        <w:pStyle w:val="Normal"/>
        <w:numPr>
          <w:ilvl w:val="0"/>
          <w:numId w:val="1"/>
        </w:numPr>
        <w:spacing w:before="0" w:after="60"/>
        <w:rPr/>
      </w:pPr>
      <w:r>
        <w:rPr>
          <w:rFonts w:eastAsia="Segoe UI" w:cs="Segoe UI" w:ascii="Segoe UI" w:hAnsi="Segoe UI"/>
          <w:color w:val="101820"/>
          <w:sz w:val="21"/>
        </w:rPr>
        <w:t>Continuous integration (</w:t>
      </w:r>
      <w:r>
        <w:rPr>
          <w:rFonts w:eastAsia="Consolas" w:cs="Consolas" w:ascii="Consolas" w:hAnsi="Consolas"/>
          <w:color w:val="101820"/>
          <w:sz w:val="19"/>
        </w:rPr>
        <w:t>.github/workflows/ci.yml</w:t>
      </w:r>
      <w:r>
        <w:rPr>
          <w:rFonts w:eastAsia="Segoe UI" w:cs="Segoe UI" w:ascii="Segoe UI" w:hAnsi="Segoe UI"/>
          <w:color w:val="101820"/>
          <w:sz w:val="21"/>
        </w:rPr>
        <w:t>) runs on every push and pull request: backend lint and tests, front-end tests and production build, backend image build. A red pipeline blocks the merge.</w:t>
      </w:r>
    </w:p>
    <w:p>
      <w:pPr>
        <w:pStyle w:val="Normal"/>
        <w:numPr>
          <w:ilvl w:val="0"/>
          <w:numId w:val="1"/>
        </w:numPr>
        <w:spacing w:before="0" w:after="60"/>
        <w:rPr/>
      </w:pPr>
      <w:r>
        <w:rPr>
          <w:rFonts w:eastAsia="Segoe UI" w:cs="Segoe UI" w:ascii="Segoe UI" w:hAnsi="Segoe UI"/>
          <w:color w:val="101820"/>
          <w:sz w:val="21"/>
        </w:rPr>
        <w:t>The fix is merged to the release branch and tagged as a new patch release; it is also merged into the main development line so it is not lost in the next release.</w:t>
      </w:r>
    </w:p>
    <w:p>
      <w:pPr>
        <w:pStyle w:val="Heading2"/>
        <w:rPr/>
      </w:pPr>
      <w:bookmarkStart w:id="43" w:name="__RefHeading___Toc3432_3138101934"/>
      <w:bookmarkEnd w:id="43"/>
      <w:r>
        <w:rPr>
          <w:rFonts w:eastAsia="Segoe UI" w:cs="Segoe UI"/>
          <w:b/>
          <w:color w:val="0F4761"/>
          <w:sz w:val="26"/>
        </w:rPr>
        <w:t>18.2  Rules for the change</w:t>
      </w:r>
    </w:p>
    <w:p>
      <w:pPr>
        <w:pStyle w:val="Normal"/>
        <w:numPr>
          <w:ilvl w:val="0"/>
          <w:numId w:val="1"/>
        </w:numPr>
        <w:spacing w:before="0" w:after="60"/>
        <w:rPr/>
      </w:pPr>
      <w:r>
        <w:rPr>
          <w:rFonts w:eastAsia="Segoe UI" w:cs="Segoe UI" w:ascii="Segoe UI" w:hAnsi="Segoe UI"/>
          <w:color w:val="101820"/>
          <w:sz w:val="21"/>
        </w:rPr>
        <w:t>Database migrations only add (new tables, columns, indexes). Existing data is changed only by a reviewed migration or a data correction under change control.</w:t>
      </w:r>
    </w:p>
    <w:p>
      <w:pPr>
        <w:pStyle w:val="Normal"/>
        <w:numPr>
          <w:ilvl w:val="0"/>
          <w:numId w:val="1"/>
        </w:numPr>
        <w:spacing w:before="0" w:after="60"/>
        <w:rPr/>
      </w:pPr>
      <w:r>
        <w:rPr>
          <w:rFonts w:eastAsia="Segoe UI" w:cs="Segoe UI" w:ascii="Segoe UI" w:hAnsi="Segoe UI"/>
          <w:color w:val="101820"/>
          <w:sz w:val="21"/>
        </w:rPr>
        <w:t xml:space="preserve">A new or changed setting has its code fallback equal to the seeded value; </w:t>
      </w:r>
      <w:r>
        <w:rPr>
          <w:rFonts w:eastAsia="Consolas" w:cs="Consolas" w:ascii="Consolas" w:hAnsi="Consolas"/>
          <w:color w:val="101820"/>
          <w:sz w:val="19"/>
        </w:rPr>
        <w:t>npm run check:settings</w:t>
      </w:r>
      <w:r>
        <w:rPr>
          <w:rFonts w:eastAsia="Segoe UI" w:cs="Segoe UI" w:ascii="Segoe UI" w:hAnsi="Segoe UI"/>
          <w:color w:val="101820"/>
          <w:sz w:val="21"/>
        </w:rPr>
        <w:t xml:space="preserve"> and the test suite check this.</w:t>
      </w:r>
    </w:p>
    <w:p>
      <w:pPr>
        <w:pStyle w:val="Normal"/>
        <w:numPr>
          <w:ilvl w:val="0"/>
          <w:numId w:val="1"/>
        </w:numPr>
        <w:spacing w:before="0" w:after="60"/>
        <w:rPr/>
      </w:pPr>
      <w:r>
        <w:rPr>
          <w:rFonts w:eastAsia="Segoe UI" w:cs="Segoe UI" w:ascii="Segoe UI" w:hAnsi="Segoe UI"/>
          <w:color w:val="101820"/>
          <w:sz w:val="21"/>
        </w:rPr>
        <w:t>A new route declares its screen, its permission (</w:t>
      </w:r>
      <w:r>
        <w:rPr>
          <w:rFonts w:eastAsia="Consolas" w:cs="Consolas" w:ascii="Consolas" w:hAnsi="Consolas"/>
          <w:color w:val="101820"/>
          <w:sz w:val="19"/>
        </w:rPr>
        <w:t>requirePermission</w:t>
      </w:r>
      <w:r>
        <w:rPr>
          <w:rFonts w:eastAsia="Segoe UI" w:cs="Segoe UI" w:ascii="Segoe UI" w:hAnsi="Segoe UI"/>
          <w:color w:val="101820"/>
          <w:sz w:val="21"/>
        </w:rPr>
        <w:t xml:space="preserve">), body validation and an </w:t>
      </w:r>
      <w:r>
        <w:rPr>
          <w:rFonts w:eastAsia="Consolas" w:cs="Consolas" w:ascii="Consolas" w:hAnsi="Consolas"/>
          <w:color w:val="101820"/>
          <w:sz w:val="19"/>
        </w:rPr>
        <w:t>audit()</w:t>
      </w:r>
      <w:r>
        <w:rPr>
          <w:rFonts w:eastAsia="Segoe UI" w:cs="Segoe UI" w:ascii="Segoe UI" w:hAnsi="Segoe UI"/>
          <w:color w:val="101820"/>
          <w:sz w:val="21"/>
        </w:rPr>
        <w:t xml:space="preserve"> call on every change; </w:t>
      </w:r>
      <w:r>
        <w:rPr>
          <w:rFonts w:eastAsia="Consolas" w:cs="Consolas" w:ascii="Consolas" w:hAnsi="Consolas"/>
          <w:color w:val="101820"/>
          <w:sz w:val="19"/>
        </w:rPr>
        <w:t>npm run export:api</w:t>
      </w:r>
      <w:r>
        <w:rPr>
          <w:rFonts w:eastAsia="Segoe UI" w:cs="Segoe UI" w:ascii="Segoe UI" w:hAnsi="Segoe UI"/>
          <w:color w:val="101820"/>
          <w:sz w:val="21"/>
        </w:rPr>
        <w:t xml:space="preserve"> regenerates the API documentation.</w:t>
      </w:r>
    </w:p>
    <w:p>
      <w:pPr>
        <w:pStyle w:val="Normal"/>
        <w:numPr>
          <w:ilvl w:val="0"/>
          <w:numId w:val="1"/>
        </w:numPr>
        <w:spacing w:before="0" w:after="60"/>
        <w:rPr/>
      </w:pPr>
      <w:r>
        <w:rPr>
          <w:rFonts w:eastAsia="Segoe UI" w:cs="Segoe UI" w:ascii="Segoe UI" w:hAnsi="Segoe UI"/>
          <w:color w:val="101820"/>
          <w:sz w:val="21"/>
        </w:rPr>
        <w:t>No business parameter (rate, account code, limit, e-mail text) is hard-coded: it is a setting in Master &gt; Configuration.</w:t>
      </w:r>
    </w:p>
    <w:p>
      <w:pPr>
        <w:pStyle w:val="Normal"/>
        <w:numPr>
          <w:ilvl w:val="0"/>
          <w:numId w:val="1"/>
        </w:numPr>
        <w:spacing w:before="0" w:after="60"/>
        <w:rPr/>
      </w:pPr>
      <w:r>
        <w:rPr>
          <w:rFonts w:eastAsia="Segoe UI" w:cs="Segoe UI" w:ascii="Segoe UI" w:hAnsi="Segoe UI"/>
          <w:color w:val="101820"/>
          <w:sz w:val="21"/>
        </w:rPr>
        <w:t>An importer change regenerates the upload templates (</w:t>
      </w:r>
      <w:r>
        <w:rPr>
          <w:rFonts w:eastAsia="Consolas" w:cs="Consolas" w:ascii="Consolas" w:hAnsi="Consolas"/>
          <w:color w:val="101820"/>
          <w:sz w:val="19"/>
        </w:rPr>
        <w:t>node scripts/build-upload-templates.js</w:t>
      </w:r>
      <w:r>
        <w:rPr>
          <w:rFonts w:eastAsia="Segoe UI" w:cs="Segoe UI" w:ascii="Segoe UI" w:hAnsi="Segoe UI"/>
          <w:color w:val="101820"/>
          <w:sz w:val="21"/>
        </w:rPr>
        <w:t xml:space="preserve">); </w:t>
      </w:r>
      <w:r>
        <w:rPr>
          <w:rFonts w:eastAsia="Consolas" w:cs="Consolas" w:ascii="Consolas" w:hAnsi="Consolas"/>
          <w:color w:val="101820"/>
          <w:sz w:val="19"/>
        </w:rPr>
        <w:t>upload-templates.test.js</w:t>
      </w:r>
      <w:r>
        <w:rPr>
          <w:rFonts w:eastAsia="Segoe UI" w:cs="Segoe UI" w:ascii="Segoe UI" w:hAnsi="Segoe UI"/>
          <w:color w:val="101820"/>
          <w:sz w:val="21"/>
        </w:rPr>
        <w:t xml:space="preserve"> checks the headers against the importers.</w:t>
      </w:r>
    </w:p>
    <w:p>
      <w:pPr>
        <w:pStyle w:val="Normal"/>
        <w:numPr>
          <w:ilvl w:val="0"/>
          <w:numId w:val="1"/>
        </w:numPr>
        <w:spacing w:before="0" w:after="60"/>
        <w:rPr/>
      </w:pPr>
      <w:r>
        <w:rPr>
          <w:rFonts w:eastAsia="Segoe UI" w:cs="Segoe UI" w:ascii="Segoe UI" w:hAnsi="Segoe UI"/>
          <w:color w:val="101820"/>
          <w:sz w:val="21"/>
        </w:rPr>
        <w:t>ESLint must be clean (</w:t>
      </w:r>
      <w:r>
        <w:rPr>
          <w:rFonts w:eastAsia="Consolas" w:cs="Consolas" w:ascii="Consolas" w:hAnsi="Consolas"/>
          <w:color w:val="101820"/>
          <w:sz w:val="19"/>
        </w:rPr>
        <w:t>npx eslint src test scripts</w:t>
      </w:r>
      <w:r>
        <w:rPr>
          <w:rFonts w:eastAsia="Segoe UI" w:cs="Segoe UI" w:ascii="Segoe UI" w:hAnsi="Segoe UI"/>
          <w:color w:val="101820"/>
          <w:sz w:val="21"/>
        </w:rPr>
        <w:t>).</w:t>
      </w:r>
    </w:p>
    <w:p>
      <w:pPr>
        <w:pStyle w:val="Heading2"/>
        <w:rPr/>
      </w:pPr>
      <w:bookmarkStart w:id="44" w:name="__RefHeading___Toc3434_3138101934"/>
      <w:bookmarkEnd w:id="44"/>
      <w:r>
        <w:rPr>
          <w:rFonts w:eastAsia="Segoe UI" w:cs="Segoe UI"/>
          <w:b/>
          <w:color w:val="0F4761"/>
          <w:sz w:val="26"/>
        </w:rPr>
        <w:t>18.3  Tests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Command</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Unit and integration test for the fix</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test in </w:t>
            </w:r>
            <w:r>
              <w:rPr>
                <w:rFonts w:eastAsia="Consolas" w:cs="Consolas" w:ascii="Consolas" w:hAnsi="Consolas"/>
                <w:color w:val="101820"/>
                <w:kern w:val="0"/>
                <w:sz w:val="16"/>
                <w:szCs w:val="24"/>
                <w:lang w:val="en-US" w:eastAsia="ja-JP" w:bidi="ar-SA"/>
              </w:rPr>
              <w:t>backend/test</w:t>
            </w:r>
            <w:r>
              <w:rPr>
                <w:rFonts w:eastAsia="Segoe UI" w:cs="Segoe UI" w:ascii="Segoe UI" w:hAnsi="Segoe UI"/>
                <w:color w:val="101820"/>
                <w:kern w:val="0"/>
                <w:sz w:val="18"/>
                <w:szCs w:val="24"/>
                <w:lang w:val="en-US" w:eastAsia="ja-JP" w:bidi="ar-SA"/>
              </w:rPr>
              <w:t xml:space="preserve"> that fails before the fix and passes after 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for every code fix</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suite (vitest, PostgreSQL 16)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TEST_DATABASE_URL=postgres://.../brokerverse_test npx vitest run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tests pass. Each test file drops and recreates the schema of the test database, so it never points at a database in use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npx craco test --watchAll=false</w:t>
            </w:r>
            <w:r>
              <w:rPr>
                <w:rFonts w:eastAsia="Segoe UI" w:cs="Segoe UI" w:ascii="Segoe UI" w:hAnsi="Segoe UI"/>
                <w:color w:val="101820"/>
                <w:kern w:val="0"/>
                <w:sz w:val="18"/>
                <w:szCs w:val="24"/>
                <w:lang w:val="en-US" w:eastAsia="ja-JP" w:bidi="ar-SA"/>
              </w:rPr>
              <w:t xml:space="preserve"> in </w:t>
            </w:r>
            <w:r>
              <w:rPr>
                <w:rFonts w:eastAsia="Consolas" w:cs="Consolas" w:ascii="Consolas" w:hAnsi="Consolas"/>
                <w:color w:val="101820"/>
                <w:kern w:val="0"/>
                <w:sz w:val="16"/>
                <w:szCs w:val="24"/>
                <w:lang w:val="en-US" w:eastAsia="ja-JP" w:bidi="ar-SA"/>
              </w:rPr>
              <w:t>brokerverse/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tests pass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npx eslint src test scripts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Clean</w:t>
            </w:r>
          </w:p>
        </w:tc>
      </w:tr>
    </w:tbl>
    <w:p>
      <w:pPr>
        <w:pStyle w:val="Normal"/>
        <w:spacing w:before="0" w:after="80"/>
        <w:rPr/>
      </w:pPr>
      <w:r>
        <w:rPr/>
      </w:r>
      <w:r>
        <w:br w:type="page"/>
      </w:r>
    </w:p>
    <w:p>
      <w:pPr>
        <w:pStyle w:val="Heading1"/>
        <w:rPr/>
      </w:pPr>
      <w:bookmarkStart w:id="45" w:name="__RefHeading___Toc3436_3138101934"/>
      <w:bookmarkEnd w:id="45"/>
      <w:r>
        <w:rPr>
          <w:rFonts w:eastAsia="Segoe UI" w:cs="Segoe UI" w:ascii="Segoe UI" w:hAnsi="Segoe UI"/>
          <w:b/>
          <w:color w:val="0F4761"/>
          <w:sz w:val="32"/>
        </w:rPr>
        <w:t>19.  Regression testing</w:t>
      </w:r>
    </w:p>
    <w:p>
      <w:pPr>
        <w:pStyle w:val="Normal"/>
        <w:spacing w:lineRule="auto" w:line="276" w:before="0" w:after="120"/>
        <w:rPr/>
      </w:pPr>
      <w:r>
        <w:rPr>
          <w:rFonts w:eastAsia="Segoe UI" w:cs="Segoe UI" w:ascii="Segoe UI" w:hAnsi="Segoe UI"/>
          <w:color w:val="101820"/>
          <w:sz w:val="21"/>
        </w:rPr>
        <w:t>Before any release reaches production, iorta TechNXT runs the regression below in the test environment and attaches the results to the change.</w:t>
      </w:r>
    </w:p>
    <w:p>
      <w:pPr>
        <w:pStyle w:val="Normal"/>
        <w:numPr>
          <w:ilvl w:val="0"/>
          <w:numId w:val="18"/>
        </w:numPr>
        <w:spacing w:before="0" w:after="60"/>
        <w:rPr/>
      </w:pPr>
      <w:r>
        <w:rPr>
          <w:rFonts w:eastAsia="Segoe UI" w:cs="Segoe UI" w:ascii="Segoe UI" w:hAnsi="Segoe UI"/>
          <w:color w:val="101820"/>
          <w:sz w:val="21"/>
        </w:rPr>
        <w:t>The backend vitest suite and the front-end tests (chapter 18).</w:t>
      </w:r>
    </w:p>
    <w:p>
      <w:pPr>
        <w:pStyle w:val="Normal"/>
        <w:numPr>
          <w:ilvl w:val="0"/>
          <w:numId w:val="19"/>
        </w:numPr>
        <w:spacing w:before="0" w:after="60"/>
        <w:rPr/>
      </w:pPr>
      <w:r>
        <w:rPr>
          <w:rFonts w:eastAsia="Segoe UI" w:cs="Segoe UI" w:ascii="Segoe UI" w:hAnsi="Segoe UI"/>
          <w:color w:val="101820"/>
          <w:sz w:val="21"/>
        </w:rPr>
        <w:t>The UAT data scenario on a fresh database, migrated and seeded with reference data only:</w:t>
      </w:r>
    </w:p>
    <w:p>
      <w:pPr>
        <w:pStyle w:val="Normal"/>
        <w:shd w:val="clear" w:color="auto" w:fill="F3F4F6"/>
        <w:spacing w:before="0" w:after="0"/>
        <w:ind w:left="170"/>
        <w:rPr/>
      </w:pPr>
      <w:r>
        <w:rPr>
          <w:rFonts w:eastAsia="Consolas" w:cs="Consolas" w:ascii="Consolas" w:hAnsi="Consolas"/>
          <w:color w:val="101820"/>
          <w:sz w:val="17"/>
        </w:rPr>
        <w:t>API_BASE=https://&lt;test-api&gt;/api ADMIN_PASSWORD=... PERSONA_PASSWORD=... node scripts/uat-scenario.js</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scenario runs the complete broking cycle of a Philippine non-life broker through the API with one user per role: set-up, go-live migration, retail and corporate business, billing and collection, endorsements, renewals and claims, remittances, commission and petty cash, reinsurance and incentives, reconciliation, month-end and reports. Its run log (</w:t>
      </w:r>
      <w:r>
        <w:rPr>
          <w:rFonts w:eastAsia="Consolas" w:cs="Consolas" w:ascii="Consolas" w:hAnsi="Consolas"/>
          <w:color w:val="101820"/>
          <w:sz w:val="19"/>
        </w:rPr>
        <w:t>UAT_REPORT</w:t>
      </w:r>
      <w:r>
        <w:rPr>
          <w:rFonts w:eastAsia="Segoe UI" w:cs="Segoe UI" w:ascii="Segoe UI" w:hAnsi="Segoe UI"/>
          <w:color w:val="101820"/>
          <w:sz w:val="21"/>
        </w:rPr>
        <w:t xml:space="preserve">, by default </w:t>
      </w:r>
      <w:r>
        <w:rPr>
          <w:rFonts w:eastAsia="Consolas" w:cs="Consolas" w:ascii="Consolas" w:hAnsi="Consolas"/>
          <w:color w:val="101820"/>
          <w:sz w:val="19"/>
        </w:rPr>
        <w:t>docs/e2e/UAT_SCENARIO_RUN.md</w:t>
      </w:r>
      <w:r>
        <w:rPr>
          <w:rFonts w:eastAsia="Segoe UI" w:cs="Segoe UI" w:ascii="Segoe UI" w:hAnsi="Segoe UI"/>
          <w:color w:val="101820"/>
          <w:sz w:val="21"/>
        </w:rPr>
        <w:t>) must show all steps passed. The run of 30 September 2026 passed 382 of 382 steps. Passwords come from the environment only.</w:t>
      </w:r>
    </w:p>
    <w:p>
      <w:pPr>
        <w:pStyle w:val="Normal"/>
        <w:numPr>
          <w:ilvl w:val="0"/>
          <w:numId w:val="20"/>
        </w:numPr>
        <w:spacing w:before="0" w:after="60"/>
        <w:rPr/>
      </w:pPr>
      <w:r>
        <w:rPr>
          <w:rFonts w:eastAsia="Segoe UI" w:cs="Segoe UI" w:ascii="Segoe UI" w:hAnsi="Segoe UI"/>
          <w:color w:val="101820"/>
          <w:sz w:val="21"/>
        </w:rPr>
        <w:t>The broker's key users run the UAT scripts (</w:t>
      </w:r>
      <w:r>
        <w:rPr>
          <w:rFonts w:eastAsia="Consolas" w:cs="Consolas" w:ascii="Consolas" w:hAnsi="Consolas"/>
          <w:color w:val="101820"/>
          <w:sz w:val="19"/>
        </w:rPr>
        <w:t>docs/onboarding/UAT_SCRIPTS.md</w:t>
      </w:r>
      <w:r>
        <w:rPr>
          <w:rFonts w:eastAsia="Segoe UI" w:cs="Segoe UI" w:ascii="Segoe UI" w:hAnsi="Segoe UI"/>
          <w:color w:val="101820"/>
          <w:sz w:val="21"/>
        </w:rPr>
        <w:t>) that cover the changed area.</w:t>
      </w:r>
    </w:p>
    <w:p>
      <w:pPr>
        <w:pStyle w:val="Normal"/>
        <w:numPr>
          <w:ilvl w:val="0"/>
          <w:numId w:val="21"/>
        </w:numPr>
        <w:spacing w:before="0" w:after="60"/>
        <w:rPr/>
      </w:pPr>
      <w:r>
        <w:rPr>
          <w:rFonts w:eastAsia="Segoe UI" w:cs="Segoe UI" w:ascii="Segoe UI" w:hAnsi="Segoe UI"/>
          <w:color w:val="101820"/>
          <w:sz w:val="21"/>
        </w:rPr>
        <w:t>For changes to printed documents and reports: the document and report sweep (</w:t>
      </w:r>
      <w:r>
        <w:rPr>
          <w:rFonts w:eastAsia="Consolas" w:cs="Consolas" w:ascii="Consolas" w:hAnsi="Consolas"/>
          <w:color w:val="101820"/>
          <w:sz w:val="19"/>
        </w:rPr>
        <w:t>backend/scripts/doc-report-sweep.js</w:t>
      </w:r>
      <w:r>
        <w:rPr>
          <w:rFonts w:eastAsia="Segoe UI" w:cs="Segoe UI" w:ascii="Segoe UI" w:hAnsi="Segoe UI"/>
          <w:color w:val="101820"/>
          <w:sz w:val="21"/>
        </w:rPr>
        <w:t>) and a check of the letterhead on the PDFs.</w:t>
      </w:r>
    </w:p>
    <w:p>
      <w:pPr>
        <w:pStyle w:val="Normal"/>
        <w:spacing w:lineRule="auto" w:line="276" w:before="0" w:after="120"/>
        <w:rPr/>
      </w:pPr>
      <w:r>
        <w:rPr>
          <w:rFonts w:eastAsia="Segoe UI" w:cs="Segoe UI" w:ascii="Segoe UI" w:hAnsi="Segoe UI"/>
          <w:color w:val="101820"/>
          <w:sz w:val="21"/>
        </w:rPr>
        <w:t>A failed step blocks the release until it is fixed or the CAB accepts the risk in writing.</w:t>
      </w:r>
      <w:r>
        <w:br w:type="page"/>
      </w:r>
    </w:p>
    <w:p>
      <w:pPr>
        <w:pStyle w:val="Heading1"/>
        <w:rPr/>
      </w:pPr>
      <w:bookmarkStart w:id="46" w:name="__RefHeading___Toc3438_3138101934"/>
      <w:bookmarkEnd w:id="46"/>
      <w:r>
        <w:rPr>
          <w:rFonts w:eastAsia="Segoe UI" w:cs="Segoe UI" w:ascii="Segoe UI" w:hAnsi="Segoe UI"/>
          <w:b/>
          <w:color w:val="0F4761"/>
          <w:sz w:val="32"/>
        </w:rPr>
        <w:t>20.  Security incidents and personal data breaches</w:t>
      </w:r>
    </w:p>
    <w:p>
      <w:pPr>
        <w:pStyle w:val="Heading2"/>
        <w:rPr/>
      </w:pPr>
      <w:bookmarkStart w:id="47" w:name="__RefHeading___Toc3440_3138101934"/>
      <w:bookmarkEnd w:id="47"/>
      <w:r>
        <w:rPr>
          <w:rFonts w:eastAsia="Segoe UI" w:cs="Segoe UI"/>
          <w:b/>
          <w:color w:val="0F4761"/>
          <w:sz w:val="26"/>
        </w:rPr>
        <w:t>20.1  Security incidents</w:t>
      </w:r>
    </w:p>
    <w:p>
      <w:pPr>
        <w:pStyle w:val="Normal"/>
        <w:spacing w:lineRule="auto" w:line="276" w:before="0" w:after="120"/>
        <w:rPr/>
      </w:pPr>
      <w:r>
        <w:rPr>
          <w:rFonts w:eastAsia="Segoe UI" w:cs="Segoe UI" w:ascii="Segoe UI" w:hAnsi="Segoe UI"/>
          <w:color w:val="101820"/>
          <w:sz w:val="21"/>
        </w:rPr>
        <w:t>A suspected security incident (unauthorised access, credential attack, data exposed, malware, a leaked secret) is handled as a P1.</w:t>
      </w:r>
    </w:p>
    <w:p>
      <w:pPr>
        <w:pStyle w:val="Normal"/>
        <w:numPr>
          <w:ilvl w:val="0"/>
          <w:numId w:val="22"/>
        </w:numPr>
        <w:spacing w:before="0" w:after="60"/>
        <w:rPr/>
      </w:pPr>
      <w:r>
        <w:rPr>
          <w:rFonts w:eastAsia="Segoe UI" w:cs="Segoe UI" w:ascii="Segoe UI" w:hAnsi="Segoe UI"/>
          <w:color w:val="101820"/>
          <w:sz w:val="21"/>
        </w:rPr>
        <w:t>Contain: disable affected users, rotate exposed secrets (</w:t>
      </w:r>
      <w:r>
        <w:rPr>
          <w:rFonts w:eastAsia="Consolas" w:cs="Consolas" w:ascii="Consolas" w:hAnsi="Consolas"/>
          <w:color w:val="101820"/>
          <w:sz w:val="19"/>
        </w:rPr>
        <w:t>JWT_SECRET</w:t>
      </w:r>
      <w:r>
        <w:rPr>
          <w:rFonts w:eastAsia="Segoe UI" w:cs="Segoe UI" w:ascii="Segoe UI" w:hAnsi="Segoe UI"/>
          <w:color w:val="101820"/>
          <w:sz w:val="21"/>
        </w:rPr>
        <w:t xml:space="preserve"> signs every user out; </w:t>
      </w:r>
      <w:r>
        <w:rPr>
          <w:rFonts w:eastAsia="Consolas" w:cs="Consolas" w:ascii="Consolas" w:hAnsi="Consolas"/>
          <w:color w:val="101820"/>
          <w:sz w:val="19"/>
        </w:rPr>
        <w:t>DATA_ENCRYPTION_KEY</w:t>
      </w:r>
      <w:r>
        <w:rPr>
          <w:rFonts w:eastAsia="Segoe UI" w:cs="Segoe UI" w:ascii="Segoe UI" w:hAnsi="Segoe UI"/>
          <w:color w:val="101820"/>
          <w:sz w:val="21"/>
        </w:rPr>
        <w:t xml:space="preserve"> rotation is planned with the restore impact in mind), block addresses at the load balancer, isolate affected components.</w:t>
      </w:r>
    </w:p>
    <w:p>
      <w:pPr>
        <w:pStyle w:val="Normal"/>
        <w:numPr>
          <w:ilvl w:val="0"/>
          <w:numId w:val="23"/>
        </w:numPr>
        <w:spacing w:before="0" w:after="60"/>
        <w:rPr/>
      </w:pPr>
      <w:r>
        <w:rPr>
          <w:rFonts w:eastAsia="Segoe UI" w:cs="Segoe UI" w:ascii="Segoe UI" w:hAnsi="Segoe UI"/>
          <w:color w:val="101820"/>
          <w:sz w:val="21"/>
        </w:rPr>
        <w:t xml:space="preserve">Preserve evidence: logs, </w:t>
      </w:r>
      <w:r>
        <w:rPr>
          <w:rFonts w:eastAsia="Consolas" w:cs="Consolas" w:ascii="Consolas" w:hAnsi="Consolas"/>
          <w:color w:val="101820"/>
          <w:sz w:val="19"/>
        </w:rPr>
        <w:t>login_history</w:t>
      </w:r>
      <w:r>
        <w:rPr>
          <w:rFonts w:eastAsia="Segoe UI" w:cs="Segoe UI" w:ascii="Segoe UI" w:hAnsi="Segoe UI"/>
          <w:color w:val="101820"/>
          <w:sz w:val="21"/>
        </w:rPr>
        <w:t xml:space="preserve">, </w:t>
      </w:r>
      <w:r>
        <w:rPr>
          <w:rFonts w:eastAsia="Consolas" w:cs="Consolas" w:ascii="Consolas" w:hAnsi="Consolas"/>
          <w:color w:val="101820"/>
          <w:sz w:val="19"/>
        </w:rPr>
        <w:t>audit_log</w:t>
      </w:r>
      <w:r>
        <w:rPr>
          <w:rFonts w:eastAsia="Segoe UI" w:cs="Segoe UI" w:ascii="Segoe UI" w:hAnsi="Segoe UI"/>
          <w:color w:val="101820"/>
          <w:sz w:val="21"/>
        </w:rPr>
        <w:t>, monitoring data, database snapshot.</w:t>
      </w:r>
    </w:p>
    <w:p>
      <w:pPr>
        <w:pStyle w:val="Normal"/>
        <w:numPr>
          <w:ilvl w:val="0"/>
          <w:numId w:val="24"/>
        </w:numPr>
        <w:spacing w:before="0" w:after="60"/>
        <w:rPr/>
      </w:pPr>
      <w:r>
        <w:rPr>
          <w:rFonts w:eastAsia="Segoe UI" w:cs="Segoe UI" w:ascii="Segoe UI" w:hAnsi="Segoe UI"/>
          <w:color w:val="101820"/>
          <w:sz w:val="21"/>
        </w:rPr>
        <w:t>Assess what data and which data subjects are affected.</w:t>
      </w:r>
    </w:p>
    <w:p>
      <w:pPr>
        <w:pStyle w:val="Normal"/>
        <w:numPr>
          <w:ilvl w:val="0"/>
          <w:numId w:val="25"/>
        </w:numPr>
        <w:spacing w:before="0" w:after="60"/>
        <w:rPr/>
      </w:pPr>
      <w:r>
        <w:rPr>
          <w:rFonts w:eastAsia="Segoe UI" w:cs="Segoe UI" w:ascii="Segoe UI" w:hAnsi="Segoe UI"/>
          <w:color w:val="101820"/>
          <w:sz w:val="21"/>
        </w:rPr>
        <w:t>Recover and verify.</w:t>
      </w:r>
    </w:p>
    <w:p>
      <w:pPr>
        <w:pStyle w:val="Normal"/>
        <w:numPr>
          <w:ilvl w:val="0"/>
          <w:numId w:val="26"/>
        </w:numPr>
        <w:spacing w:before="0" w:after="60"/>
        <w:rPr/>
      </w:pPr>
      <w:r>
        <w:rPr>
          <w:rFonts w:eastAsia="Segoe UI" w:cs="Segoe UI" w:ascii="Segoe UI" w:hAnsi="Segoe UI"/>
          <w:color w:val="101820"/>
          <w:sz w:val="21"/>
        </w:rPr>
        <w:t>Report and learn: RCA, preventive actions.</w:t>
      </w:r>
    </w:p>
    <w:p>
      <w:pPr>
        <w:pStyle w:val="Heading2"/>
        <w:rPr/>
      </w:pPr>
      <w:bookmarkStart w:id="48" w:name="__RefHeading___Toc3442_3138101934"/>
      <w:bookmarkEnd w:id="48"/>
      <w:r>
        <w:rPr>
          <w:rFonts w:eastAsia="Segoe UI" w:cs="Segoe UI"/>
          <w:b/>
          <w:color w:val="0F4761"/>
          <w:sz w:val="26"/>
        </w:rPr>
        <w:t>20.2  Personal data breaches</w:t>
      </w:r>
    </w:p>
    <w:p>
      <w:pPr>
        <w:pStyle w:val="Normal"/>
        <w:spacing w:lineRule="auto" w:line="276" w:before="0" w:after="120"/>
        <w:rPr/>
      </w:pPr>
      <w:r>
        <w:rPr>
          <w:rFonts w:eastAsia="Segoe UI" w:cs="Segoe UI" w:ascii="Segoe UI" w:hAnsi="Segoe UI"/>
          <w:color w:val="101820"/>
          <w:sz w:val="21"/>
        </w:rPr>
        <w:t>BrokerVerse holds personal data of prospects, clients, claimants and users (names, contact details, addresses, government ID numbers and images, vehicle details, bank details of referrers). The broker is the personal information controller; iorta TechNXT acts as personal information processor under the data sharing or outsourcing agreement.</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informs the broker's DPO and System Administrator of a suspected breach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Without delay, and within 24 hours of discovery (proposed contract term)</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Assessment: whether the breach involves sensitive personal information or information that may enable identity fraud, and is likely to give rise to a real risk of serious harm</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 with iorta TechNXT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Immediately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to the National Privacy Commission, where required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72 hours of knowledge of the breach</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to affected data subjects, where required</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72 hours, unless the NPC allows otherwise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report and evidence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and the broker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requested by the NPC</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register entry and annual report of breaches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required by the NPC rules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iorta TechNXT supports the broker with the facts (what, when, which records, which users, containment) but does not notify the NPC or data subjects on the broker's behalf unless the agreement says so. The broker's DPO confirms the current NPC rules on breach notification.</w:t>
      </w:r>
      <w:r>
        <w:br w:type="page"/>
      </w:r>
    </w:p>
    <w:p>
      <w:pPr>
        <w:pStyle w:val="Heading1"/>
        <w:rPr/>
      </w:pPr>
      <w:bookmarkStart w:id="49" w:name="__RefHeading___Toc3444_3138101934"/>
      <w:bookmarkEnd w:id="49"/>
      <w:r>
        <w:rPr>
          <w:rFonts w:eastAsia="Segoe UI" w:cs="Segoe UI" w:ascii="Segoe UI" w:hAnsi="Segoe UI"/>
          <w:b/>
          <w:color w:val="0F4761"/>
          <w:sz w:val="32"/>
        </w:rPr>
        <w:t>21.  Support exclusions</w:t>
      </w:r>
    </w:p>
    <w:p>
      <w:pPr>
        <w:pStyle w:val="Normal"/>
        <w:spacing w:lineRule="auto" w:line="276" w:before="0" w:after="120"/>
        <w:rPr/>
      </w:pPr>
      <w:r>
        <w:rPr>
          <w:rFonts w:eastAsia="Segoe UI" w:cs="Segoe UI" w:ascii="Segoe UI" w:hAnsi="Segoe UI"/>
          <w:color w:val="101820"/>
          <w:sz w:val="21"/>
        </w:rPr>
        <w:t>The following are outside production support and are handled as change requests or separate services:</w:t>
      </w:r>
    </w:p>
    <w:p>
      <w:pPr>
        <w:pStyle w:val="Normal"/>
        <w:numPr>
          <w:ilvl w:val="0"/>
          <w:numId w:val="1"/>
        </w:numPr>
        <w:spacing w:before="0" w:after="60"/>
        <w:rPr/>
      </w:pPr>
      <w:r>
        <w:rPr>
          <w:rFonts w:eastAsia="Segoe UI" w:cs="Segoe UI" w:ascii="Segoe UI" w:hAnsi="Segoe UI"/>
          <w:color w:val="101820"/>
          <w:sz w:val="21"/>
        </w:rPr>
        <w:t>New features, new reports, new printed documents and customisation.</w:t>
      </w:r>
    </w:p>
    <w:p>
      <w:pPr>
        <w:pStyle w:val="Normal"/>
        <w:numPr>
          <w:ilvl w:val="0"/>
          <w:numId w:val="1"/>
        </w:numPr>
        <w:spacing w:before="0" w:after="60"/>
        <w:rPr/>
      </w:pPr>
      <w:r>
        <w:rPr>
          <w:rFonts w:eastAsia="Segoe UI" w:cs="Segoe UI" w:ascii="Segoe UI" w:hAnsi="Segoe UI"/>
          <w:color w:val="101820"/>
          <w:sz w:val="21"/>
        </w:rPr>
        <w:t>New integrations, or changes caused by a third party (insurer, bank, payment gateway, e-mail provider) changing its interface.</w:t>
      </w:r>
    </w:p>
    <w:p>
      <w:pPr>
        <w:pStyle w:val="Normal"/>
        <w:numPr>
          <w:ilvl w:val="0"/>
          <w:numId w:val="1"/>
        </w:numPr>
        <w:spacing w:before="0" w:after="60"/>
        <w:rPr/>
      </w:pPr>
      <w:r>
        <w:rPr>
          <w:rFonts w:eastAsia="Segoe UI" w:cs="Segoe UI" w:ascii="Segoe UI" w:hAnsi="Segoe UI"/>
          <w:color w:val="101820"/>
          <w:sz w:val="21"/>
        </w:rPr>
        <w:t>Data entry, data cleansing and bulk data work for the broker's business.</w:t>
      </w:r>
    </w:p>
    <w:p>
      <w:pPr>
        <w:pStyle w:val="Normal"/>
        <w:numPr>
          <w:ilvl w:val="0"/>
          <w:numId w:val="1"/>
        </w:numPr>
        <w:spacing w:before="0" w:after="60"/>
        <w:rPr/>
      </w:pPr>
      <w:r>
        <w:rPr>
          <w:rFonts w:eastAsia="Segoe UI" w:cs="Segoe UI" w:ascii="Segoe UI" w:hAnsi="Segoe UI"/>
          <w:color w:val="101820"/>
          <w:sz w:val="21"/>
        </w:rPr>
        <w:t>Business configuration done on the broker's behalf beyond the agreed hours.</w:t>
      </w:r>
    </w:p>
    <w:p>
      <w:pPr>
        <w:pStyle w:val="Normal"/>
        <w:numPr>
          <w:ilvl w:val="0"/>
          <w:numId w:val="1"/>
        </w:numPr>
        <w:spacing w:before="0" w:after="60"/>
        <w:rPr/>
      </w:pPr>
      <w:r>
        <w:rPr>
          <w:rFonts w:eastAsia="Segoe UI" w:cs="Segoe UI" w:ascii="Segoe UI" w:hAnsi="Segoe UI"/>
          <w:color w:val="101820"/>
          <w:sz w:val="21"/>
        </w:rPr>
        <w:t>Training of new users beyond the agreed refresher sessions.</w:t>
      </w:r>
    </w:p>
    <w:p>
      <w:pPr>
        <w:pStyle w:val="Normal"/>
        <w:numPr>
          <w:ilvl w:val="0"/>
          <w:numId w:val="1"/>
        </w:numPr>
        <w:spacing w:before="0" w:after="60"/>
        <w:rPr/>
      </w:pPr>
      <w:r>
        <w:rPr>
          <w:rFonts w:eastAsia="Segoe UI" w:cs="Segoe UI" w:ascii="Segoe UI" w:hAnsi="Segoe UI"/>
          <w:color w:val="101820"/>
          <w:sz w:val="21"/>
        </w:rPr>
        <w:t>Issues caused by changes the broker made outside the change process, or by the broker's network, devices or browsers.</w:t>
      </w:r>
    </w:p>
    <w:p>
      <w:pPr>
        <w:pStyle w:val="Normal"/>
        <w:numPr>
          <w:ilvl w:val="0"/>
          <w:numId w:val="1"/>
        </w:numPr>
        <w:spacing w:before="0" w:after="60"/>
        <w:rPr/>
      </w:pPr>
      <w:r>
        <w:rPr>
          <w:rFonts w:eastAsia="Segoe UI" w:cs="Segoe UI" w:ascii="Segoe UI" w:hAnsi="Segoe UI"/>
          <w:color w:val="101820"/>
          <w:sz w:val="21"/>
        </w:rPr>
        <w:t>Filing of BIR, IC, NPC or AMLC returns and reports; tax, legal and audit advice.</w:t>
      </w:r>
    </w:p>
    <w:p>
      <w:pPr>
        <w:pStyle w:val="Normal"/>
        <w:numPr>
          <w:ilvl w:val="0"/>
          <w:numId w:val="1"/>
        </w:numPr>
        <w:spacing w:before="0" w:after="60"/>
        <w:rPr/>
      </w:pPr>
      <w:r>
        <w:rPr>
          <w:rFonts w:eastAsia="Segoe UI" w:cs="Segoe UI" w:ascii="Segoe UI" w:hAnsi="Segoe UI"/>
          <w:color w:val="101820"/>
          <w:sz w:val="21"/>
        </w:rPr>
        <w:t>Recovery of data deleted by the broker's users beyond what the backups hold.</w:t>
      </w:r>
    </w:p>
    <w:p>
      <w:pPr>
        <w:pStyle w:val="Normal"/>
        <w:numPr>
          <w:ilvl w:val="0"/>
          <w:numId w:val="1"/>
        </w:numPr>
        <w:spacing w:before="0" w:after="60"/>
        <w:rPr/>
      </w:pPr>
      <w:r>
        <w:rPr>
          <w:rFonts w:eastAsia="Segoe UI" w:cs="Segoe UI" w:ascii="Segoe UI" w:hAnsi="Segoe UI"/>
          <w:color w:val="101820"/>
          <w:sz w:val="21"/>
        </w:rPr>
        <w:t>Support of releases more than two planned releases behind the current one (assumption).</w:t>
      </w:r>
      <w:r>
        <w:br w:type="page"/>
      </w:r>
    </w:p>
    <w:p>
      <w:pPr>
        <w:pStyle w:val="Heading1"/>
        <w:rPr/>
      </w:pPr>
      <w:bookmarkStart w:id="50" w:name="__RefHeading___Toc3446_3138101934"/>
      <w:bookmarkEnd w:id="50"/>
      <w:r>
        <w:rPr>
          <w:rFonts w:eastAsia="Segoe UI" w:cs="Segoe UI" w:ascii="Segoe UI" w:hAnsi="Segoe UI"/>
          <w:b/>
          <w:color w:val="0F4761"/>
          <w:sz w:val="32"/>
        </w:rPr>
        <w:t>22.  What the broker provides</w:t>
      </w:r>
    </w:p>
    <w:p>
      <w:pPr>
        <w:pStyle w:val="Normal"/>
        <w:numPr>
          <w:ilvl w:val="0"/>
          <w:numId w:val="1"/>
        </w:numPr>
        <w:spacing w:before="0" w:after="60"/>
        <w:rPr/>
      </w:pPr>
      <w:r>
        <w:rPr>
          <w:rFonts w:eastAsia="Segoe UI" w:cs="Segoe UI" w:ascii="Segoe UI" w:hAnsi="Segoe UI"/>
          <w:color w:val="101820"/>
          <w:sz w:val="21"/>
        </w:rPr>
        <w:t>Named L1 super users (one per team) and a System Administrator, trained and available in service hours.</w:t>
      </w:r>
    </w:p>
    <w:p>
      <w:pPr>
        <w:pStyle w:val="Normal"/>
        <w:numPr>
          <w:ilvl w:val="0"/>
          <w:numId w:val="1"/>
        </w:numPr>
        <w:spacing w:before="0" w:after="60"/>
        <w:rPr/>
      </w:pPr>
      <w:r>
        <w:rPr>
          <w:rFonts w:eastAsia="Segoe UI" w:cs="Segoe UI" w:ascii="Segoe UI" w:hAnsi="Segoe UI"/>
          <w:color w:val="101820"/>
          <w:sz w:val="21"/>
        </w:rPr>
        <w:t>A broker change owner and an IT head for escalations and CAB decisions; a DPO for privacy matters.</w:t>
      </w:r>
    </w:p>
    <w:p>
      <w:pPr>
        <w:pStyle w:val="Normal"/>
        <w:numPr>
          <w:ilvl w:val="0"/>
          <w:numId w:val="1"/>
        </w:numPr>
        <w:spacing w:before="0" w:after="60"/>
        <w:rPr/>
      </w:pPr>
      <w:r>
        <w:rPr>
          <w:rFonts w:eastAsia="Segoe UI" w:cs="Segoe UI" w:ascii="Segoe UI" w:hAnsi="Segoe UI"/>
          <w:color w:val="101820"/>
          <w:sz w:val="21"/>
        </w:rPr>
        <w:t>Tickets with the minimum content of chapter 7.</w:t>
      </w:r>
    </w:p>
    <w:p>
      <w:pPr>
        <w:pStyle w:val="Normal"/>
        <w:numPr>
          <w:ilvl w:val="0"/>
          <w:numId w:val="1"/>
        </w:numPr>
        <w:spacing w:before="0" w:after="60"/>
        <w:rPr/>
      </w:pPr>
      <w:r>
        <w:rPr>
          <w:rFonts w:eastAsia="Segoe UI" w:cs="Segoe UI" w:ascii="Segoe UI" w:hAnsi="Segoe UI"/>
          <w:color w:val="101820"/>
          <w:sz w:val="21"/>
        </w:rPr>
        <w:t>Access to the people who can reproduce the issue and test the fix.</w:t>
      </w:r>
    </w:p>
    <w:p>
      <w:pPr>
        <w:pStyle w:val="Normal"/>
        <w:numPr>
          <w:ilvl w:val="0"/>
          <w:numId w:val="1"/>
        </w:numPr>
        <w:spacing w:before="0" w:after="60"/>
        <w:rPr/>
      </w:pPr>
      <w:r>
        <w:rPr>
          <w:rFonts w:eastAsia="Segoe UI" w:cs="Segoe UI" w:ascii="Segoe UI" w:hAnsi="Segoe UI"/>
          <w:color w:val="101820"/>
          <w:sz w:val="21"/>
        </w:rPr>
        <w:t>Testers for the UAT scripts before each release, and approval within the agreed time.</w:t>
      </w:r>
    </w:p>
    <w:p>
      <w:pPr>
        <w:pStyle w:val="Normal"/>
        <w:numPr>
          <w:ilvl w:val="0"/>
          <w:numId w:val="1"/>
        </w:numPr>
        <w:spacing w:before="0" w:after="60"/>
        <w:rPr/>
      </w:pPr>
      <w:r>
        <w:rPr>
          <w:rFonts w:eastAsia="Segoe UI" w:cs="Segoe UI" w:ascii="Segoe UI" w:hAnsi="Segoe UI"/>
          <w:color w:val="101820"/>
          <w:sz w:val="21"/>
        </w:rPr>
        <w:t>Timely decisions on severity disputes, changes and releases.</w:t>
      </w:r>
    </w:p>
    <w:p>
      <w:pPr>
        <w:pStyle w:val="Normal"/>
        <w:numPr>
          <w:ilvl w:val="0"/>
          <w:numId w:val="1"/>
        </w:numPr>
        <w:spacing w:before="0" w:after="60"/>
        <w:rPr/>
      </w:pPr>
      <w:r>
        <w:rPr>
          <w:rFonts w:eastAsia="Segoe UI" w:cs="Segoe UI" w:ascii="Segoe UI" w:hAnsi="Segoe UI"/>
          <w:color w:val="101820"/>
          <w:sz w:val="21"/>
        </w:rPr>
        <w:t>Notice of business events that affect support: month-end and year-end dates, BIR filing dates, peak renewal periods, new branches or large data loads.</w:t>
      </w:r>
    </w:p>
    <w:p>
      <w:pPr>
        <w:pStyle w:val="Normal"/>
        <w:numPr>
          <w:ilvl w:val="0"/>
          <w:numId w:val="1"/>
        </w:numPr>
        <w:spacing w:before="0" w:after="60"/>
        <w:rPr/>
      </w:pPr>
      <w:r>
        <w:rPr>
          <w:rFonts w:eastAsia="Segoe UI" w:cs="Segoe UI" w:ascii="Segoe UI" w:hAnsi="Segoe UI"/>
          <w:color w:val="101820"/>
          <w:sz w:val="21"/>
        </w:rPr>
        <w:t>Credentials and contracts of third parties the broker owns (SMTP mailbox, payment gateway merchant account, bank formats), and their support contacts.</w:t>
      </w:r>
    </w:p>
    <w:p>
      <w:pPr>
        <w:pStyle w:val="Normal"/>
        <w:numPr>
          <w:ilvl w:val="0"/>
          <w:numId w:val="1"/>
        </w:numPr>
        <w:spacing w:before="0" w:after="60"/>
        <w:rPr/>
      </w:pPr>
      <w:r>
        <w:rPr>
          <w:rFonts w:eastAsia="Segoe UI" w:cs="Segoe UI" w:ascii="Segoe UI" w:hAnsi="Segoe UI"/>
          <w:color w:val="101820"/>
          <w:sz w:val="21"/>
        </w:rPr>
        <w:t>Supported browsers (current Chrome, Edge or Firefox) and a working network.</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1" w:name="__RefHeading___Toc3448_3138101934"/>
      <w:bookmarkStart w:id="52" w:name="_Toc233203395"/>
      <w:bookmarkEnd w:id="51"/>
      <w:r>
        <w:rPr>
          <w:rStyle w:val="BookTitle"/>
          <w:bCs w:val="false"/>
          <w:i w:val="false"/>
          <w:iCs w:val="false"/>
          <w:spacing w:val="0"/>
        </w:rPr>
        <w:t>23.  Document Sign-Off</w:t>
      </w:r>
      <w:bookmarkEnd w:id="5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lvlOverride w:ilvl="0">
      <w:startOverride w:val="1"/>
    </w:lvlOverride>
  </w:num>
  <w:num w:numId="21">
    <w:abstractNumId w:val="2"/>
  </w:num>
  <w:num w:numId="22">
    <w:abstractNumId w:val="2"/>
    <w:lvlOverride w:ilvl="0">
      <w:startOverride w:val="1"/>
    </w:lvlOverride>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2026-10-03T16:39:53Z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