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_landscape.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ED2CD8" w14:textId="0D544CAB" w:rsidR="00DD7430" w:rsidRDefault="004E4690" w:rsidP="3B384731">
      <w:r>
        <w:rPr>
          <w:noProof/>
        </w:rPr>
        <w:drawing>
          <wp:anchor distT="0" distB="0" distL="114300" distR="114300" simplePos="0" relativeHeight="251658241" behindDoc="1" locked="0" layoutInCell="1" allowOverlap="1" wp14:anchorId="7FDD2D24" wp14:editId="42CB1C55">
            <wp:simplePos x="0" y="0"/>
            <wp:positionH relativeFrom="margin">
              <wp:posOffset>-914400</wp:posOffset>
            </wp:positionH>
            <wp:positionV relativeFrom="margin">
              <wp:posOffset>-914426</wp:posOffset>
            </wp:positionV>
            <wp:extent cx="7553960" cy="10685198"/>
            <wp:effectExtent l="0" t="0" r="8890" b="1905"/>
            <wp:wrapNone/>
            <wp:docPr id="2053156881" name="Picture 2">
              <a:extLst xmlns:a="http://schemas.openxmlformats.org/drawingml/2006/main">
                <a:ext uri="{FF2B5EF4-FFF2-40B4-BE49-F238E27FC236}">
                  <a16:creationId xmlns:a16="http://schemas.microsoft.com/office/drawing/2014/main" id="{C3E1FE75-9233-4911-9AF8-8DA8FB5453C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6881" name="Picture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553960" cy="10685198"/>
                    </a:xfrm>
                    <a:prstGeom prst="rect">
                      <a:avLst/>
                    </a:prstGeom>
                  </pic:spPr>
                </pic:pic>
              </a:graphicData>
            </a:graphic>
            <wp14:sizeRelH relativeFrom="margin">
              <wp14:pctWidth>0</wp14:pctWidth>
            </wp14:sizeRelH>
            <wp14:sizeRelV relativeFrom="margin">
              <wp14:pctHeight>0</wp14:pctHeight>
            </wp14:sizeRelV>
          </wp:anchor>
        </w:drawing>
      </w:r>
      <w:r w:rsidR="004647A1">
        <w:rPr>
          <w:noProof/>
        </w:rPr>
        <w:drawing>
          <wp:anchor distT="0" distB="0" distL="114300" distR="114300" simplePos="0" relativeHeight="251658247" behindDoc="1" locked="0" layoutInCell="1" allowOverlap="1" wp14:anchorId="68FBBCEA" wp14:editId="760DF883">
            <wp:simplePos x="0" y="0"/>
            <wp:positionH relativeFrom="margin">
              <wp:align>center</wp:align>
            </wp:positionH>
            <wp:positionV relativeFrom="margin">
              <wp:posOffset>244432</wp:posOffset>
            </wp:positionV>
            <wp:extent cx="2000250" cy="568367"/>
            <wp:effectExtent l="0" t="0" r="0" b="3175"/>
            <wp:wrapNone/>
            <wp:docPr id="940639279" name="Picture 4">
              <a:extLst xmlns:a="http://schemas.openxmlformats.org/drawingml/2006/main">
                <a:ext uri="{FF2B5EF4-FFF2-40B4-BE49-F238E27FC236}">
                  <a16:creationId xmlns:a16="http://schemas.microsoft.com/office/drawing/2014/main" id="{E3627AEF-EF2A-408D-AEDD-9163B59054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39279" name="Picture 94063927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000250" cy="568367"/>
                    </a:xfrm>
                    <a:prstGeom prst="rect">
                      <a:avLst/>
                    </a:prstGeom>
                  </pic:spPr>
                </pic:pic>
              </a:graphicData>
            </a:graphic>
            <wp14:sizeRelH relativeFrom="margin">
              <wp14:pctWidth>0</wp14:pctWidth>
            </wp14:sizeRelH>
            <wp14:sizeRelV relativeFrom="margin">
              <wp14:pctHeight>0</wp14:pctHeight>
            </wp14:sizeRelV>
          </wp:anchor>
        </w:drawing>
      </w:r>
    </w:p>
    <w:p w14:paraId="4EBFD2E5" w14:textId="7C6911E0" w:rsidR="00DD7430" w:rsidRDefault="003F0D95">
      <w:r w:rsidRPr="004A1359">
        <w:rPr>
          <w:noProof/>
          <w:color w:val="1D74BA"/>
        </w:rPr>
        <mc:AlternateContent>
          <mc:Choice Requires="wps">
            <w:drawing>
              <wp:anchor distT="45720" distB="45720" distL="114300" distR="114300" simplePos="0" relativeHeight="251658246" behindDoc="0" locked="0" layoutInCell="1" allowOverlap="1" wp14:anchorId="204C02CC" wp14:editId="65DFA600">
                <wp:simplePos x="0" y="0"/>
                <wp:positionH relativeFrom="margin">
                  <wp:align>center</wp:align>
                </wp:positionH>
                <wp:positionV relativeFrom="paragraph">
                  <wp:posOffset>2136440</wp:posOffset>
                </wp:positionV>
                <wp:extent cx="5731510" cy="420000"/>
                <wp:effectExtent l="0" t="0" r="0" b="5080"/>
                <wp:wrapSquare wrapText="bothSides"/>
                <wp:docPr id="1294513242" name="Text Box 2">
                  <a:extLst xmlns:a="http://schemas.openxmlformats.org/drawingml/2006/main">
                    <a:ext uri="{FF2B5EF4-FFF2-40B4-BE49-F238E27FC236}">
                      <a16:creationId xmlns:a16="http://schemas.microsoft.com/office/drawing/2014/main" id="{7523173A-31B4-4C1A-9AA6-993E5CA1A44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420000"/>
                        </a:xfrm>
                        <a:prstGeom prst="rect">
                          <a:avLst/>
                        </a:prstGeom>
                        <a:noFill/>
                        <a:ln w="9525">
                          <a:noFill/>
                          <a:miter lim="800000"/>
                          <a:headEnd/>
                          <a:tailEnd/>
                        </a:ln>
                      </wps:spPr>
                      <wps:txbx>
                        <w:txbxContent>
                          <w:p w14:paraId="54FA1EBF" w14:textId="6A6CA9D8" w:rsidR="00913938" w:rsidRPr="00851AA2" w:rsidRDefault="002D24EB" w:rsidP="00913938">
                            <w:pPr>
                              <w:jc xmlns:pic="http://schemas.openxmlformats.org/drawingml/2006/picture" w:val="center"/>
                              <w:rPr>
                                <w:b/>
                                <w:bCs/>
                                <w:color w:val="071B2C"/>
                                <w:sz w:val="36"/>
                                <w:szCs w:val="36"/>
                              </w:rPr>
                            </w:pPr>
                            <w:r w:rsidRPr="00851AA2">
                              <w:rPr>
                                <w:b/>
                                <w:bCs/>
                                <w:color w:val="071B2C"/>
                                <w:sz w:val="36"/>
                                <w:szCs w:val="36"/>
                              </w:rPr>
                              <w:t>Toyota Insurance Services Philippines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Pr="004A1359">
        <w:rPr>
          <w:noProof/>
          <w:color w:val="1D74BA"/>
        </w:rPr>
        <mc:AlternateContent>
          <mc:Choice Requires="wps">
            <w:drawing>
              <wp:anchor distT="45720" distB="45720" distL="114300" distR="114300" simplePos="0" relativeHeight="251658245" behindDoc="0" locked="0" layoutInCell="1" allowOverlap="1" wp14:anchorId="01DE2BF4" wp14:editId="07BA52AE">
                <wp:simplePos x="0" y="0"/>
                <wp:positionH relativeFrom="margin">
                  <wp:align>center</wp:align>
                </wp:positionH>
                <wp:positionV relativeFrom="paragraph">
                  <wp:posOffset>1150000</wp:posOffset>
                </wp:positionV>
                <wp:extent cx="5731510" cy="846440"/>
                <wp:effectExtent l="0" t="0" r="0" b="0"/>
                <wp:wrapSquare wrapText="bothSides"/>
                <wp:docPr id="578771272" name="Text Box 2">
                  <a:extLst xmlns:a="http://schemas.openxmlformats.org/drawingml/2006/main">
                    <a:ext uri="{FF2B5EF4-FFF2-40B4-BE49-F238E27FC236}">
                      <a16:creationId xmlns:a16="http://schemas.microsoft.com/office/drawing/2014/main" id="{667603B8-5035-4623-849E-672EC358E0BC}"/>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31510" cy="846440"/>
                        </a:xfrm>
                        <a:prstGeom prst="rect">
                          <a:avLst/>
                        </a:prstGeom>
                        <a:noFill/>
                        <a:ln w="9525">
                          <a:noFill/>
                          <a:miter lim="800000"/>
                          <a:headEnd/>
                          <a:tailEnd/>
                        </a:ln>
                      </wps:spPr>
                      <wps:txbx>
                        <w:txbxContent>
                          <w:p w14:paraId="539063F1" w14:textId="4B04DDEF" w:rsidR="003F0D95" w:rsidRPr="00E75E19" w:rsidRDefault="003F0D95" w:rsidP="003F0D95">
                            <w:pPr>
                              <w:jc xmlns:pic="http://schemas.openxmlformats.org/drawingml/2006/picture" w:val="center"/>
                              <w:rPr>
                                <w:b/>
                                <w:bCs/>
                                <w:color w:val="1D74BA"/>
                                <w:sz w:val="44"/>
                                <w:szCs w:val="44"/>
                                <w:lang w:val="en-MY"/>
                              </w:rPr>
                            </w:pPr>
                            <w:r>
                              <w:rPr>
                                <w:b/>
                                <w:bCs/>
                                <w:color w:val="1D74BA"/>
                                <w:sz w:val="44"/>
                                <w:szCs w:val="44"/>
                                <w:lang w:val="en-MY"/>
                              </w:rPr>
                              <w:t>TISPH Feature Catalogue and Release Tiers</w:t>
                            </w:r>
                            <w:r w:rsidRPr="00E75E19">
                              <w:rPr>
                                <w:b/>
                                <w:bCs/>
                                <w:color w:val="1D74BA"/>
                                <w:sz w:val="44"/>
                                <w:szCs w:val="44"/>
                                <w:lang w:val="en-MY"/>
                              </w:rPr>
                              <w:t xml:space="preserve"/>
                            </w:r>
                          </w:p>
                          <w:p w14:paraId="4B8244AC" w14:textId="7CD00658" w:rsidR="002F15FD" w:rsidRPr="001D3CAE" w:rsidRDefault="002F15FD" w:rsidP="003C3BF4">
                            <w:pPr>
                              <w:jc xmlns:pic="http://schemas.openxmlformats.org/drawingml/2006/picture" w:val="center"/>
                              <w:rPr>
                                <w:b/>
                                <w:bCs/>
                                <w:color w:val="1D74BA"/>
                                <w:sz w:val="44"/>
                                <w:szCs w:val="44"/>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4" behindDoc="0" locked="0" layoutInCell="1" allowOverlap="1" wp14:anchorId="1BF25123" wp14:editId="646212E8">
                <wp:simplePos x="0" y="0"/>
                <wp:positionH relativeFrom="page">
                  <wp:posOffset>5250000</wp:posOffset>
                </wp:positionH>
                <wp:positionV relativeFrom="paragraph">
                  <wp:posOffset>4124960</wp:posOffset>
                </wp:positionV>
                <wp:extent cx="2000000" cy="266700"/>
                <wp:effectExtent l="0" t="0" r="0" b="0"/>
                <wp:wrapSquare wrapText="bothSides"/>
                <wp:docPr id="2121288187" name="Text Box 2">
                  <a:extLst xmlns:a="http://schemas.openxmlformats.org/drawingml/2006/main">
                    <a:ext uri="{FF2B5EF4-FFF2-40B4-BE49-F238E27FC236}">
                      <a16:creationId xmlns:a16="http://schemas.microsoft.com/office/drawing/2014/main" id="{37CA37AE-CBDC-4F83-9202-1C48F3B8FDC9}"/>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3064779C" w14:textId="169D6E01" w:rsidR="003C3BF4" w:rsidRPr="002F15FD" w:rsidRDefault="0064254C" w:rsidP="003C3BF4">
                            <w:pPr>
                              <w:jc xmlns:pic="http://schemas.openxmlformats.org/drawingml/2006/picture" w:val="right"/>
                              <w:rPr>
                                <w:b/>
                                <w:bCs/>
                                <w:color w:val="1D74BA"/>
                              </w:rPr>
                            </w:pPr>
                            <w:r w:rsidRPr="002F15FD">
                              <w:rPr>
                                <w:color w:val="1D74BA"/>
                              </w:rPr>
                              <w:t xml:space="preserve">Date - </w:t>
                            </w:r>
                            <w:r w:rsidRPr="002F15FD">
                              <w:rPr>
                                <w:b/>
                                <w:bCs/>
                                <w:color w:val="1D74BA"/>
                              </w:rPr>
                              <w:t>10 October 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3C3BF4" w:rsidRPr="004A1359">
        <w:rPr>
          <w:noProof/>
          <w:color w:val="1D74BA"/>
        </w:rPr>
        <mc:AlternateContent>
          <mc:Choice Requires="wps">
            <w:drawing>
              <wp:anchor distT="45720" distB="45720" distL="114300" distR="114300" simplePos="0" relativeHeight="251658243" behindDoc="0" locked="0" layoutInCell="1" allowOverlap="1" wp14:anchorId="58C23128" wp14:editId="498091B1">
                <wp:simplePos x="0" y="0"/>
                <wp:positionH relativeFrom="page">
                  <wp:posOffset>2780000</wp:posOffset>
                </wp:positionH>
                <wp:positionV relativeFrom="paragraph">
                  <wp:posOffset>4124960</wp:posOffset>
                </wp:positionV>
                <wp:extent cx="2000000" cy="266700"/>
                <wp:effectExtent l="0" t="0" r="0" b="0"/>
                <wp:wrapSquare wrapText="bothSides"/>
                <wp:docPr id="728187958" name="Text Box 2">
                  <a:extLst xmlns:a="http://schemas.openxmlformats.org/drawingml/2006/main">
                    <a:ext uri="{FF2B5EF4-FFF2-40B4-BE49-F238E27FC236}">
                      <a16:creationId xmlns:a16="http://schemas.microsoft.com/office/drawing/2014/main" id="{F924D743-A85E-4208-9BF2-3E490CC7E550}"/>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00000" cy="266700"/>
                        </a:xfrm>
                        <a:prstGeom prst="rect">
                          <a:avLst/>
                        </a:prstGeom>
                        <a:noFill/>
                        <a:ln w="9525">
                          <a:noFill/>
                          <a:miter lim="800000"/>
                          <a:headEnd/>
                          <a:tailEnd/>
                        </a:ln>
                      </wps:spPr>
                      <wps:txbx>
                        <w:txbxContent>
                          <w:p w14:paraId="1A3BCAB9" w14:textId="1233059B" w:rsidR="003C3BF4" w:rsidRPr="002F15FD" w:rsidRDefault="003C3BF4" w:rsidP="003C3BF4">
                            <w:pPr>
                              <w:jc xmlns:pic="http://schemas.openxmlformats.org/drawingml/2006/picture" w:val="center"/>
                              <w:rPr>
                                <w:b/>
                                <w:bCs/>
                                <w:color w:val="1D74BA"/>
                              </w:rPr>
                            </w:pPr>
                            <w:r w:rsidRPr="002F15FD">
                              <w:rPr>
                                <w:color w:val="1D74BA"/>
                              </w:rPr>
                              <w:t xml:space="preserve">Version - </w:t>
                            </w:r>
                            <w:r w:rsidR="00EC1FCB">
                              <w:rPr>
                                <w:b/>
                                <w:bCs/>
                                <w:color w:val="1D74BA"/>
                              </w:rPr>
                              <w:t>0.1 Draft</w:t>
                            </w:r>
                            <w:r w:rsidRPr="002F15FD">
                              <w:rPr>
                                <w:b/>
                                <w:bCs/>
                                <w:color w:val="1D74BA"/>
                              </w:rPr>
                              <w:t/>
                            </w:r>
                            <w:r w:rsidR="00EC1FCB">
                              <w:rPr>
                                <w:b/>
                                <w:bCs/>
                                <w:color w:val="1D74BA"/>
                              </w:rPr>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EC0DBF" w:rsidRPr="004A1359">
        <w:rPr>
          <w:noProof/>
          <w:color w:val="1D74BA"/>
        </w:rPr>
        <mc:AlternateContent>
          <mc:Choice Requires="wps">
            <w:drawing>
              <wp:anchor distT="45720" distB="45720" distL="114300" distR="114300" simplePos="0" relativeHeight="251658242" behindDoc="0" locked="0" layoutInCell="1" allowOverlap="1" wp14:anchorId="3D43415C" wp14:editId="2B893344">
                <wp:simplePos x="0" y="0"/>
                <wp:positionH relativeFrom="page">
                  <wp:posOffset>194310</wp:posOffset>
                </wp:positionH>
                <wp:positionV relativeFrom="paragraph">
                  <wp:posOffset>4124960</wp:posOffset>
                </wp:positionV>
                <wp:extent cx="2500000" cy="266700"/>
                <wp:effectExtent l="0" t="0" r="0" b="0"/>
                <wp:wrapSquare wrapText="bothSides"/>
                <wp:docPr id="217" name="Text Box 2">
                  <a:extLst xmlns:a="http://schemas.openxmlformats.org/drawingml/2006/main">
                    <a:ext uri="{FF2B5EF4-FFF2-40B4-BE49-F238E27FC236}">
                      <a16:creationId xmlns:a16="http://schemas.microsoft.com/office/drawing/2014/main" id="{214E5FFD-7012-4F5C-89A4-E2F28B264C94}"/>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0000" cy="266700"/>
                        </a:xfrm>
                        <a:prstGeom prst="rect">
                          <a:avLst/>
                        </a:prstGeom>
                        <a:noFill/>
                        <a:ln w="9525">
                          <a:noFill/>
                          <a:miter lim="800000"/>
                          <a:headEnd/>
                          <a:tailEnd/>
                        </a:ln>
                      </wps:spPr>
                      <wps:txbx>
                        <w:txbxContent>
                          <w:p w14:paraId="5ABF8422" w14:textId="69B19D89" w:rsidR="00EC0DBF" w:rsidRPr="002F15FD" w:rsidRDefault="00EC0DBF" w:rsidP="00EC0DBF">
                            <w:pPr>
                              <w:rPr>
                                <w:b/>
                                <w:bCs/>
                                <w:color w:val="1D74BA"/>
                              </w:rPr>
                            </w:pPr>
                            <w:r w:rsidRPr="002F15FD">
                              <w:rPr>
                                <w:color w:val="1D74BA"/>
                              </w:rPr>
                              <w:t xml:space="preserve">Prepared by </w:t>
                            </w:r>
                            <w:r w:rsidR="007B02D5" w:rsidRPr="002F15FD">
                              <w:rPr>
                                <w:color w:val="1D74BA"/>
                              </w:rPr>
                              <w:t>–</w:t>
                            </w:r>
                            <w:r w:rsidRPr="002F15FD">
                              <w:rPr>
                                <w:color w:val="1D74BA"/>
                              </w:rPr>
                              <w:t xml:space="preserve"> </w:t>
                            </w:r>
                            <w:r w:rsidR="00EC1FCB">
                              <w:rPr>
                                <w:b/>
                                <w:bCs/>
                                <w:color w:val="1D74BA"/>
                              </w:rPr>
                              <w:t>iorta TechNXT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AlternateContent>
      </w:r>
      <w:r w:rsidR="00DD7430">
        <w:br w:type="page"/>
      </w:r>
    </w:p>
    <w:p w14:paraId="11016166" w14:textId="77777777" w:rsidR="002B183A" w:rsidRPr="00F52543" w:rsidRDefault="002B183A" w:rsidP="002B183A">
      <w:pPr>
        <w:pStyle w:val="TOCHeading"/>
        <w:tabs>
          <w:tab w:val="left" w:pos="1991"/>
          <w:tab w:val="center" w:pos="4725"/>
          <w:tab w:val="right" w:pos="9450"/>
        </w:tabs>
        <w:rPr>
          <w:rFonts w:ascii="Segoe UI" w:hAnsi="Segoe UI" w:cs="Segoe UI"/>
          <w:b/>
          <w:color w:val="003399"/>
        </w:rPr>
      </w:pPr>
      <w:r w:rsidRPr="00F52543">
        <w:rPr>
          <w:rFonts w:ascii="Segoe UI" w:eastAsia="Arial" w:hAnsi="Segoe UI" w:cs="Segoe UI"/>
          <w:b/>
          <w:color w:val="003399"/>
        </w:rPr>
        <w:lastRenderedPageBreak/>
        <w:t>TABLE OF CONTENTS</w:t>
      </w:r>
    </w:p>
    <w:p xmlns:a="http://schemas.openxmlformats.org/drawingml/2006/main" xmlns:pic="http://schemas.openxmlformats.org/drawingml/2006/picture">
      <w:pPr>
        <w:pStyle w:val="TOC1"/>
      </w:pPr>
      <w:r>
        <w:fldChar w:fldCharType="begin"/>
      </w:r>
      <w:r>
        <w:instrText xml:space="preserve"> TOC \o "1-2" \h \z \u </w:instrText>
      </w:r>
      <w:r>
        <w:fldChar w:fldCharType="separate"/>
      </w:r>
      <w:hyperlink w:anchor="_Toc300001001" w:history="1">
        <w:r>
          <w:rPr>
            <w:b/>
            <w:noProof/>
          </w:rPr>
          <w:t xml:space="preserve">1.</w:t>
        </w:r>
        <w:r>
          <w:rPr>
            <w:b/>
            <w:noProof/>
          </w:rPr>
          <w:tab/>
        </w:r>
        <w:r>
          <w:rPr>
            <w:b/>
            <w:noProof/>
          </w:rPr>
          <w:t xml:space="preserve">Document Control</w:t>
        </w:r>
        <w:r>
          <w:rPr>
            <w:b/>
            <w:noProof/>
          </w:rPr>
          <w:tab/>
        </w:r>
        <w:r>
          <w:rPr>
            <w:b/>
            <w:noProof/>
          </w:rPr>
          <w:t>3</w:t>
        </w:r>
      </w:hyperlink>
    </w:p>
    <w:p xmlns:a="http://schemas.openxmlformats.org/drawingml/2006/main" xmlns:pic="http://schemas.openxmlformats.org/drawingml/2006/picture">
      <w:pPr>
        <w:pStyle w:val="TOC1"/>
      </w:pPr>
      <w:hyperlink w:anchor="_Toc300001002" w:history="1">
        <w:r>
          <w:rPr>
            <w:b/>
            <w:noProof/>
          </w:rPr>
          <w:t xml:space="preserve">2.</w:t>
        </w:r>
        <w:r>
          <w:rPr>
            <w:b/>
            <w:noProof/>
          </w:rPr>
          <w:tab/>
        </w:r>
        <w:r>
          <w:rPr>
            <w:b/>
            <w:noProof/>
          </w:rPr>
          <w:t xml:space="preserve">Acronyms</w:t>
        </w:r>
        <w:r>
          <w:rPr>
            <w:b/>
            <w:noProof/>
          </w:rPr>
          <w:tab/>
        </w:r>
        <w:r>
          <w:rPr>
            <w:b/>
            <w:noProof/>
          </w:rPr>
          <w:t>3</w:t>
        </w:r>
      </w:hyperlink>
    </w:p>
    <w:p xmlns:a="http://schemas.openxmlformats.org/drawingml/2006/main" xmlns:pic="http://schemas.openxmlformats.org/drawingml/2006/picture">
      <w:pPr>
        <w:pStyle w:val="TOC1"/>
      </w:pPr>
      <w:hyperlink w:anchor="_Toc300001003" w:history="1">
        <w:r>
          <w:rPr>
            <w:b/>
            <w:noProof/>
          </w:rPr>
          <w:t xml:space="preserve">1.</w:t>
        </w:r>
        <w:r>
          <w:rPr>
            <w:b/>
            <w:noProof/>
          </w:rPr>
          <w:tab/>
        </w:r>
        <w:r>
          <w:rPr>
            <w:b/>
            <w:noProof/>
          </w:rPr>
          <w:t xml:space="preserve">Purpose</w:t>
        </w:r>
        <w:r>
          <w:rPr>
            <w:b/>
            <w:noProof/>
          </w:rPr>
          <w:tab/>
        </w:r>
        <w:r>
          <w:rPr>
            <w:b/>
            <w:noProof/>
          </w:rPr>
          <w:t>5</w:t>
        </w:r>
      </w:hyperlink>
    </w:p>
    <w:p xmlns:a="http://schemas.openxmlformats.org/drawingml/2006/main" xmlns:pic="http://schemas.openxmlformats.org/drawingml/2006/picture">
      <w:pPr>
        <w:pStyle w:val="TOC1"/>
      </w:pPr>
      <w:hyperlink w:anchor="_Toc300001004" w:history="1">
        <w:r>
          <w:rPr>
            <w:b/>
            <w:noProof/>
          </w:rPr>
          <w:t xml:space="preserve">2.</w:t>
        </w:r>
        <w:r>
          <w:rPr>
            <w:b/>
            <w:noProof/>
          </w:rPr>
          <w:tab/>
        </w:r>
        <w:r>
          <w:rPr>
            <w:b/>
            <w:noProof/>
          </w:rPr>
          <w:t xml:space="preserve">Release Tiers</w:t>
        </w:r>
        <w:r>
          <w:rPr>
            <w:b/>
            <w:noProof/>
          </w:rPr>
          <w:tab/>
        </w:r>
        <w:r>
          <w:rPr>
            <w:b/>
            <w:noProof/>
          </w:rPr>
          <w:t>5</w:t>
        </w:r>
      </w:hyperlink>
    </w:p>
    <w:p xmlns:a="http://schemas.openxmlformats.org/drawingml/2006/main" xmlns:pic="http://schemas.openxmlformats.org/drawingml/2006/picture">
      <w:pPr>
        <w:pStyle w:val="TOC1"/>
      </w:pPr>
      <w:hyperlink w:anchor="_Toc300001005" w:history="1">
        <w:r>
          <w:rPr>
            <w:b/>
            <w:noProof/>
          </w:rPr>
          <w:t xml:space="preserve">3.</w:t>
        </w:r>
        <w:r>
          <w:rPr>
            <w:b/>
            <w:noProof/>
          </w:rPr>
          <w:tab/>
        </w:r>
        <w:r>
          <w:rPr>
            <w:b/>
            <w:noProof/>
          </w:rPr>
          <w:t xml:space="preserve">How a Function Is Enabled</w:t>
        </w:r>
        <w:r>
          <w:rPr>
            <w:b/>
            <w:noProof/>
          </w:rPr>
          <w:tab/>
        </w:r>
        <w:r>
          <w:rPr>
            <w:b/>
            <w:noProof/>
          </w:rPr>
          <w:t>5</w:t>
        </w:r>
      </w:hyperlink>
    </w:p>
    <w:p xmlns:a="http://schemas.openxmlformats.org/drawingml/2006/main" xmlns:pic="http://schemas.openxmlformats.org/drawingml/2006/picture">
      <w:pPr>
        <w:pStyle w:val="TOC1"/>
      </w:pPr>
      <w:hyperlink w:anchor="_Toc300001006" w:history="1">
        <w:r>
          <w:rPr>
            <w:b/>
            <w:noProof/>
          </w:rPr>
          <w:t xml:space="preserve">4.</w:t>
        </w:r>
        <w:r>
          <w:rPr>
            <w:b/>
            <w:noProof/>
          </w:rPr>
          <w:tab/>
        </w:r>
        <w:r>
          <w:rPr>
            <w:b/>
            <w:noProof/>
          </w:rPr>
          <w:t xml:space="preserve">Phase 1 Functions</w:t>
        </w:r>
        <w:r>
          <w:rPr>
            <w:b/>
            <w:noProof/>
          </w:rPr>
          <w:tab/>
        </w:r>
        <w:r>
          <w:rPr>
            <w:b/>
            <w:noProof/>
          </w:rPr>
          <w:t>6</w:t>
        </w:r>
      </w:hyperlink>
    </w:p>
    <w:p xmlns:a="http://schemas.openxmlformats.org/drawingml/2006/main" xmlns:pic="http://schemas.openxmlformats.org/drawingml/2006/picture">
      <w:pPr>
        <w:pStyle w:val="TOC1"/>
      </w:pPr>
      <w:hyperlink w:anchor="_Toc300001007" w:history="1">
        <w:r>
          <w:rPr>
            <w:b/>
            <w:noProof/>
          </w:rPr>
          <w:t xml:space="preserve">5.</w:t>
        </w:r>
        <w:r>
          <w:rPr>
            <w:b/>
            <w:noProof/>
          </w:rPr>
          <w:tab/>
        </w:r>
        <w:r>
          <w:rPr>
            <w:b/>
            <w:noProof/>
          </w:rPr>
          <w:t xml:space="preserve">Platform Functions</w:t>
        </w:r>
        <w:r>
          <w:rPr>
            <w:b/>
            <w:noProof/>
          </w:rPr>
          <w:tab/>
        </w:r>
        <w:r>
          <w:rPr>
            <w:b/>
            <w:noProof/>
          </w:rPr>
          <w:t>10</w:t>
        </w:r>
      </w:hyperlink>
    </w:p>
    <w:p xmlns:a="http://schemas.openxmlformats.org/drawingml/2006/main" xmlns:pic="http://schemas.openxmlformats.org/drawingml/2006/picture">
      <w:pPr>
        <w:pStyle w:val="TOC1"/>
      </w:pPr>
      <w:hyperlink w:anchor="_Toc300001008" w:history="1">
        <w:r>
          <w:rPr>
            <w:b/>
            <w:noProof/>
          </w:rPr>
          <w:t xml:space="preserve">6.</w:t>
        </w:r>
        <w:r>
          <w:rPr>
            <w:b/>
            <w:noProof/>
          </w:rPr>
          <w:tab/>
        </w:r>
        <w:r>
          <w:rPr>
            <w:b/>
            <w:noProof/>
          </w:rPr>
          <w:t xml:space="preserve">Phase 2 Functions</w:t>
        </w:r>
        <w:r>
          <w:rPr>
            <w:b/>
            <w:noProof/>
          </w:rPr>
          <w:tab/>
        </w:r>
        <w:r>
          <w:rPr>
            <w:b/>
            <w:noProof/>
          </w:rPr>
          <w:t>11</w:t>
        </w:r>
      </w:hyperlink>
    </w:p>
    <w:p xmlns:a="http://schemas.openxmlformats.org/drawingml/2006/main" xmlns:pic="http://schemas.openxmlformats.org/drawingml/2006/picture">
      <w:pPr>
        <w:pStyle w:val="TOC1"/>
      </w:pPr>
      <w:hyperlink w:anchor="_Toc300001009" w:history="1">
        <w:r>
          <w:rPr>
            <w:b/>
            <w:noProof/>
          </w:rPr>
          <w:t xml:space="preserve">7.</w:t>
        </w:r>
        <w:r>
          <w:rPr>
            <w:b/>
            <w:noProof/>
          </w:rPr>
          <w:tab/>
        </w:r>
        <w:r>
          <w:rPr>
            <w:b/>
            <w:noProof/>
          </w:rPr>
          <w:t xml:space="preserve">Future Releases</w:t>
        </w:r>
        <w:r>
          <w:rPr>
            <w:b/>
            <w:noProof/>
          </w:rPr>
          <w:tab/>
        </w:r>
        <w:r>
          <w:rPr>
            <w:b/>
            <w:noProof/>
          </w:rPr>
          <w:t>12</w:t>
        </w:r>
      </w:hyperlink>
    </w:p>
    <w:p xmlns:a="http://schemas.openxmlformats.org/drawingml/2006/main" xmlns:pic="http://schemas.openxmlformats.org/drawingml/2006/picture">
      <w:pPr>
        <w:pStyle w:val="TOC1"/>
      </w:pPr>
      <w:hyperlink w:anchor="_Toc300001010" w:history="1">
        <w:r>
          <w:rPr>
            <w:b/>
            <w:noProof/>
          </w:rPr>
          <w:t xml:space="preserve">8.</w:t>
        </w:r>
        <w:r>
          <w:rPr>
            <w:b/>
            <w:noProof/>
          </w:rPr>
          <w:tab/>
        </w:r>
        <w:r>
          <w:rPr>
            <w:b/>
            <w:noProof/>
          </w:rPr>
          <w:t xml:space="preserve">Decisions for TISPH</w:t>
        </w:r>
        <w:r>
          <w:rPr>
            <w:b/>
            <w:noProof/>
          </w:rPr>
          <w:tab/>
        </w:r>
        <w:r>
          <w:rPr>
            <w:b/>
            <w:noProof/>
          </w:rPr>
          <w:t>14</w:t>
        </w:r>
      </w:hyperlink>
    </w:p>
    <w:p xmlns:a="http://schemas.openxmlformats.org/drawingml/2006/main" xmlns:pic="http://schemas.openxmlformats.org/drawingml/2006/picture">
      <w:pPr>
        <w:pStyle w:val="TOC1"/>
      </w:pPr>
      <w:hyperlink w:anchor="_Toc300001011" w:history="1">
        <w:r>
          <w:rPr>
            <w:b/>
            <w:noProof/>
          </w:rPr>
          <w:t xml:space="preserve">9.</w:t>
        </w:r>
        <w:r>
          <w:rPr>
            <w:b/>
            <w:noProof/>
          </w:rPr>
          <w:tab/>
        </w:r>
        <w:r>
          <w:rPr>
            <w:b/>
            <w:noProof/>
          </w:rPr>
          <w:t xml:space="preserve">What Phase 2 and Future Functions Control</w:t>
        </w:r>
        <w:r>
          <w:rPr>
            <w:b/>
            <w:noProof/>
          </w:rPr>
          <w:tab/>
        </w:r>
        <w:r>
          <w:rPr>
            <w:b/>
            <w:noProof/>
          </w:rPr>
          <w:t>15</w:t>
        </w:r>
      </w:hyperlink>
    </w:p>
    <w:p xmlns:a="http://schemas.openxmlformats.org/drawingml/2006/main" xmlns:pic="http://schemas.openxmlformats.org/drawingml/2006/picture">
      <w:pPr>
        <w:pStyle w:val="TOC1"/>
      </w:pPr>
      <w:hyperlink w:anchor="_Toc300001012" w:history="1">
        <w:r>
          <w:rPr>
            <w:b/>
            <w:noProof/>
          </w:rPr>
          <w:t xml:space="preserve">10.</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hyperlink w:anchor="_Toc300001013" w:history="1">
        <w:r>
          <w:rPr>
            <w:b/>
            <w:noProof/>
          </w:rPr>
          <w:t xml:space="preserve">11.</w:t>
        </w:r>
        <w:r>
          <w:rPr>
            <w:b/>
            <w:noProof/>
          </w:rPr>
          <w:tab/>
        </w:r>
        <w:r>
          <w:rPr>
            <w:b/>
            <w:noProof/>
          </w:rPr>
          <w:t xml:space="preserve">Pending Items</w:t>
        </w:r>
        <w:r>
          <w:rPr>
            <w:b/>
            <w:noProof/>
          </w:rPr>
          <w:tab/>
        </w:r>
        <w:r>
          <w:rPr>
            <w:b/>
            <w:noProof/>
          </w:rPr>
          <w:t>18</w:t>
        </w:r>
      </w:hyperlink>
    </w:p>
    <w:p xmlns:a="http://schemas.openxmlformats.org/drawingml/2006/main" xmlns:pic="http://schemas.openxmlformats.org/drawingml/2006/picture">
      <w:pPr>
        <w:pStyle w:val="TOC1"/>
      </w:pPr>
      <w:hyperlink w:anchor="_Toc300001014" w:history="1">
        <w:r>
          <w:rPr>
            <w:b/>
            <w:noProof/>
          </w:rPr>
          <w:t xml:space="preserve">12.</w:t>
        </w:r>
        <w:r>
          <w:rPr>
            <w:b/>
            <w:noProof/>
          </w:rPr>
          <w:tab/>
        </w:r>
        <w:r>
          <w:rPr>
            <w:b/>
            <w:noProof/>
          </w:rPr>
          <w:t xml:space="preserve">Document Sign-Off</w:t>
        </w:r>
        <w:r>
          <w:rPr>
            <w:b/>
            <w:noProof/>
          </w:rPr>
          <w:tab/>
        </w:r>
        <w:r>
          <w:rPr>
            <w:b/>
            <w:noProof/>
          </w:rPr>
          <w:t>18</w:t>
        </w:r>
      </w:hyperlink>
    </w:p>
    <w:p xmlns:a="http://schemas.openxmlformats.org/drawingml/2006/main" xmlns:pic="http://schemas.openxmlformats.org/drawingml/2006/picture">
      <w:pPr>
        <w:pStyle w:val="TOC1"/>
      </w:pPr>
      <w:r>
        <w:fldChar w:fldCharType="end"/>
      </w:r>
    </w:p>
    <w:p xmlns:a="http://schemas.openxmlformats.org/drawingml/2006/main" xmlns:pic="http://schemas.openxmlformats.org/drawingml/2006/picture">
      <w:pPr>
        <w:spacing w:before="0" w:after="0" w:line="20" w:lineRule="exact"/>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titlePg/>
          <w:docGrid w:linePitch="360"/>
        </w:sectPr>
      </w:pPr>
    </w:p>
    <w:p xmlns:a="http://schemas.openxmlformats.org/drawingml/2006/main" xmlns:pic="http://schemas.openxmlformats.org/drawingml/2006/picture">
      <w:pPr>
        <w:pStyle w:val="Heading1"/>
        <w:numPr>
          <w:ilvl w:val="0"/>
          <w:numId w:val="13"/>
        </w:numPr>
      </w:pPr>
      <w:bookmarkStart w:id="1001" w:name="_Toc300001001"/>
      <w:r>
        <w:rPr>
          <w:rFonts w:ascii="Segoe UI" w:hAnsi="Segoe UI" w:cs="Segoe UI" w:eastAsia="Segoe UI"/>
        </w:rPr>
        <w:t xml:space="preserve">Document Control</w:t>
      </w:r>
      <w:bookmarkEnd w:id="1001"/>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97"/>
        <w:gridCol w:w="829"/>
        <w:gridCol w:w="1381"/>
        <w:gridCol w:w="1565"/>
        <w:gridCol w:w="1381"/>
        <w:gridCol w:w="2674"/>
      </w:tblGrid>
      <w:tr>
        <w:trPr>
          <w:cantSplit/>
          <w:tblHeader/>
          <w:trHeight w:val="400"/>
        </w:trPr>
        <w:tc>
          <w:tcPr>
            <w:tcW w:w="1197"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c>
          <w:tcPr>
            <w:tcW w:w="829" w:type="dxa"/>
            <w:shd w:val="clear" w:color="auto" w:fill="E8F0F8"/>
            <w:vAlign w:val="center"/>
          </w:tcPr>
          <w:p>
            <w:pPr>
              <w:spacing w:before="40" w:after="40" w:line="240" w:lineRule="auto"/>
            </w:pPr>
            <w:r>
              <w:rPr>
                <w:rFonts w:ascii="Segoe UI" w:hAnsi="Segoe UI" w:cs="Segoe UI" w:eastAsia="Segoe UI"/>
                <w:b/>
                <w:bCs/>
                <w:sz w:val="16"/>
                <w:szCs w:val="16"/>
              </w:rPr>
              <w:t xml:space="preserve">Version</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Author &amp; Business Unit Info</w:t>
            </w:r>
          </w:p>
        </w:tc>
        <w:tc>
          <w:tcPr>
            <w:tcW w:w="1565" w:type="dxa"/>
            <w:shd w:val="clear" w:color="auto" w:fill="E8F0F8"/>
            <w:vAlign w:val="center"/>
          </w:tcPr>
          <w:p>
            <w:pPr>
              <w:spacing w:before="40" w:after="40" w:line="240" w:lineRule="auto"/>
            </w:pPr>
            <w:r>
              <w:rPr>
                <w:rFonts w:ascii="Segoe UI" w:hAnsi="Segoe UI" w:cs="Segoe UI" w:eastAsia="Segoe UI"/>
                <w:b/>
                <w:bCs/>
                <w:sz w:val="16"/>
                <w:szCs w:val="16"/>
              </w:rPr>
              <w:t xml:space="preserve">Reviewed By &amp; Business Unit Info</w:t>
            </w:r>
          </w:p>
        </w:tc>
        <w:tc>
          <w:tcPr>
            <w:tcW w:w="1381" w:type="dxa"/>
            <w:shd w:val="clear" w:color="auto" w:fill="E8F0F8"/>
            <w:vAlign w:val="center"/>
          </w:tcPr>
          <w:p>
            <w:pPr>
              <w:spacing w:before="40" w:after="40" w:line="240" w:lineRule="auto"/>
            </w:pPr>
            <w:r>
              <w:rPr>
                <w:rFonts w:ascii="Segoe UI" w:hAnsi="Segoe UI" w:cs="Segoe UI" w:eastAsia="Segoe UI"/>
                <w:b/>
                <w:bCs/>
                <w:sz w:val="16"/>
                <w:szCs w:val="16"/>
              </w:rPr>
              <w:t xml:space="preserve">Approved By &amp; Business Unit Info</w:t>
            </w:r>
          </w:p>
        </w:tc>
        <w:tc>
          <w:tcPr>
            <w:tcW w:w="2674" w:type="dxa"/>
            <w:shd w:val="clear" w:color="auto" w:fill="E8F0F8"/>
            <w:vAlign w:val="center"/>
          </w:tcPr>
          <w:p>
            <w:pPr>
              <w:spacing w:before="40" w:after="40" w:line="240" w:lineRule="auto"/>
            </w:pPr>
            <w:r>
              <w:rPr>
                <w:rFonts w:ascii="Segoe UI" w:hAnsi="Segoe UI" w:cs="Segoe UI" w:eastAsia="Segoe UI"/>
                <w:b/>
                <w:bCs/>
                <w:sz w:val="16"/>
                <w:szCs w:val="16"/>
              </w:rPr>
              <w:t xml:space="preserve">Change History</w:t>
            </w:r>
          </w:p>
        </w:tc>
      </w:tr>
      <w:tr>
        <w:trPr>
          <w:cantSplit/>
        </w:trPr>
        <w:tc>
          <w:tcPr>
            <w:tcW w:w="1197" w:type="dxa"/>
          </w:tcPr>
          <w:p>
            <w:pPr>
              <w:spacing w:before="40" w:after="40" w:line="240" w:lineRule="auto"/>
            </w:pPr>
            <w:r>
              <w:rPr>
                <w:rFonts w:ascii="Segoe UI" w:hAnsi="Segoe UI" w:cs="Segoe UI" w:eastAsia="Segoe UI"/>
                <w:sz w:val="16"/>
                <w:szCs w:val="16"/>
              </w:rPr>
              <w:t xml:space="preserve">10 October 2026</w:t>
            </w:r>
          </w:p>
        </w:tc>
        <w:tc>
          <w:tcPr>
            <w:tcW w:w="829" w:type="dxa"/>
          </w:tcPr>
          <w:p>
            <w:pPr>
              <w:spacing w:before="40" w:after="40" w:line="240" w:lineRule="auto"/>
            </w:pPr>
            <w:r>
              <w:rPr>
                <w:rFonts w:ascii="Segoe UI" w:hAnsi="Segoe UI" w:cs="Segoe UI" w:eastAsia="Segoe UI"/>
                <w:sz w:val="16"/>
                <w:szCs w:val="16"/>
              </w:rPr>
              <w:t xml:space="preserve">0.1</w:t>
            </w:r>
          </w:p>
        </w:tc>
        <w:tc>
          <w:tcPr>
            <w:tcW w:w="1381" w:type="dxa"/>
          </w:tcPr>
          <w:p>
            <w:pPr>
              <w:spacing w:before="40" w:after="40" w:line="240" w:lineRule="auto"/>
            </w:pPr>
            <w:r>
              <w:rPr>
                <w:rFonts w:ascii="Segoe UI" w:hAnsi="Segoe UI" w:cs="Segoe UI" w:eastAsia="Segoe UI"/>
                <w:sz w:val="16"/>
                <w:szCs w:val="16"/>
              </w:rPr>
              <w:t xml:space="preserve">iorta TechNXT</w:t>
            </w:r>
            <w:r>
              <w:rPr>
                <w:rFonts w:ascii="Segoe UI" w:hAnsi="Segoe UI" w:cs="Segoe UI" w:eastAsia="Segoe UI"/>
                <w:sz w:val="16"/>
                <w:szCs w:val="16"/>
              </w:rPr>
              <w:br/>
            </w:r>
            <w:r>
              <w:rPr>
                <w:rFonts w:ascii="Segoe UI" w:hAnsi="Segoe UI" w:cs="Segoe UI" w:eastAsia="Segoe UI"/>
                <w:sz w:val="16"/>
                <w:szCs w:val="16"/>
              </w:rPr>
              <w:t xml:space="preserve">Toyota Insurance Services Philippines</w:t>
            </w:r>
          </w:p>
        </w:tc>
        <w:tc>
          <w:tcPr>
            <w:tcW w:w="1565" w:type="dxa"/>
          </w:tcPr>
          <w:p>
            <w:pPr>
              <w:spacing w:before="40" w:after="40" w:line="240" w:lineRule="auto"/>
            </w:pPr>
            <w:r>
              <w:rPr>
                <w:rFonts w:ascii="Segoe UI" w:hAnsi="Segoe UI" w:cs="Segoe UI" w:eastAsia="Segoe UI"/>
                <w:sz w:val="16"/>
                <w:szCs w:val="16"/>
              </w:rPr>
              <w:t xml:space="preserve">Pending review</w:t>
            </w:r>
          </w:p>
        </w:tc>
        <w:tc>
          <w:tcPr>
            <w:tcW w:w="1381" w:type="dxa"/>
          </w:tcPr>
          <w:p>
            <w:pPr>
              <w:spacing w:before="40" w:after="40" w:line="240" w:lineRule="auto"/>
            </w:pPr>
            <w:r>
              <w:rPr>
                <w:rFonts w:ascii="Segoe UI" w:hAnsi="Segoe UI" w:cs="Segoe UI" w:eastAsia="Segoe UI"/>
                <w:sz w:val="16"/>
                <w:szCs w:val="16"/>
              </w:rPr>
              <w:t xml:space="preserve">Pending approval</w:t>
            </w:r>
          </w:p>
        </w:tc>
        <w:tc>
          <w:tcPr>
            <w:tcW w:w="2674" w:type="dxa"/>
          </w:tcPr>
          <w:p>
            <w:pPr>
              <w:spacing w:before="40" w:after="40" w:line="240" w:lineRule="auto"/>
            </w:pPr>
            <w:r>
              <w:rPr>
                <w:rFonts w:ascii="Segoe UI" w:hAnsi="Segoe UI" w:cs="Segoe UI" w:eastAsia="Segoe UI"/>
                <w:sz w:val="16"/>
                <w:szCs w:val="16"/>
              </w:rPr>
              <w:t xml:space="preserve">First issue: every function of the platform with its release tier, requirement IDs, dependencies and the decisions TISPH has to take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keepNext/>
        <w:spacing w:before="200" w:after="80"/>
      </w:pPr>
      <w:r>
        <w:rPr>
          <w:rFonts w:ascii="Segoe UI" w:hAnsi="Segoe UI" w:cs="Segoe UI" w:eastAsia="Segoe UI"/>
          <w:b/>
          <w:bCs/>
          <w:color w:val="0F4761"/>
          <w:sz w:val="20"/>
          <w:szCs w:val="20"/>
        </w:rPr>
        <w:t xml:space="preserve">Document information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347"/>
        <w:gridCol w:w="6680"/>
      </w:tblGrid>
      <w:tr>
        <w:trPr>
          <w:cantSplit/>
          <w:tblHeader/>
          <w:trHeight w:val="400"/>
        </w:trPr>
        <w:tc>
          <w:tcPr>
            <w:tcW w:w="2347" w:type="dxa"/>
            <w:shd w:val="clear" w:color="auto" w:fill="E8F0F8"/>
            <w:vAlign w:val="center"/>
          </w:tcPr>
          <w:p>
            <w:pPr>
              <w:spacing w:before="40" w:after="40" w:line="240" w:lineRule="auto"/>
            </w:pPr>
            <w:r>
              <w:rPr>
                <w:rFonts w:ascii="Segoe UI" w:hAnsi="Segoe UI" w:cs="Segoe UI" w:eastAsia="Segoe UI"/>
                <w:b/>
                <w:bCs/>
                <w:sz w:val="16"/>
                <w:szCs w:val="16"/>
              </w:rPr>
              <w:t xml:space="preserve">Item</w:t>
            </w:r>
          </w:p>
        </w:tc>
        <w:tc>
          <w:tcPr>
            <w:tcW w:w="6680" w:type="dxa"/>
            <w:shd w:val="clear" w:color="auto" w:fill="E8F0F8"/>
            <w:vAlign w:val="center"/>
          </w:tcPr>
          <w:p>
            <w:pPr>
              <w:spacing w:before="40" w:after="40" w:line="240" w:lineRule="auto"/>
            </w:pPr>
            <w:r>
              <w:rPr>
                <w:rFonts w:ascii="Segoe UI" w:hAnsi="Segoe UI" w:cs="Segoe UI" w:eastAsia="Segoe UI"/>
                <w:b/>
                <w:bCs/>
                <w:sz w:val="16"/>
                <w:szCs w:val="16"/>
              </w:rPr>
              <w:t xml:space="preserve">Value</w:t>
            </w:r>
          </w:p>
        </w:tc>
      </w:tr>
      <w:tr>
        <w:trPr>
          <w:cantSplit/>
        </w:trPr>
        <w:tc>
          <w:tcPr>
            <w:tcW w:w="2347" w:type="dxa"/>
          </w:tcPr>
          <w:p>
            <w:pPr>
              <w:spacing w:before="40" w:after="40" w:line="240" w:lineRule="auto"/>
            </w:pPr>
            <w:r>
              <w:rPr>
                <w:rFonts w:ascii="Segoe UI" w:hAnsi="Segoe UI" w:cs="Segoe UI" w:eastAsia="Segoe UI"/>
                <w:b/>
                <w:bCs/>
                <w:sz w:val="16"/>
                <w:szCs w:val="16"/>
              </w:rPr>
              <w:t xml:space="preserve">Document</w:t>
            </w:r>
          </w:p>
        </w:tc>
        <w:tc>
          <w:tcPr>
            <w:tcW w:w="6680" w:type="dxa"/>
          </w:tcPr>
          <w:p>
            <w:pPr>
              <w:spacing w:before="40" w:after="40" w:line="240" w:lineRule="auto"/>
            </w:pPr>
            <w:r>
              <w:rPr>
                <w:rFonts w:ascii="Segoe UI" w:hAnsi="Segoe UI" w:cs="Segoe UI" w:eastAsia="Segoe UI"/>
                <w:sz w:val="16"/>
                <w:szCs w:val="16"/>
              </w:rPr>
              <w:t xml:space="preserve">TISPH Feature Catalogue and Release Tiers</w:t>
            </w:r>
          </w:p>
        </w:tc>
      </w:tr>
      <w:tr>
        <w:trPr>
          <w:cantSplit/>
        </w:trPr>
        <w:tc>
          <w:tcPr>
            <w:tcW w:w="2347" w:type="dxa"/>
          </w:tcPr>
          <w:p>
            <w:pPr>
              <w:spacing w:before="40" w:after="40" w:line="240" w:lineRule="auto"/>
            </w:pPr>
            <w:r>
              <w:rPr>
                <w:rFonts w:ascii="Segoe UI" w:hAnsi="Segoe UI" w:cs="Segoe UI" w:eastAsia="Segoe UI"/>
                <w:b/>
                <w:bCs/>
                <w:sz w:val="16"/>
                <w:szCs w:val="16"/>
              </w:rPr>
              <w:t xml:space="preserve">Version</w:t>
            </w:r>
          </w:p>
        </w:tc>
        <w:tc>
          <w:tcPr>
            <w:tcW w:w="6680" w:type="dxa"/>
          </w:tcPr>
          <w:p>
            <w:pPr>
              <w:spacing w:before="40" w:after="40" w:line="240" w:lineRule="auto"/>
            </w:pPr>
            <w:r>
              <w:rPr>
                <w:rFonts w:ascii="Segoe UI" w:hAnsi="Segoe UI" w:cs="Segoe UI" w:eastAsia="Segoe UI"/>
                <w:sz w:val="16"/>
                <w:szCs w:val="16"/>
              </w:rPr>
              <w:t xml:space="preserve">0.1 Draft</w:t>
            </w:r>
          </w:p>
        </w:tc>
      </w:tr>
      <w:tr>
        <w:trPr>
          <w:cantSplit/>
        </w:trPr>
        <w:tc>
          <w:tcPr>
            <w:tcW w:w="2347" w:type="dxa"/>
          </w:tcPr>
          <w:p>
            <w:pPr>
              <w:spacing w:before="40" w:after="40" w:line="240" w:lineRule="auto"/>
            </w:pPr>
            <w:r>
              <w:rPr>
                <w:rFonts w:ascii="Segoe UI" w:hAnsi="Segoe UI" w:cs="Segoe UI" w:eastAsia="Segoe UI"/>
                <w:b/>
                <w:bCs/>
                <w:sz w:val="16"/>
                <w:szCs w:val="16"/>
              </w:rPr>
              <w:t xml:space="preserve">Date</w:t>
            </w:r>
          </w:p>
        </w:tc>
        <w:tc>
          <w:tcPr>
            <w:tcW w:w="6680" w:type="dxa"/>
          </w:tcPr>
          <w:p>
            <w:pPr>
              <w:spacing w:before="40" w:after="40" w:line="240" w:lineRule="auto"/>
            </w:pPr>
            <w:r>
              <w:rPr>
                <w:rFonts w:ascii="Segoe UI" w:hAnsi="Segoe UI" w:cs="Segoe UI" w:eastAsia="Segoe UI"/>
                <w:sz w:val="16"/>
                <w:szCs w:val="16"/>
              </w:rPr>
              <w:t xml:space="preserve">10 October 2026</w:t>
            </w:r>
          </w:p>
        </w:tc>
      </w:tr>
      <w:tr>
        <w:trPr>
          <w:cantSplit/>
        </w:trPr>
        <w:tc>
          <w:tcPr>
            <w:tcW w:w="2347" w:type="dxa"/>
          </w:tcPr>
          <w:p>
            <w:pPr>
              <w:spacing w:before="40" w:after="40" w:line="240" w:lineRule="auto"/>
            </w:pPr>
            <w:r>
              <w:rPr>
                <w:rFonts w:ascii="Segoe UI" w:hAnsi="Segoe UI" w:cs="Segoe UI" w:eastAsia="Segoe UI"/>
                <w:b/>
                <w:bCs/>
                <w:sz w:val="16"/>
                <w:szCs w:val="16"/>
              </w:rPr>
              <w:t xml:space="preserve">Status</w:t>
            </w:r>
          </w:p>
        </w:tc>
        <w:tc>
          <w:tcPr>
            <w:tcW w:w="6680" w:type="dxa"/>
          </w:tcPr>
          <w:p>
            <w:pPr>
              <w:spacing w:before="40" w:after="40" w:line="240" w:lineRule="auto"/>
            </w:pPr>
            <w:r>
              <w:rPr>
                <w:rFonts w:ascii="Segoe UI" w:hAnsi="Segoe UI" w:cs="Segoe UI" w:eastAsia="Segoe UI"/>
                <w:sz w:val="16"/>
                <w:szCs w:val="16"/>
              </w:rPr>
              <w:t xml:space="preserve">Draft for TISPH review</w:t>
            </w:r>
          </w:p>
        </w:tc>
      </w:tr>
      <w:tr>
        <w:trPr>
          <w:cantSplit/>
        </w:trPr>
        <w:tc>
          <w:tcPr>
            <w:tcW w:w="2347" w:type="dxa"/>
          </w:tcPr>
          <w:p>
            <w:pPr>
              <w:spacing w:before="40" w:after="40" w:line="240" w:lineRule="auto"/>
            </w:pPr>
            <w:r>
              <w:rPr>
                <w:rFonts w:ascii="Segoe UI" w:hAnsi="Segoe UI" w:cs="Segoe UI" w:eastAsia="Segoe UI"/>
                <w:b/>
                <w:bCs/>
                <w:sz w:val="16"/>
                <w:szCs w:val="16"/>
              </w:rPr>
              <w:t xml:space="preserve">Classification</w:t>
            </w:r>
          </w:p>
        </w:tc>
        <w:tc>
          <w:tcPr>
            <w:tcW w:w="6680" w:type="dxa"/>
          </w:tcPr>
          <w:p>
            <w:pPr>
              <w:spacing w:before="40" w:after="40" w:line="240" w:lineRule="auto"/>
            </w:pPr>
            <w:r>
              <w:rPr>
                <w:rFonts w:ascii="Segoe UI" w:hAnsi="Segoe UI" w:cs="Segoe UI" w:eastAsia="Segoe UI"/>
                <w:sz w:val="16"/>
                <w:szCs w:val="16"/>
              </w:rPr>
              <w:t xml:space="preserve">Internal</w:t>
            </w:r>
          </w:p>
        </w:tc>
      </w:tr>
      <w:tr>
        <w:trPr>
          <w:cantSplit/>
        </w:trPr>
        <w:tc>
          <w:tcPr>
            <w:tcW w:w="2347" w:type="dxa"/>
          </w:tcPr>
          <w:p>
            <w:pPr>
              <w:spacing w:before="40" w:after="40" w:line="240" w:lineRule="auto"/>
            </w:pPr>
            <w:r>
              <w:rPr>
                <w:rFonts w:ascii="Segoe UI" w:hAnsi="Segoe UI" w:cs="Segoe UI" w:eastAsia="Segoe UI"/>
                <w:b/>
                <w:bCs/>
                <w:sz w:val="16"/>
                <w:szCs w:val="16"/>
              </w:rPr>
              <w:t xml:space="preserve">Prepared by</w:t>
            </w:r>
          </w:p>
        </w:tc>
        <w:tc>
          <w:tcPr>
            <w:tcW w:w="6680" w:type="dxa"/>
          </w:tcPr>
          <w:p>
            <w:pPr>
              <w:spacing w:before="40" w:after="40" w:line="240" w:lineRule="auto"/>
            </w:pPr>
            <w:r>
              <w:rPr>
                <w:rFonts w:ascii="Segoe UI" w:hAnsi="Segoe UI" w:cs="Segoe UI" w:eastAsia="Segoe UI"/>
                <w:sz w:val="16"/>
                <w:szCs w:val="16"/>
              </w:rPr>
              <w:t xml:space="preserve">iorta TechNXT</w:t>
            </w:r>
          </w:p>
        </w:tc>
      </w:tr>
      <w:tr>
        <w:trPr>
          <w:cantSplit/>
        </w:trPr>
        <w:tc>
          <w:tcPr>
            <w:tcW w:w="2347" w:type="dxa"/>
          </w:tcPr>
          <w:p>
            <w:pPr>
              <w:spacing w:before="40" w:after="40" w:line="240" w:lineRule="auto"/>
            </w:pPr>
            <w:r>
              <w:rPr>
                <w:rFonts w:ascii="Segoe UI" w:hAnsi="Segoe UI" w:cs="Segoe UI" w:eastAsia="Segoe UI"/>
                <w:b/>
                <w:bCs/>
                <w:sz w:val="16"/>
                <w:szCs w:val="16"/>
              </w:rPr>
              <w:t xml:space="preserve">Owner</w:t>
            </w:r>
          </w:p>
        </w:tc>
        <w:tc>
          <w:tcPr>
            <w:tcW w:w="6680" w:type="dxa"/>
          </w:tcPr>
          <w:p>
            <w:pPr>
              <w:spacing w:before="40" w:after="40" w:line="240" w:lineRule="auto"/>
            </w:pPr>
            <w:r>
              <w:rPr>
                <w:rFonts w:ascii="Segoe UI" w:hAnsi="Segoe UI" w:cs="Segoe UI" w:eastAsia="Segoe UI"/>
                <w:sz w:val="16"/>
                <w:szCs w:val="16"/>
              </w:rPr>
              <w:t xml:space="preserve">Toyota Insurance Services Philippines</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3"/>
        </w:numPr>
      </w:pPr>
      <w:bookmarkStart w:id="1002" w:name="_Toc300001002"/>
      <w:r>
        <w:rPr>
          <w:rFonts w:ascii="Segoe UI" w:hAnsi="Segoe UI" w:cs="Segoe UI" w:eastAsia="Segoe UI"/>
        </w:rPr>
        <w:t xml:space="preserve">Acronyms</w:t>
      </w:r>
      <w:bookmarkEnd w:id="100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2708"/>
        <w:gridCol w:w="6319"/>
      </w:tblGrid>
      <w:tr>
        <w:trPr>
          <w:cantSplit/>
          <w:tblHeader/>
          <w:trHeight w:val="400"/>
        </w:trPr>
        <w:tc>
          <w:tcPr>
            <w:tcW w:w="2708" w:type="dxa"/>
            <w:shd w:val="clear" w:color="auto" w:fill="E8F0F8"/>
            <w:vAlign w:val="center"/>
          </w:tcPr>
          <w:p>
            <w:pPr>
              <w:spacing w:before="40" w:after="40" w:line="240" w:lineRule="auto"/>
            </w:pPr>
            <w:r>
              <w:rPr>
                <w:rFonts w:ascii="Segoe UI" w:hAnsi="Segoe UI" w:cs="Segoe UI" w:eastAsia="Segoe UI"/>
                <w:b/>
                <w:bCs/>
                <w:sz w:val="16"/>
                <w:szCs w:val="16"/>
              </w:rPr>
              <w:t xml:space="preserve">Acronym / Symbol</w:t>
            </w:r>
          </w:p>
        </w:tc>
        <w:tc>
          <w:tcPr>
            <w:tcW w:w="6319" w:type="dxa"/>
            <w:shd w:val="clear" w:color="auto" w:fill="E8F0F8"/>
            <w:vAlign w:val="center"/>
          </w:tcPr>
          <w:p>
            <w:pPr>
              <w:spacing w:before="40" w:after="40" w:line="240" w:lineRule="auto"/>
            </w:pPr>
            <w:r>
              <w:rPr>
                <w:rFonts w:ascii="Segoe UI" w:hAnsi="Segoe UI" w:cs="Segoe UI" w:eastAsia="Segoe UI"/>
                <w:b/>
                <w:bCs/>
                <w:sz w:val="16"/>
                <w:szCs w:val="16"/>
              </w:rPr>
              <w:t xml:space="preserve">Definition / Meaning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AP</w:t>
            </w:r>
          </w:p>
        </w:tc>
        <w:tc>
          <w:tcPr>
            <w:tcW w:w="6319" w:type="dxa"/>
          </w:tcPr>
          <w:p>
            <w:pPr>
              <w:spacing w:before="40" w:after="40" w:line="240" w:lineRule="auto"/>
            </w:pPr>
            <w:r>
              <w:rPr>
                <w:rFonts w:ascii="Segoe UI" w:hAnsi="Segoe UI" w:cs="Segoe UI" w:eastAsia="Segoe UI"/>
                <w:sz w:val="16"/>
                <w:szCs w:val="16"/>
              </w:rPr>
              <w:t xml:space="preserve">Accounts payable</w:t>
            </w:r>
          </w:p>
        </w:tc>
      </w:tr>
      <w:tr>
        <w:trPr>
          <w:cantSplit/>
        </w:trPr>
        <w:tc>
          <w:tcPr>
            <w:tcW w:w="2708" w:type="dxa"/>
          </w:tcPr>
          <w:p>
            <w:pPr>
              <w:spacing w:before="40" w:after="40" w:line="240" w:lineRule="auto"/>
            </w:pPr>
            <w:r>
              <w:rPr>
                <w:rFonts w:ascii="Segoe UI" w:hAnsi="Segoe UI" w:cs="Segoe UI" w:eastAsia="Segoe UI"/>
                <w:b/>
                <w:bCs/>
                <w:sz w:val="16"/>
                <w:szCs w:val="16"/>
              </w:rPr>
              <w:t xml:space="preserve">API</w:t>
            </w:r>
          </w:p>
        </w:tc>
        <w:tc>
          <w:tcPr>
            <w:tcW w:w="6319" w:type="dxa"/>
          </w:tcPr>
          <w:p>
            <w:pPr>
              <w:spacing w:before="40" w:after="40" w:line="240" w:lineRule="auto"/>
            </w:pPr>
            <w:r>
              <w:rPr>
                <w:rFonts w:ascii="Segoe UI" w:hAnsi="Segoe UI" w:cs="Segoe UI" w:eastAsia="Segoe UI"/>
                <w:sz w:val="16"/>
                <w:szCs w:val="16"/>
              </w:rPr>
              <w:t xml:space="preserve">Application programming interface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w:t>
            </w:r>
          </w:p>
        </w:tc>
        <w:tc>
          <w:tcPr>
            <w:tcW w:w="6319" w:type="dxa"/>
          </w:tcPr>
          <w:p>
            <w:pPr>
              <w:spacing w:before="40" w:after="40" w:line="240" w:lineRule="auto"/>
            </w:pPr>
            <w:r>
              <w:rPr>
                <w:rFonts w:ascii="Segoe UI" w:hAnsi="Segoe UI" w:cs="Segoe UI" w:eastAsia="Segoe UI"/>
                <w:sz w:val="16"/>
                <w:szCs w:val="16"/>
              </w:rPr>
              <w:t xml:space="preserve">Business intelligence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BIR</w:t>
            </w:r>
          </w:p>
        </w:tc>
        <w:tc>
          <w:tcPr>
            <w:tcW w:w="6319" w:type="dxa"/>
          </w:tcPr>
          <w:p>
            <w:pPr>
              <w:spacing w:before="40" w:after="40" w:line="240" w:lineRule="auto"/>
            </w:pPr>
            <w:r>
              <w:rPr>
                <w:rFonts w:ascii="Segoe UI" w:hAnsi="Segoe UI" w:cs="Segoe UI" w:eastAsia="Segoe UI"/>
                <w:sz w:val="16"/>
                <w:szCs w:val="16"/>
              </w:rPr>
              <w:t xml:space="preserve">Bureau of Internal Revenue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BRD</w:t>
            </w:r>
          </w:p>
        </w:tc>
        <w:tc>
          <w:tcPr>
            <w:tcW w:w="6319" w:type="dxa"/>
          </w:tcPr>
          <w:p>
            <w:pPr>
              <w:spacing w:before="40" w:after="40" w:line="240" w:lineRule="auto"/>
            </w:pPr>
            <w:r>
              <w:rPr>
                <w:rFonts w:ascii="Segoe UI" w:hAnsi="Segoe UI" w:cs="Segoe UI" w:eastAsia="Segoe UI"/>
                <w:sz w:val="16"/>
                <w:szCs w:val="16"/>
              </w:rPr>
              <w:t xml:space="preserve">Business Requirement Document (TISPH, v2.2, signed)</w:t>
            </w:r>
          </w:p>
        </w:tc>
      </w:tr>
      <w:tr>
        <w:trPr>
          <w:cantSplit/>
        </w:trPr>
        <w:tc>
          <w:tcPr>
            <w:tcW w:w="2708" w:type="dxa"/>
          </w:tcPr>
          <w:p>
            <w:pPr>
              <w:spacing w:before="40" w:after="40" w:line="240" w:lineRule="auto"/>
            </w:pPr>
            <w:r>
              <w:rPr>
                <w:rFonts w:ascii="Segoe UI" w:hAnsi="Segoe UI" w:cs="Segoe UI" w:eastAsia="Segoe UI"/>
                <w:b/>
                <w:bCs/>
                <w:sz w:val="16"/>
                <w:szCs w:val="16"/>
              </w:rPr>
              <w:t xml:space="preserve">CAS</w:t>
            </w:r>
          </w:p>
        </w:tc>
        <w:tc>
          <w:tcPr>
            <w:tcW w:w="6319" w:type="dxa"/>
          </w:tcPr>
          <w:p>
            <w:pPr>
              <w:spacing w:before="40" w:after="40" w:line="240" w:lineRule="auto"/>
            </w:pPr>
            <w:r>
              <w:rPr>
                <w:rFonts w:ascii="Segoe UI" w:hAnsi="Segoe UI" w:cs="Segoe UI" w:eastAsia="Segoe UI"/>
                <w:sz w:val="16"/>
                <w:szCs w:val="16"/>
              </w:rPr>
              <w:t xml:space="preserve">Computerized Accounting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COC</w:t>
            </w:r>
          </w:p>
        </w:tc>
        <w:tc>
          <w:tcPr>
            <w:tcW w:w="6319" w:type="dxa"/>
          </w:tcPr>
          <w:p>
            <w:pPr>
              <w:spacing w:before="40" w:after="40" w:line="240" w:lineRule="auto"/>
            </w:pPr>
            <w:r>
              <w:rPr>
                <w:rFonts w:ascii="Segoe UI" w:hAnsi="Segoe UI" w:cs="Segoe UI" w:eastAsia="Segoe UI"/>
                <w:sz w:val="16"/>
                <w:szCs w:val="16"/>
              </w:rPr>
              <w:t xml:space="preserve">Certificate of cover (CTPL)</w:t>
            </w:r>
          </w:p>
        </w:tc>
      </w:tr>
      <w:tr>
        <w:trPr>
          <w:cantSplit/>
        </w:trPr>
        <w:tc>
          <w:tcPr>
            <w:tcW w:w="2708" w:type="dxa"/>
          </w:tcPr>
          <w:p>
            <w:pPr>
              <w:spacing w:before="40" w:after="40" w:line="240" w:lineRule="auto"/>
            </w:pPr>
            <w:r>
              <w:rPr>
                <w:rFonts w:ascii="Segoe UI" w:hAnsi="Segoe UI" w:cs="Segoe UI" w:eastAsia="Segoe UI"/>
                <w:b/>
                <w:bCs/>
                <w:sz w:val="16"/>
                <w:szCs w:val="16"/>
              </w:rPr>
              <w:t xml:space="preserve">CSV</w:t>
            </w:r>
          </w:p>
        </w:tc>
        <w:tc>
          <w:tcPr>
            <w:tcW w:w="6319" w:type="dxa"/>
          </w:tcPr>
          <w:p>
            <w:pPr>
              <w:spacing w:before="40" w:after="40" w:line="240" w:lineRule="auto"/>
            </w:pPr>
            <w:r>
              <w:rPr>
                <w:rFonts w:ascii="Segoe UI" w:hAnsi="Segoe UI" w:cs="Segoe UI" w:eastAsia="Segoe UI"/>
                <w:sz w:val="16"/>
                <w:szCs w:val="16"/>
              </w:rPr>
              <w:t xml:space="preserve">Comma-separated values file</w:t>
            </w:r>
          </w:p>
        </w:tc>
      </w:tr>
      <w:tr>
        <w:trPr>
          <w:cantSplit/>
        </w:trPr>
        <w:tc>
          <w:tcPr>
            <w:tcW w:w="2708" w:type="dxa"/>
          </w:tcPr>
          <w:p>
            <w:pPr>
              <w:spacing w:before="40" w:after="40" w:line="240" w:lineRule="auto"/>
            </w:pPr>
            <w:r>
              <w:rPr>
                <w:rFonts w:ascii="Segoe UI" w:hAnsi="Segoe UI" w:cs="Segoe UI" w:eastAsia="Segoe UI"/>
                <w:b/>
                <w:bCs/>
                <w:sz w:val="16"/>
                <w:szCs w:val="16"/>
              </w:rPr>
              <w:t xml:space="preserve">CTPL</w:t>
            </w:r>
          </w:p>
        </w:tc>
        <w:tc>
          <w:tcPr>
            <w:tcW w:w="6319" w:type="dxa"/>
          </w:tcPr>
          <w:p>
            <w:pPr>
              <w:spacing w:before="40" w:after="40" w:line="240" w:lineRule="auto"/>
            </w:pPr>
            <w:r>
              <w:rPr>
                <w:rFonts w:ascii="Segoe UI" w:hAnsi="Segoe UI" w:cs="Segoe UI" w:eastAsia="Segoe UI"/>
                <w:sz w:val="16"/>
                <w:szCs w:val="16"/>
              </w:rPr>
              <w:t xml:space="preserve">Compulsory Third Party Liability motor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DAT</w:t>
            </w:r>
          </w:p>
        </w:tc>
        <w:tc>
          <w:tcPr>
            <w:tcW w:w="6319" w:type="dxa"/>
          </w:tcPr>
          <w:p>
            <w:pPr>
              <w:spacing w:before="40" w:after="40" w:line="240" w:lineRule="auto"/>
            </w:pPr>
            <w:r>
              <w:rPr>
                <w:rFonts w:ascii="Segoe UI" w:hAnsi="Segoe UI" w:cs="Segoe UI" w:eastAsia="Segoe UI"/>
                <w:sz w:val="16"/>
                <w:szCs w:val="16"/>
              </w:rPr>
              <w:t xml:space="preserve">BIR data file format for alphalists and relief</w:t>
            </w:r>
          </w:p>
        </w:tc>
      </w:tr>
      <w:tr>
        <w:trPr>
          <w:cantSplit/>
        </w:trPr>
        <w:tc>
          <w:tcPr>
            <w:tcW w:w="2708" w:type="dxa"/>
          </w:tcPr>
          <w:p>
            <w:pPr>
              <w:spacing w:before="40" w:after="40" w:line="240" w:lineRule="auto"/>
            </w:pPr>
            <w:r>
              <w:rPr>
                <w:rFonts w:ascii="Segoe UI" w:hAnsi="Segoe UI" w:cs="Segoe UI" w:eastAsia="Segoe UI"/>
                <w:b/>
                <w:bCs/>
                <w:sz w:val="16"/>
                <w:szCs w:val="16"/>
              </w:rPr>
              <w:t xml:space="preserve">EIS</w:t>
            </w:r>
          </w:p>
        </w:tc>
        <w:tc>
          <w:tcPr>
            <w:tcW w:w="6319" w:type="dxa"/>
          </w:tcPr>
          <w:p>
            <w:pPr>
              <w:spacing w:before="40" w:after="40" w:line="240" w:lineRule="auto"/>
            </w:pPr>
            <w:r>
              <w:rPr>
                <w:rFonts w:ascii="Segoe UI" w:hAnsi="Segoe UI" w:cs="Segoe UI" w:eastAsia="Segoe UI"/>
                <w:sz w:val="16"/>
                <w:szCs w:val="16"/>
              </w:rPr>
              <w:t xml:space="preserve">BIR Electronic Invoicing System</w:t>
            </w:r>
          </w:p>
        </w:tc>
      </w:tr>
      <w:tr>
        <w:trPr>
          <w:cantSplit/>
        </w:trPr>
        <w:tc>
          <w:tcPr>
            <w:tcW w:w="2708" w:type="dxa"/>
          </w:tcPr>
          <w:p>
            <w:pPr>
              <w:spacing w:before="40" w:after="40" w:line="240" w:lineRule="auto"/>
            </w:pPr>
            <w:r>
              <w:rPr>
                <w:rFonts w:ascii="Segoe UI" w:hAnsi="Segoe UI" w:cs="Segoe UI" w:eastAsia="Segoe UI"/>
                <w:b/>
                <w:bCs/>
                <w:sz w:val="16"/>
                <w:szCs w:val="16"/>
              </w:rPr>
              <w:t xml:space="preserve">EOPT</w:t>
            </w:r>
          </w:p>
        </w:tc>
        <w:tc>
          <w:tcPr>
            <w:tcW w:w="6319" w:type="dxa"/>
          </w:tcPr>
          <w:p>
            <w:pPr>
              <w:spacing w:before="40" w:after="40" w:line="240" w:lineRule="auto"/>
            </w:pPr>
            <w:r>
              <w:rPr>
                <w:rFonts w:ascii="Segoe UI" w:hAnsi="Segoe UI" w:cs="Segoe UI" w:eastAsia="Segoe UI"/>
                <w:sz w:val="16"/>
                <w:szCs w:val="16"/>
              </w:rPr>
              <w:t xml:space="preserve">Ease of Paying Taxes Act</w:t>
            </w:r>
          </w:p>
        </w:tc>
      </w:tr>
      <w:tr>
        <w:trPr>
          <w:cantSplit/>
        </w:trPr>
        <w:tc>
          <w:tcPr>
            <w:tcW w:w="2708" w:type="dxa"/>
          </w:tcPr>
          <w:p>
            <w:pPr>
              <w:spacing w:before="40" w:after="40" w:line="240" w:lineRule="auto"/>
            </w:pPr>
            <w:r>
              <w:rPr>
                <w:rFonts w:ascii="Segoe UI" w:hAnsi="Segoe UI" w:cs="Segoe UI" w:eastAsia="Segoe UI"/>
                <w:b/>
                <w:bCs/>
                <w:sz w:val="16"/>
                <w:szCs w:val="16"/>
              </w:rPr>
              <w:t xml:space="preserve">FRS</w:t>
            </w:r>
          </w:p>
        </w:tc>
        <w:tc>
          <w:tcPr>
            <w:tcW w:w="6319" w:type="dxa"/>
          </w:tcPr>
          <w:p>
            <w:pPr>
              <w:spacing w:before="40" w:after="40" w:line="240" w:lineRule="auto"/>
            </w:pPr>
            <w:r>
              <w:rPr>
                <w:rFonts w:ascii="Segoe UI" w:hAnsi="Segoe UI" w:cs="Segoe UI" w:eastAsia="Segoe UI"/>
                <w:sz w:val="16"/>
                <w:szCs w:val="16"/>
              </w:rPr>
              <w:t xml:space="preserve">Functional Requirement Specification</w:t>
            </w:r>
          </w:p>
        </w:tc>
      </w:tr>
      <w:tr>
        <w:trPr>
          <w:cantSplit/>
        </w:trPr>
        <w:tc>
          <w:tcPr>
            <w:tcW w:w="2708" w:type="dxa"/>
          </w:tcPr>
          <w:p>
            <w:pPr>
              <w:spacing w:before="40" w:after="40" w:line="240" w:lineRule="auto"/>
            </w:pPr>
            <w:r>
              <w:rPr>
                <w:rFonts w:ascii="Segoe UI" w:hAnsi="Segoe UI" w:cs="Segoe UI" w:eastAsia="Segoe UI"/>
                <w:b/>
                <w:bCs/>
                <w:sz w:val="16"/>
                <w:szCs w:val="16"/>
              </w:rPr>
              <w:t xml:space="preserve">GL</w:t>
            </w:r>
          </w:p>
        </w:tc>
        <w:tc>
          <w:tcPr>
            <w:tcW w:w="6319" w:type="dxa"/>
          </w:tcPr>
          <w:p>
            <w:pPr>
              <w:spacing w:before="40" w:after="40" w:line="240" w:lineRule="auto"/>
            </w:pPr>
            <w:r>
              <w:rPr>
                <w:rFonts w:ascii="Segoe UI" w:hAnsi="Segoe UI" w:cs="Segoe UI" w:eastAsia="Segoe UI"/>
                <w:sz w:val="16"/>
                <w:szCs w:val="16"/>
              </w:rPr>
              <w:t xml:space="preserve">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ID</w:t>
            </w:r>
          </w:p>
        </w:tc>
        <w:tc>
          <w:tcPr>
            <w:tcW w:w="6319" w:type="dxa"/>
          </w:tcPr>
          <w:p>
            <w:pPr>
              <w:spacing w:before="40" w:after="40" w:line="240" w:lineRule="auto"/>
            </w:pPr>
            <w:r>
              <w:rPr>
                <w:rFonts w:ascii="Segoe UI" w:hAnsi="Segoe UI" w:cs="Segoe UI" w:eastAsia="Segoe UI"/>
                <w:sz w:val="16"/>
                <w:szCs w:val="16"/>
              </w:rPr>
              <w:t xml:space="preserve">Identifier</w:t>
            </w:r>
          </w:p>
        </w:tc>
      </w:tr>
      <w:tr>
        <w:trPr>
          <w:cantSplit/>
        </w:trPr>
        <w:tc>
          <w:tcPr>
            <w:tcW w:w="2708" w:type="dxa"/>
          </w:tcPr>
          <w:p>
            <w:pPr>
              <w:spacing w:before="40" w:after="40" w:line="240" w:lineRule="auto"/>
            </w:pPr>
            <w:r>
              <w:rPr>
                <w:rFonts w:ascii="Segoe UI" w:hAnsi="Segoe UI" w:cs="Segoe UI" w:eastAsia="Segoe UI"/>
                <w:b/>
                <w:bCs/>
                <w:sz w:val="16"/>
                <w:szCs w:val="16"/>
              </w:rPr>
              <w:t xml:space="preserve">IT</w:t>
            </w:r>
          </w:p>
        </w:tc>
        <w:tc>
          <w:tcPr>
            <w:tcW w:w="6319" w:type="dxa"/>
          </w:tcPr>
          <w:p>
            <w:pPr>
              <w:spacing w:before="40" w:after="40" w:line="240" w:lineRule="auto"/>
            </w:pPr>
            <w:r>
              <w:rPr>
                <w:rFonts w:ascii="Segoe UI" w:hAnsi="Segoe UI" w:cs="Segoe UI" w:eastAsia="Segoe UI"/>
                <w:sz w:val="16"/>
                <w:szCs w:val="16"/>
              </w:rPr>
              <w:t xml:space="preserve">Information technology</w:t>
            </w:r>
          </w:p>
        </w:tc>
      </w:tr>
      <w:tr>
        <w:trPr>
          <w:cantSplit/>
        </w:trPr>
        <w:tc>
          <w:tcPr>
            <w:tcW w:w="2708" w:type="dxa"/>
          </w:tcPr>
          <w:p>
            <w:pPr>
              <w:spacing w:before="40" w:after="40" w:line="240" w:lineRule="auto"/>
            </w:pPr>
            <w:r>
              <w:rPr>
                <w:rFonts w:ascii="Segoe UI" w:hAnsi="Segoe UI" w:cs="Segoe UI" w:eastAsia="Segoe UI"/>
                <w:b/>
                <w:bCs/>
                <w:sz w:val="16"/>
                <w:szCs w:val="16"/>
              </w:rPr>
              <w:t xml:space="preserve">KYC</w:t>
            </w:r>
          </w:p>
        </w:tc>
        <w:tc>
          <w:tcPr>
            <w:tcW w:w="6319" w:type="dxa"/>
          </w:tcPr>
          <w:p>
            <w:pPr>
              <w:spacing w:before="40" w:after="40" w:line="240" w:lineRule="auto"/>
            </w:pPr>
            <w:r>
              <w:rPr>
                <w:rFonts w:ascii="Segoe UI" w:hAnsi="Segoe UI" w:cs="Segoe UI" w:eastAsia="Segoe UI"/>
                <w:sz w:val="16"/>
                <w:szCs w:val="16"/>
              </w:rPr>
              <w:t xml:space="preserve">Know your customer</w:t>
            </w:r>
          </w:p>
        </w:tc>
      </w:tr>
      <w:tr>
        <w:trPr>
          <w:cantSplit/>
        </w:trPr>
        <w:tc>
          <w:tcPr>
            <w:tcW w:w="2708" w:type="dxa"/>
          </w:tcPr>
          <w:p>
            <w:pPr>
              <w:spacing w:before="40" w:after="40" w:line="240" w:lineRule="auto"/>
            </w:pPr>
            <w:r>
              <w:rPr>
                <w:rFonts w:ascii="Segoe UI" w:hAnsi="Segoe UI" w:cs="Segoe UI" w:eastAsia="Segoe UI"/>
                <w:b/>
                <w:bCs/>
                <w:sz w:val="16"/>
                <w:szCs w:val="16"/>
              </w:rPr>
              <w:t xml:space="preserve">MOM</w:t>
            </w:r>
          </w:p>
        </w:tc>
        <w:tc>
          <w:tcPr>
            <w:tcW w:w="6319" w:type="dxa"/>
          </w:tcPr>
          <w:p>
            <w:pPr>
              <w:spacing w:before="40" w:after="40" w:line="240" w:lineRule="auto"/>
            </w:pPr>
            <w:r>
              <w:rPr>
                <w:rFonts w:ascii="Segoe UI" w:hAnsi="Segoe UI" w:cs="Segoe UI" w:eastAsia="Segoe UI"/>
                <w:sz w:val="16"/>
                <w:szCs w:val="16"/>
              </w:rPr>
              <w:t xml:space="preserve">Minutes of meeting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PA</w:t>
            </w:r>
          </w:p>
        </w:tc>
        <w:tc>
          <w:tcPr>
            <w:tcW w:w="6319" w:type="dxa"/>
          </w:tcPr>
          <w:p>
            <w:pPr>
              <w:spacing w:before="40" w:after="40" w:line="240" w:lineRule="auto"/>
            </w:pPr>
            <w:r>
              <w:rPr>
                <w:rFonts w:ascii="Segoe UI" w:hAnsi="Segoe UI" w:cs="Segoe UI" w:eastAsia="Segoe UI"/>
                <w:sz w:val="16"/>
                <w:szCs w:val="16"/>
              </w:rPr>
              <w:t xml:space="preserve">Personal accident (insurance)</w:t>
            </w:r>
          </w:p>
        </w:tc>
      </w:tr>
      <w:tr>
        <w:trPr>
          <w:cantSplit/>
        </w:trPr>
        <w:tc>
          <w:tcPr>
            <w:tcW w:w="2708" w:type="dxa"/>
          </w:tcPr>
          <w:p>
            <w:pPr>
              <w:spacing w:before="40" w:after="40" w:line="240" w:lineRule="auto"/>
            </w:pPr>
            <w:r>
              <w:rPr>
                <w:rFonts w:ascii="Segoe UI" w:hAnsi="Segoe UI" w:cs="Segoe UI" w:eastAsia="Segoe UI"/>
                <w:b/>
                <w:bCs/>
                <w:sz w:val="16"/>
                <w:szCs w:val="16"/>
              </w:rPr>
              <w:t xml:space="preserve">PDF</w:t>
            </w:r>
          </w:p>
        </w:tc>
        <w:tc>
          <w:tcPr>
            <w:tcW w:w="6319" w:type="dxa"/>
          </w:tcPr>
          <w:p>
            <w:pPr>
              <w:spacing w:before="40" w:after="40" w:line="240" w:lineRule="auto"/>
            </w:pPr>
            <w:r>
              <w:rPr>
                <w:rFonts w:ascii="Segoe UI" w:hAnsi="Segoe UI" w:cs="Segoe UI" w:eastAsia="Segoe UI"/>
                <w:sz w:val="16"/>
                <w:szCs w:val="16"/>
              </w:rPr>
              <w:t xml:space="preserve">Portable Document Format</w:t>
            </w:r>
          </w:p>
        </w:tc>
      </w:tr>
      <w:tr>
        <w:trPr>
          <w:cantSplit/>
        </w:trPr>
        <w:tc>
          <w:tcPr>
            <w:tcW w:w="2708" w:type="dxa"/>
          </w:tcPr>
          <w:p>
            <w:pPr>
              <w:spacing w:before="40" w:after="40" w:line="240" w:lineRule="auto"/>
            </w:pPr>
            <w:r>
              <w:rPr>
                <w:rFonts w:ascii="Segoe UI" w:hAnsi="Segoe UI" w:cs="Segoe UI" w:eastAsia="Segoe UI"/>
                <w:b/>
                <w:bCs/>
                <w:sz w:val="16"/>
                <w:szCs w:val="16"/>
              </w:rPr>
              <w:t xml:space="preserve">QAP</w:t>
            </w:r>
          </w:p>
        </w:tc>
        <w:tc>
          <w:tcPr>
            <w:tcW w:w="6319" w:type="dxa"/>
          </w:tcPr>
          <w:p>
            <w:pPr>
              <w:spacing w:before="40" w:after="40" w:line="240" w:lineRule="auto"/>
            </w:pPr>
            <w:r>
              <w:rPr>
                <w:rFonts w:ascii="Segoe UI" w:hAnsi="Segoe UI" w:cs="Segoe UI" w:eastAsia="Segoe UI"/>
                <w:sz w:val="16"/>
                <w:szCs w:val="16"/>
              </w:rPr>
              <w:t xml:space="preserve">Quarterly Alphalist of Payees</w:t>
            </w:r>
          </w:p>
        </w:tc>
      </w:tr>
      <w:tr>
        <w:trPr>
          <w:cantSplit/>
        </w:trPr>
        <w:tc>
          <w:tcPr>
            <w:tcW w:w="2708" w:type="dxa"/>
          </w:tcPr>
          <w:p>
            <w:pPr>
              <w:spacing w:before="40" w:after="40" w:line="240" w:lineRule="auto"/>
            </w:pPr>
            <w:r>
              <w:rPr>
                <w:rFonts w:ascii="Segoe UI" w:hAnsi="Segoe UI" w:cs="Segoe UI" w:eastAsia="Segoe UI"/>
                <w:b/>
                <w:bCs/>
                <w:sz w:val="16"/>
                <w:szCs w:val="16"/>
              </w:rPr>
              <w:t xml:space="preserve">REST</w:t>
            </w:r>
          </w:p>
        </w:tc>
        <w:tc>
          <w:tcPr>
            <w:tcW w:w="6319" w:type="dxa"/>
          </w:tcPr>
          <w:p>
            <w:pPr>
              <w:spacing w:before="40" w:after="40" w:line="240" w:lineRule="auto"/>
            </w:pPr>
            <w:r>
              <w:rPr>
                <w:rFonts w:ascii="Segoe UI" w:hAnsi="Segoe UI" w:cs="Segoe UI" w:eastAsia="Segoe UI"/>
                <w:sz w:val="16"/>
                <w:szCs w:val="16"/>
              </w:rPr>
              <w:t xml:space="preserve">Representational state transfer (API style)</w:t>
            </w:r>
          </w:p>
        </w:tc>
      </w:tr>
      <w:tr>
        <w:trPr>
          <w:cantSplit/>
        </w:trPr>
        <w:tc>
          <w:tcPr>
            <w:tcW w:w="2708" w:type="dxa"/>
          </w:tcPr>
          <w:p>
            <w:pPr>
              <w:spacing w:before="40" w:after="40" w:line="240" w:lineRule="auto"/>
            </w:pPr>
            <w:r>
              <w:rPr>
                <w:rFonts w:ascii="Segoe UI" w:hAnsi="Segoe UI" w:cs="Segoe UI" w:eastAsia="Segoe UI"/>
                <w:b/>
                <w:bCs/>
                <w:sz w:val="16"/>
                <w:szCs w:val="16"/>
              </w:rPr>
              <w:t xml:space="preserve">SAP</w:t>
            </w:r>
          </w:p>
        </w:tc>
        <w:tc>
          <w:tcPr>
            <w:tcW w:w="6319" w:type="dxa"/>
          </w:tcPr>
          <w:p>
            <w:pPr>
              <w:spacing w:before="40" w:after="40" w:line="240" w:lineRule="auto"/>
            </w:pPr>
            <w:r>
              <w:rPr>
                <w:rFonts w:ascii="Segoe UI" w:hAnsi="Segoe UI" w:cs="Segoe UI" w:eastAsia="Segoe UI"/>
                <w:sz w:val="16"/>
                <w:szCs w:val="16"/>
              </w:rPr>
              <w:t xml:space="preserve">SAP enterprise resource planning system (TISPH general ledger)</w:t>
            </w:r>
          </w:p>
        </w:tc>
      </w:tr>
      <w:tr>
        <w:trPr>
          <w:cantSplit/>
        </w:trPr>
        <w:tc>
          <w:tcPr>
            <w:tcW w:w="2708" w:type="dxa"/>
          </w:tcPr>
          <w:p>
            <w:pPr>
              <w:spacing w:before="40" w:after="40" w:line="240" w:lineRule="auto"/>
            </w:pPr>
            <w:r>
              <w:rPr>
                <w:rFonts w:ascii="Segoe UI" w:hAnsi="Segoe UI" w:cs="Segoe UI" w:eastAsia="Segoe UI"/>
                <w:b/>
                <w:bCs/>
                <w:sz w:val="16"/>
                <w:szCs w:val="16"/>
              </w:rPr>
              <w:t xml:space="preserve">SAWT</w:t>
            </w:r>
          </w:p>
        </w:tc>
        <w:tc>
          <w:tcPr>
            <w:tcW w:w="6319" w:type="dxa"/>
          </w:tcPr>
          <w:p>
            <w:pPr>
              <w:spacing w:before="40" w:after="40" w:line="240" w:lineRule="auto"/>
            </w:pPr>
            <w:r>
              <w:rPr>
                <w:rFonts w:ascii="Segoe UI" w:hAnsi="Segoe UI" w:cs="Segoe UI" w:eastAsia="Segoe UI"/>
                <w:sz w:val="16"/>
                <w:szCs w:val="16"/>
              </w:rPr>
              <w:t xml:space="preserve">Summary Alphalist of Withholding Taxes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SLSP</w:t>
            </w:r>
          </w:p>
        </w:tc>
        <w:tc>
          <w:tcPr>
            <w:tcW w:w="6319" w:type="dxa"/>
          </w:tcPr>
          <w:p>
            <w:pPr>
              <w:spacing w:before="40" w:after="40" w:line="240" w:lineRule="auto"/>
            </w:pPr>
            <w:r>
              <w:rPr>
                <w:rFonts w:ascii="Segoe UI" w:hAnsi="Segoe UI" w:cs="Segoe UI" w:eastAsia="Segoe UI"/>
                <w:sz w:val="16"/>
                <w:szCs w:val="16"/>
              </w:rPr>
              <w:t xml:space="preserve">Summary List of Sales and Purchases</w:t>
            </w:r>
          </w:p>
        </w:tc>
      </w:tr>
      <w:tr>
        <w:trPr>
          <w:cantSplit/>
        </w:trPr>
        <w:tc>
          <w:tcPr>
            <w:tcW w:w="2708" w:type="dxa"/>
          </w:tcPr>
          <w:p>
            <w:pPr>
              <w:spacing w:before="40" w:after="40" w:line="240" w:lineRule="auto"/>
            </w:pPr>
            <w:r>
              <w:rPr>
                <w:rFonts w:ascii="Segoe UI" w:hAnsi="Segoe UI" w:cs="Segoe UI" w:eastAsia="Segoe UI"/>
                <w:b/>
                <w:bCs/>
                <w:sz w:val="16"/>
                <w:szCs w:val="16"/>
              </w:rPr>
              <w:t xml:space="preserve">SMS</w:t>
            </w:r>
          </w:p>
        </w:tc>
        <w:tc>
          <w:tcPr>
            <w:tcW w:w="6319" w:type="dxa"/>
          </w:tcPr>
          <w:p>
            <w:pPr>
              <w:spacing w:before="40" w:after="40" w:line="240" w:lineRule="auto"/>
            </w:pPr>
            <w:r>
              <w:rPr>
                <w:rFonts w:ascii="Segoe UI" w:hAnsi="Segoe UI" w:cs="Segoe UI" w:eastAsia="Segoe UI"/>
                <w:sz w:val="16"/>
                <w:szCs w:val="16"/>
              </w:rPr>
              <w:t xml:space="preserve">Short message service</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w:t>
            </w:r>
          </w:p>
        </w:tc>
        <w:tc>
          <w:tcPr>
            <w:tcW w:w="6319" w:type="dxa"/>
          </w:tcPr>
          <w:p>
            <w:pPr>
              <w:spacing w:before="40" w:after="40" w:line="240" w:lineRule="auto"/>
            </w:pPr>
            <w:r>
              <w:rPr>
                <w:rFonts w:ascii="Segoe UI" w:hAnsi="Segoe UI" w:cs="Segoe UI" w:eastAsia="Segoe UI"/>
                <w:sz w:val="16"/>
                <w:szCs w:val="16"/>
              </w:rPr>
              <w:t xml:space="preserve">Toyota Insurance Services</w:t>
            </w:r>
          </w:p>
        </w:tc>
      </w:tr>
      <w:tr>
        <w:trPr>
          <w:cantSplit/>
        </w:trPr>
        <w:tc>
          <w:tcPr>
            <w:tcW w:w="2708" w:type="dxa"/>
          </w:tcPr>
          <w:p>
            <w:pPr>
              <w:spacing w:before="40" w:after="40" w:line="240" w:lineRule="auto"/>
            </w:pPr>
            <w:r>
              <w:rPr>
                <w:rFonts w:ascii="Segoe UI" w:hAnsi="Segoe UI" w:cs="Segoe UI" w:eastAsia="Segoe UI"/>
                <w:b/>
                <w:bCs/>
                <w:sz w:val="16"/>
                <w:szCs w:val="16"/>
              </w:rPr>
              <w:t xml:space="preserve">TISPH</w:t>
            </w:r>
          </w:p>
        </w:tc>
        <w:tc>
          <w:tcPr>
            <w:tcW w:w="6319" w:type="dxa"/>
          </w:tcPr>
          <w:p>
            <w:pPr>
              <w:spacing w:before="40" w:after="40" w:line="240" w:lineRule="auto"/>
            </w:pPr>
            <w:r>
              <w:rPr>
                <w:rFonts w:ascii="Segoe UI" w:hAnsi="Segoe UI" w:cs="Segoe UI" w:eastAsia="Segoe UI"/>
                <w:sz w:val="16"/>
                <w:szCs w:val="16"/>
              </w:rPr>
              <w:t xml:space="preserve">Toyota Insurance Services Philippines</w:t>
            </w:r>
          </w:p>
        </w:tc>
      </w:tr>
      <w:tr>
        <w:trPr>
          <w:cantSplit/>
        </w:trPr>
        <w:tc>
          <w:tcPr>
            <w:tcW w:w="2708" w:type="dxa"/>
          </w:tcPr>
          <w:p>
            <w:pPr>
              <w:spacing w:before="40" w:after="40" w:line="240" w:lineRule="auto"/>
            </w:pPr>
            <w:r>
              <w:rPr>
                <w:rFonts w:ascii="Segoe UI" w:hAnsi="Segoe UI" w:cs="Segoe UI" w:eastAsia="Segoe UI"/>
                <w:b/>
                <w:bCs/>
                <w:sz w:val="16"/>
                <w:szCs w:val="16"/>
              </w:rPr>
              <w:t xml:space="preserve">UAT</w:t>
            </w:r>
          </w:p>
        </w:tc>
        <w:tc>
          <w:tcPr>
            <w:tcW w:w="6319" w:type="dxa"/>
          </w:tcPr>
          <w:p>
            <w:pPr>
              <w:spacing w:before="40" w:after="40" w:line="240" w:lineRule="auto"/>
            </w:pPr>
            <w:r>
              <w:rPr>
                <w:rFonts w:ascii="Segoe UI" w:hAnsi="Segoe UI" w:cs="Segoe UI" w:eastAsia="Segoe UI"/>
                <w:sz w:val="16"/>
                <w:szCs w:val="16"/>
              </w:rPr>
              <w:t xml:space="preserve">User acceptance testing</w:t>
            </w:r>
          </w:p>
        </w:tc>
      </w:tr>
      <w:tr>
        <w:trPr>
          <w:cantSplit/>
        </w:trPr>
        <w:tc>
          <w:tcPr>
            <w:tcW w:w="2708" w:type="dxa"/>
          </w:tcPr>
          <w:p>
            <w:pPr>
              <w:spacing w:before="40" w:after="40" w:line="240" w:lineRule="auto"/>
            </w:pPr>
            <w:r>
              <w:rPr>
                <w:rFonts w:ascii="Segoe UI" w:hAnsi="Segoe UI" w:cs="Segoe UI" w:eastAsia="Segoe UI"/>
                <w:b/>
                <w:bCs/>
                <w:sz w:val="16"/>
                <w:szCs w:val="16"/>
              </w:rPr>
              <w:t xml:space="preserve">VAT</w:t>
            </w:r>
          </w:p>
        </w:tc>
        <w:tc>
          <w:tcPr>
            <w:tcW w:w="6319" w:type="dxa"/>
          </w:tcPr>
          <w:p>
            <w:pPr>
              <w:spacing w:before="40" w:after="40" w:line="240" w:lineRule="auto"/>
            </w:pPr>
            <w:r>
              <w:rPr>
                <w:rFonts w:ascii="Segoe UI" w:hAnsi="Segoe UI" w:cs="Segoe UI" w:eastAsia="Segoe UI"/>
                <w:sz w:val="16"/>
                <w:szCs w:val="16"/>
              </w:rPr>
              <w:t xml:space="preserve">Value-added tax</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pageBreakBefore/>
        <w:numPr>
          <w:ilvl w:val="0"/>
          <w:numId w:val="14"/>
        </w:numPr>
      </w:pPr>
      <w:bookmarkStart w:id="1003" w:name="_Toc300001003"/>
      <w:r>
        <w:rPr>
          <w:rFonts w:ascii="Segoe UI" w:hAnsi="Segoe UI" w:cs="Segoe UI" w:eastAsia="Segoe UI"/>
        </w:rPr>
        <w:t xml:space="preserve">Purpose</w:t>
      </w:r>
      <w:bookmarkEnd w:id="1003"/>
    </w:p>
    <w:p xmlns:a="http://schemas.openxmlformats.org/drawingml/2006/main" xmlns:pic="http://schemas.openxmlformats.org/drawingml/2006/picture">
      <w:pPr>
        <w:jc w:val="both"/>
      </w:pPr>
      <w:r>
        <w:rPr>
          <w:rFonts w:ascii="Segoe UI" w:hAnsi="Segoe UI" w:cs="Segoe UI" w:eastAsia="Segoe UI"/>
        </w:rPr>
        <w:t xml:space="preserve">Phase 1 stays in the platform. Phase 2 functions are built and delivered off, ready to be enabled. Functions of the platform that are not part of the BRD and FRS are listed for future releases. This document lists every function with its release tier, so that TISPH can see what is enabled, what can be requested, and which decisions are open.</w:t>
      </w:r>
    </w:p>
    <w:p xmlns:a="http://schemas.openxmlformats.org/drawingml/2006/main" xmlns:pic="http://schemas.openxmlformats.org/drawingml/2006/picture">
      <w:pPr>
        <w:jc w:val="both"/>
      </w:pPr>
      <w:r>
        <w:rPr>
          <w:rFonts w:ascii="Segoe UI" w:hAnsi="Segoe UI" w:cs="Segoe UI" w:eastAsia="Segoe UI"/>
        </w:rPr>
        <w:t xml:space="preserve">Enabling replaces hiding, deactivating and switching off functions through menus or settings. Only the iorta TechNXT platform administrator enables a Phase 2 or future-release function; the administrators of TISPH see the catalogue read only (Master &gt; System Configuration &gt; Features &amp; Releases).</w:t>
      </w:r>
    </w:p>
    <w:p xmlns:a="http://schemas.openxmlformats.org/drawingml/2006/main" xmlns:pic="http://schemas.openxmlformats.org/drawingml/2006/picture">
      <w:pPr>
        <w:pStyle w:val="Heading1"/>
        <w:numPr>
          <w:ilvl w:val="0"/>
          <w:numId w:val="14"/>
        </w:numPr>
      </w:pPr>
      <w:bookmarkStart w:id="1004" w:name="_Toc300001004"/>
      <w:r>
        <w:rPr>
          <w:rFonts w:ascii="Segoe UI" w:hAnsi="Segoe UI" w:cs="Segoe UI" w:eastAsia="Segoe UI"/>
        </w:rPr>
        <w:t xml:space="preserve">Release Tiers</w:t>
      </w:r>
      <w:bookmarkEnd w:id="100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150"/>
        <w:gridCol w:w="3137"/>
        <w:gridCol w:w="2516"/>
        <w:gridCol w:w="1156"/>
        <w:gridCol w:w="1068"/>
      </w:tblGrid>
      <w:tr>
        <w:trPr>
          <w:cantSplit/>
          <w:tblHeader/>
          <w:trHeight w:val="400"/>
        </w:trPr>
        <w:tc>
          <w:tcPr>
            <w:tcW w:w="115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3137" w:type="dxa"/>
            <w:shd w:val="clear" w:color="auto" w:fill="E8F0F8"/>
            <w:vAlign w:val="center"/>
          </w:tcPr>
          <w:p>
            <w:pPr>
              <w:spacing w:before="40" w:after="40" w:line="240" w:lineRule="auto"/>
            </w:pPr>
            <w:r>
              <w:rPr>
                <w:rFonts w:ascii="Segoe UI" w:hAnsi="Segoe UI" w:cs="Segoe UI" w:eastAsia="Segoe UI"/>
                <w:b/>
                <w:bCs/>
                <w:sz w:val="16"/>
                <w:szCs w:val="16"/>
              </w:rPr>
              <w:t xml:space="preserve">Meaning</w:t>
            </w:r>
          </w:p>
        </w:tc>
        <w:tc>
          <w:tcPr>
            <w:tcW w:w="2516" w:type="dxa"/>
            <w:shd w:val="clear" w:color="auto" w:fill="E8F0F8"/>
            <w:vAlign w:val="center"/>
          </w:tcPr>
          <w:p>
            <w:pPr>
              <w:spacing w:before="40" w:after="40" w:line="240" w:lineRule="auto"/>
            </w:pPr>
            <w:r>
              <w:rPr>
                <w:rFonts w:ascii="Segoe UI" w:hAnsi="Segoe UI" w:cs="Segoe UI" w:eastAsia="Segoe UI"/>
                <w:b/>
                <w:bCs/>
                <w:sz w:val="16"/>
                <w:szCs w:val="16"/>
              </w:rPr>
              <w:t xml:space="preserve">State in a TISPH environment</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Features</w:t>
            </w:r>
          </w:p>
        </w:tc>
        <w:tc>
          <w:tcPr>
            <w:tcW w:w="1068" w:type="dxa"/>
            <w:shd w:val="clear" w:color="auto" w:fill="E8F0F8"/>
            <w:vAlign w:val="center"/>
          </w:tcPr>
          <w:p>
            <w:pPr>
              <w:spacing w:before="40" w:after="40" w:line="240" w:lineRule="auto"/>
            </w:pPr>
            <w:r>
              <w:rPr>
                <w:rFonts w:ascii="Segoe UI" w:hAnsi="Segoe UI" w:cs="Segoe UI" w:eastAsia="Segoe UI"/>
                <w:b/>
                <w:bCs/>
                <w:sz w:val="16"/>
                <w:szCs w:val="16"/>
              </w:rPr>
              <w:t xml:space="preserve">Menu entries</w:t>
            </w:r>
          </w:p>
        </w:tc>
      </w:tr>
      <w:tr>
        <w:trPr>
          <w:cantSplit/>
        </w:trPr>
        <w:tc>
          <w:tcPr>
            <w:tcW w:w="1150" w:type="dxa"/>
          </w:tcPr>
          <w:p>
            <w:pPr>
              <w:spacing w:before="40" w:after="40" w:line="240" w:lineRule="auto"/>
            </w:pPr>
            <w:r>
              <w:rPr>
                <w:rFonts w:ascii="Segoe UI" w:hAnsi="Segoe UI" w:cs="Segoe UI" w:eastAsia="Segoe UI"/>
                <w:sz w:val="16"/>
                <w:szCs w:val="16"/>
              </w:rPr>
              <w:t xml:space="preserve">Phase 1</w:t>
            </w:r>
          </w:p>
        </w:tc>
        <w:tc>
          <w:tcPr>
            <w:tcW w:w="3137" w:type="dxa"/>
          </w:tcPr>
          <w:p>
            <w:pPr>
              <w:spacing w:before="40" w:after="40" w:line="240" w:lineRule="auto"/>
            </w:pPr>
            <w:r>
              <w:rPr>
                <w:rFonts w:ascii="Segoe UI" w:hAnsi="Segoe UI" w:cs="Segoe UI" w:eastAsia="Segoe UI"/>
                <w:sz w:val="16"/>
                <w:szCs w:val="16"/>
              </w:rPr>
              <w:t xml:space="preserve">Core TISPH scope (BRD v2.2, FRS)</w:t>
            </w:r>
          </w:p>
        </w:tc>
        <w:tc>
          <w:tcPr>
            <w:tcW w:w="2516" w:type="dxa"/>
          </w:tcPr>
          <w:p>
            <w:pPr>
              <w:spacing w:before="40" w:after="40" w:line="240" w:lineRule="auto"/>
            </w:pPr>
            <w:r>
              <w:rPr>
                <w:rFonts w:ascii="Segoe UI" w:hAnsi="Segoe UI" w:cs="Segoe UI" w:eastAsia="Segoe UI"/>
                <w:sz w:val="16"/>
                <w:szCs w:val="16"/>
              </w:rPr>
              <w:t xml:space="preserve">Always on; cannot be switched off by TISPH</w:t>
            </w:r>
          </w:p>
        </w:tc>
        <w:tc>
          <w:tcPr>
            <w:tcW w:w="1156" w:type="dxa"/>
          </w:tcPr>
          <w:p>
            <w:pPr>
              <w:spacing w:before="40" w:after="40" w:line="240" w:lineRule="auto"/>
            </w:pPr>
            <w:r>
              <w:rPr>
                <w:rFonts w:ascii="Segoe UI" w:hAnsi="Segoe UI" w:cs="Segoe UI" w:eastAsia="Segoe UI"/>
                <w:sz w:val="16"/>
                <w:szCs w:val="16"/>
              </w:rPr>
              <w:t xml:space="preserve">30</w:t>
            </w:r>
          </w:p>
        </w:tc>
        <w:tc>
          <w:tcPr>
            <w:tcW w:w="1068" w:type="dxa"/>
          </w:tcPr>
          <w:p>
            <w:pPr>
              <w:spacing w:before="40" w:after="40" w:line="240" w:lineRule="auto"/>
            </w:pPr>
            <w:r>
              <w:rPr>
                <w:rFonts w:ascii="Segoe UI" w:hAnsi="Segoe UI" w:cs="Segoe UI" w:eastAsia="Segoe UI"/>
                <w:sz w:val="16"/>
                <w:szCs w:val="16"/>
              </w:rPr>
              <w:t xml:space="preserve">143</w:t>
            </w:r>
          </w:p>
        </w:tc>
      </w:tr>
      <w:tr>
        <w:trPr>
          <w:cantSplit/>
        </w:trPr>
        <w:tc>
          <w:tcPr>
            <w:tcW w:w="1150" w:type="dxa"/>
          </w:tcPr>
          <w:p>
            <w:pPr>
              <w:spacing w:before="40" w:after="40" w:line="240" w:lineRule="auto"/>
            </w:pPr>
            <w:r>
              <w:rPr>
                <w:rFonts w:ascii="Segoe UI" w:hAnsi="Segoe UI" w:cs="Segoe UI" w:eastAsia="Segoe UI"/>
                <w:sz w:val="16"/>
                <w:szCs w:val="16"/>
              </w:rPr>
              <w:t xml:space="preserve">Platform</w:t>
            </w:r>
          </w:p>
        </w:tc>
        <w:tc>
          <w:tcPr>
            <w:tcW w:w="3137" w:type="dxa"/>
          </w:tcPr>
          <w:p>
            <w:pPr>
              <w:spacing w:before="40" w:after="40" w:line="240" w:lineRule="auto"/>
            </w:pPr>
            <w:r>
              <w:rPr>
                <w:rFonts w:ascii="Segoe UI" w:hAnsi="Segoe UI" w:cs="Segoe UI" w:eastAsia="Segoe UI"/>
                <w:sz w:val="16"/>
                <w:szCs w:val="16"/>
              </w:rPr>
              <w:t xml:space="preserve">Supporting functions: users and roles, configuration, audit trail, schedules, organisation masters</w:t>
            </w:r>
          </w:p>
        </w:tc>
        <w:tc>
          <w:tcPr>
            <w:tcW w:w="2516" w:type="dxa"/>
          </w:tcPr>
          <w:p>
            <w:pPr>
              <w:spacing w:before="40" w:after="40" w:line="240" w:lineRule="auto"/>
            </w:pPr>
            <w:r>
              <w:rPr>
                <w:rFonts w:ascii="Segoe UI" w:hAnsi="Segoe UI" w:cs="Segoe UI" w:eastAsia="Segoe UI"/>
                <w:sz w:val="16"/>
                <w:szCs w:val="16"/>
              </w:rPr>
              <w:t xml:space="preserve">Always on</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28</w:t>
            </w:r>
          </w:p>
        </w:tc>
      </w:tr>
      <w:tr>
        <w:trPr>
          <w:cantSplit/>
        </w:trPr>
        <w:tc>
          <w:tcPr>
            <w:tcW w:w="1150" w:type="dxa"/>
          </w:tcPr>
          <w:p>
            <w:pPr>
              <w:spacing w:before="40" w:after="40" w:line="240" w:lineRule="auto"/>
            </w:pPr>
            <w:r>
              <w:rPr>
                <w:rFonts w:ascii="Segoe UI" w:hAnsi="Segoe UI" w:cs="Segoe UI" w:eastAsia="Segoe UI"/>
                <w:sz w:val="16"/>
                <w:szCs w:val="16"/>
              </w:rPr>
              <w:t xml:space="preserve">Phase 2</w:t>
            </w:r>
          </w:p>
        </w:tc>
        <w:tc>
          <w:tcPr>
            <w:tcW w:w="3137" w:type="dxa"/>
          </w:tcPr>
          <w:p>
            <w:pPr>
              <w:spacing w:before="40" w:after="40" w:line="240" w:lineRule="auto"/>
            </w:pPr>
            <w:r>
              <w:rPr>
                <w:rFonts w:ascii="Segoe UI" w:hAnsi="Segoe UI" w:cs="Segoe UI" w:eastAsia="Segoe UI"/>
                <w:sz w:val="16"/>
                <w:szCs w:val="16"/>
              </w:rPr>
              <w:t xml:space="preserve">Built; Phase 2 of the BRD</w:t>
            </w:r>
          </w:p>
        </w:tc>
        <w:tc>
          <w:tcPr>
            <w:tcW w:w="2516" w:type="dxa"/>
          </w:tcPr>
          <w:p>
            <w:pPr>
              <w:spacing w:before="40" w:after="40" w:line="240" w:lineRule="auto"/>
            </w:pPr>
            <w:r>
              <w:rPr>
                <w:rFonts w:ascii="Segoe UI" w:hAnsi="Segoe UI" w:cs="Segoe UI" w:eastAsia="Segoe UI"/>
                <w:sz w:val="16"/>
                <w:szCs w:val="16"/>
              </w:rPr>
              <w:t xml:space="preserve">Off until enabled by iorta TechNXT ("Enable Phase 2")</w:t>
            </w:r>
          </w:p>
        </w:tc>
        <w:tc>
          <w:tcPr>
            <w:tcW w:w="1156" w:type="dxa"/>
          </w:tcPr>
          <w:p>
            <w:pPr>
              <w:spacing w:before="40" w:after="40" w:line="240" w:lineRule="auto"/>
            </w:pPr>
            <w:r>
              <w:rPr>
                <w:rFonts w:ascii="Segoe UI" w:hAnsi="Segoe UI" w:cs="Segoe UI" w:eastAsia="Segoe UI"/>
                <w:sz w:val="16"/>
                <w:szCs w:val="16"/>
              </w:rPr>
              <w:t xml:space="preserve">9</w:t>
            </w:r>
          </w:p>
        </w:tc>
        <w:tc>
          <w:tcPr>
            <w:tcW w:w="1068" w:type="dxa"/>
          </w:tcPr>
          <w:p>
            <w:pPr>
              <w:spacing w:before="40" w:after="40" w:line="240" w:lineRule="auto"/>
            </w:pPr>
            <w:r>
              <w:rPr>
                <w:rFonts w:ascii="Segoe UI" w:hAnsi="Segoe UI" w:cs="Segoe UI" w:eastAsia="Segoe UI"/>
                <w:sz w:val="16"/>
                <w:szCs w:val="16"/>
              </w:rPr>
              <w:t xml:space="preserve">10</w:t>
            </w:r>
          </w:p>
        </w:tc>
      </w:tr>
      <w:tr>
        <w:trPr>
          <w:cantSplit/>
        </w:trPr>
        <w:tc>
          <w:tcPr>
            <w:tcW w:w="1150" w:type="dxa"/>
          </w:tcPr>
          <w:p>
            <w:pPr>
              <w:spacing w:before="40" w:after="40" w:line="240" w:lineRule="auto"/>
            </w:pPr>
            <w:r>
              <w:rPr>
                <w:rFonts w:ascii="Segoe UI" w:hAnsi="Segoe UI" w:cs="Segoe UI" w:eastAsia="Segoe UI"/>
                <w:sz w:val="16"/>
                <w:szCs w:val="16"/>
              </w:rPr>
              <w:t xml:space="preserve">Future release</w:t>
            </w:r>
          </w:p>
        </w:tc>
        <w:tc>
          <w:tcPr>
            <w:tcW w:w="3137" w:type="dxa"/>
          </w:tcPr>
          <w:p>
            <w:pPr>
              <w:spacing w:before="40" w:after="40" w:line="240" w:lineRule="auto"/>
            </w:pPr>
            <w:r>
              <w:rPr>
                <w:rFonts w:ascii="Segoe UI" w:hAnsi="Segoe UI" w:cs="Segoe UI" w:eastAsia="Segoe UI"/>
                <w:sz w:val="16"/>
                <w:szCs w:val="16"/>
              </w:rPr>
              <w:t xml:space="preserve">In the platform, not in the BRD or FRS</w:t>
            </w:r>
          </w:p>
        </w:tc>
        <w:tc>
          <w:tcPr>
            <w:tcW w:w="2516" w:type="dxa"/>
          </w:tcPr>
          <w:p>
            <w:pPr>
              <w:spacing w:before="40" w:after="40" w:line="240" w:lineRule="auto"/>
            </w:pPr>
            <w:r>
              <w:rPr>
                <w:rFonts w:ascii="Segoe UI" w:hAnsi="Segoe UI" w:cs="Segoe UI" w:eastAsia="Segoe UI"/>
                <w:sz w:val="16"/>
                <w:szCs w:val="16"/>
              </w:rPr>
              <w:t xml:space="preserve">Off until enabled for a later release</w:t>
            </w:r>
          </w:p>
        </w:tc>
        <w:tc>
          <w:tcPr>
            <w:tcW w:w="1156" w:type="dxa"/>
          </w:tcPr>
          <w:p>
            <w:pPr>
              <w:spacing w:before="40" w:after="40" w:line="240" w:lineRule="auto"/>
            </w:pPr>
            <w:r>
              <w:rPr>
                <w:rFonts w:ascii="Segoe UI" w:hAnsi="Segoe UI" w:cs="Segoe UI" w:eastAsia="Segoe UI"/>
                <w:sz w:val="16"/>
                <w:szCs w:val="16"/>
              </w:rPr>
              <w:t xml:space="preserve">32</w:t>
            </w:r>
          </w:p>
        </w:tc>
        <w:tc>
          <w:tcPr>
            <w:tcW w:w="1068" w:type="dxa"/>
          </w:tcPr>
          <w:p>
            <w:pPr>
              <w:spacing w:before="40" w:after="40" w:line="240" w:lineRule="auto"/>
            </w:pPr>
            <w:r>
              <w:rPr>
                <w:rFonts w:ascii="Segoe UI" w:hAnsi="Segoe UI" w:cs="Segoe UI" w:eastAsia="Segoe UI"/>
                <w:sz w:val="16"/>
                <w:szCs w:val="16"/>
              </w:rPr>
              <w:t xml:space="preserve">34</w:t>
            </w:r>
          </w:p>
        </w:tc>
      </w:tr>
      <w:tr>
        <w:trPr>
          <w:cantSplit/>
        </w:trPr>
        <w:tc>
          <w:tcPr>
            <w:tcW w:w="1150" w:type="dxa"/>
          </w:tcPr>
          <w:p>
            <w:pPr>
              <w:spacing w:before="40" w:after="40" w:line="240" w:lineRule="auto"/>
            </w:pPr>
            <w:r>
              <w:rPr>
                <w:rFonts w:ascii="Segoe UI" w:hAnsi="Segoe UI" w:cs="Segoe UI" w:eastAsia="Segoe UI"/>
                <w:sz w:val="16"/>
                <w:szCs w:val="16"/>
              </w:rPr>
              <w:t xml:space="preserve">Total</w:t>
            </w:r>
          </w:p>
        </w:tc>
        <w:tc>
          <w:tcPr>
            <w:tcW w:w="3137" w:type="dxa"/>
          </w:tcPr>
          <w:p>
            <w:pPr>
              <w:spacing w:before="40" w:after="40" w:line="240" w:lineRule="auto"/>
            </w:pPr>
          </w:p>
        </w:tc>
        <w:tc>
          <w:tcPr>
            <w:tcW w:w="2516" w:type="dxa"/>
          </w:tcPr>
          <w:p>
            <w:pPr>
              <w:spacing w:before="40" w:after="40" w:line="240" w:lineRule="auto"/>
            </w:pPr>
          </w:p>
        </w:tc>
        <w:tc>
          <w:tcPr>
            <w:tcW w:w="1156" w:type="dxa"/>
          </w:tcPr>
          <w:p>
            <w:pPr>
              <w:spacing w:before="40" w:after="40" w:line="240" w:lineRule="auto"/>
            </w:pPr>
            <w:r>
              <w:rPr>
                <w:rFonts w:ascii="Segoe UI" w:hAnsi="Segoe UI" w:cs="Segoe UI" w:eastAsia="Segoe UI"/>
                <w:sz w:val="16"/>
                <w:szCs w:val="16"/>
              </w:rPr>
              <w:t xml:space="preserve">80</w:t>
            </w:r>
          </w:p>
        </w:tc>
        <w:tc>
          <w:tcPr>
            <w:tcW w:w="1068" w:type="dxa"/>
          </w:tcPr>
          <w:p>
            <w:pPr>
              <w:spacing w:before="40" w:after="40" w:line="240" w:lineRule="auto"/>
            </w:pPr>
            <w:r>
              <w:rPr>
                <w:rFonts w:ascii="Segoe UI" w:hAnsi="Segoe UI" w:cs="Segoe UI" w:eastAsia="Segoe UI"/>
                <w:sz w:val="16"/>
                <w:szCs w:val="16"/>
              </w:rPr>
              <w:t xml:space="preserve">215</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5" w:name="_Toc300001005"/>
      <w:r>
        <w:rPr>
          <w:rFonts w:ascii="Segoe UI" w:hAnsi="Segoe UI" w:cs="Segoe UI" w:eastAsia="Segoe UI"/>
        </w:rPr>
        <w:t xml:space="preserve">How a Function Is Enabled</w:t>
      </w:r>
      <w:bookmarkEnd w:id="1005"/>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platform administrator of iorta TechNXT selects the functions, or the whole Phase 2 bundle, on Master &gt; Platform &gt; Features &amp; Releases.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system shows the impact before the request: the functions with their dependencies, the menus that appear, the roles that gain access, the scheduled jobs, the connectors and the settings to configure. A disable shows the functions that stay read-only because they hold records.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request carries a reason, the contract or change request reference and the effective date (immediately on approval or on a date).</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A second platform administrator approves or rejects it; the requester never approves.</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On approval the function is enabled in that environment only. The audit trail records each change; TIS IT AppSupport / Admin and the General Manager receive an e-mail and a notification.</w:t>
      </w:r>
    </w:p>
    <w:p xmlns:a="http://schemas.openxmlformats.org/drawingml/2006/main" xmlns:pic="http://schemas.openxmlformats.org/drawingml/2006/picture">
      <w:pPr>
        <w:numPr>
          <w:ilvl w:val="0"/>
          <w:numId w:val="15"/>
        </w:numPr>
        <w:spacing w:after="60"/>
        <w:jc w:val="left"/>
      </w:pPr>
      <w:r>
        <w:rPr>
          <w:rFonts w:ascii="Segoe UI" w:hAnsi="Segoe UI" w:cs="Segoe UI" w:eastAsia="Segoe UI"/>
        </w:rPr>
        <w:t xml:space="preserve">The entitlements of an environment are exported and promoted to the next one (UAT to Production) as a new request, approved again.</w:t>
      </w:r>
    </w:p>
    <w:p xmlns:a="http://schemas.openxmlformats.org/drawingml/2006/main" xmlns:pic="http://schemas.openxmlformats.org/drawingml/2006/picture">
      <w:pPr>
        <w:spacing w:before="0" w:after="0" w:line="120" w:lineRule="exact"/>
      </w:pPr>
    </w:p>
    <w:p xmlns:a="http://schemas.openxmlformats.org/drawingml/2006/main" xmlns:pic="http://schemas.openxmlformats.org/drawingml/2006/picture">
      <w:pPr>
        <w:jc w:val="both"/>
      </w:pPr>
      <w:r>
        <w:rPr>
          <w:rFonts w:ascii="Segoe UI" w:hAnsi="Segoe UI" w:cs="Segoe UI" w:eastAsia="Segoe UI"/>
        </w:rPr>
        <w:t xml:space="preserve">Controls: a function that is not enabled is absent from the menus; its screens show "Not available in this edition"; its API answers "not enabled"; its jobs do not run; its connectors cannot be switched on; its settings cannot be changed; its manual sections are left out of the user manual. The entitlements are signed: an entitlement changed outside an approved request counts as not enabled and raises an alert. A function disabled while it holds records stays read-only: its records can be viewed and exported.</w:t>
      </w:r>
    </w:p>
    <w:p xmlns:a="http://schemas.openxmlformats.org/drawingml/2006/main" xmlns:pic="http://schemas.openxmlformats.org/drawingml/2006/picture">
      <w:pPr>
        <w:pStyle w:val="Heading1"/>
        <w:numPr>
          <w:ilvl w:val="0"/>
          <w:numId w:val="14"/>
        </w:numPr>
      </w:pPr>
      <w:bookmarkStart w:id="1006" w:name="_Toc300001006"/>
      <w:r>
        <w:rPr>
          <w:rFonts w:ascii="Segoe UI" w:hAnsi="Segoe UI" w:cs="Segoe UI" w:eastAsia="Segoe UI"/>
        </w:rPr>
        <w:t xml:space="preserve">Phase 1 Functions</w:t>
      </w:r>
      <w:bookmarkEnd w:id="1006"/>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18"/>
        <w:gridCol w:w="1336"/>
        <w:gridCol w:w="1617"/>
        <w:gridCol w:w="2243"/>
        <w:gridCol w:w="1156"/>
        <w:gridCol w:w="1157"/>
      </w:tblGrid>
      <w:tr>
        <w:trPr>
          <w:cantSplit/>
          <w:tblHeader/>
          <w:trHeight w:val="400"/>
        </w:trPr>
        <w:tc>
          <w:tcPr>
            <w:tcW w:w="151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3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617"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243"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15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7"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18" w:type="dxa"/>
          </w:tcPr>
          <w:p>
            <w:pPr>
              <w:spacing w:before="40" w:after="40" w:line="240" w:lineRule="auto"/>
            </w:pPr>
            <w:r>
              <w:rPr>
                <w:rFonts w:ascii="Segoe UI" w:hAnsi="Segoe UI" w:cs="Segoe UI" w:eastAsia="Segoe UI"/>
                <w:sz w:val="16"/>
                <w:szCs w:val="16"/>
              </w:rPr>
              <w:t xml:space="preserve">Executive, processing and claims dashboards</w:t>
            </w:r>
          </w:p>
        </w:tc>
        <w:tc>
          <w:tcPr>
            <w:tcW w:w="1336" w:type="dxa"/>
          </w:tcPr>
          <w:p>
            <w:pPr>
              <w:spacing w:before="40" w:after="40" w:line="240" w:lineRule="auto"/>
            </w:pPr>
            <w:r>
              <w:rPr>
                <w:rFonts w:ascii="Segoe UI" w:hAnsi="Segoe UI" w:cs="Segoe UI" w:eastAsia="Segoe UI"/>
                <w:sz w:val="16"/>
                <w:szCs w:val="16"/>
              </w:rPr>
              <w:t xml:space="preserve">Dashboard</w:t>
            </w:r>
          </w:p>
        </w:tc>
        <w:tc>
          <w:tcPr>
            <w:tcW w:w="1617" w:type="dxa"/>
          </w:tcPr>
          <w:p>
            <w:pPr>
              <w:spacing w:before="40" w:after="40" w:line="240" w:lineRule="auto"/>
            </w:pPr>
            <w:r>
              <w:rPr>
                <w:rFonts w:ascii="Segoe UI" w:hAnsi="Segoe UI" w:cs="Segoe UI" w:eastAsia="Segoe UI"/>
                <w:sz w:val="16"/>
                <w:szCs w:val="16"/>
              </w:rPr>
              <w:t xml:space="preserve">Landing dashboards by department: book of business, items awaiting approval, processing and claims work</w:t>
            </w:r>
          </w:p>
        </w:tc>
        <w:tc>
          <w:tcPr>
            <w:tcW w:w="2243" w:type="dxa"/>
          </w:tcPr>
          <w:p>
            <w:pPr>
              <w:spacing w:before="40" w:after="40" w:line="240" w:lineRule="auto"/>
            </w:pPr>
            <w:r>
              <w:rPr>
                <w:rFonts w:ascii="Segoe UI" w:hAnsi="Segoe UI" w:cs="Segoe UI" w:eastAsia="Segoe UI"/>
                <w:sz w:val="16"/>
                <w:szCs w:val="16"/>
              </w:rPr>
              <w:t xml:space="preserve">TIS-BRD-RPT-01, TIS-BRD-RPT-03, TIS-BRD-NFR-10.1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Prospects and lead assignment</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Prospect capture and import, duplicate check, quick quote, assignment rules and reassignment, lead sources</w:t>
            </w:r>
          </w:p>
        </w:tc>
        <w:tc>
          <w:tcPr>
            <w:tcW w:w="2243" w:type="dxa"/>
          </w:tcPr>
          <w:p>
            <w:pPr>
              <w:spacing w:before="40" w:after="40" w:line="240" w:lineRule="auto"/>
            </w:pPr>
            <w:r>
              <w:rPr>
                <w:rFonts w:ascii="Segoe UI" w:hAnsi="Segoe UI" w:cs="Segoe UI" w:eastAsia="Segoe UI"/>
                <w:sz w:val="16"/>
                <w:szCs w:val="16"/>
              </w:rPr>
              <w:t xml:space="preserve">TIS-BRD-LEAD-01, TIS-BRD-LEAD-02, TIS-BRD-LEAD-03, TIS-BRD-LEAD-04, TIS-BRD-LEAD-05, TIS-BRD-LEAD-06, TIS-BRD-LEAD-07, TIS-BRD-LEAD-08, TIS-BRD-LEAD-09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Sales activities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Calls, meetings, e-mails and visits against prospects and clients, with their types and outcomes</w:t>
            </w:r>
          </w:p>
        </w:tc>
        <w:tc>
          <w:tcPr>
            <w:tcW w:w="2243" w:type="dxa"/>
          </w:tcPr>
          <w:p>
            <w:pPr>
              <w:spacing w:before="40" w:after="40" w:line="240" w:lineRule="auto"/>
            </w:pPr>
            <w:r>
              <w:rPr>
                <w:rFonts w:ascii="Segoe UI" w:hAnsi="Segoe UI" w:cs="Segoe UI" w:eastAsia="Segoe UI"/>
                <w:sz w:val="16"/>
                <w:szCs w:val="16"/>
              </w:rPr>
              <w:t xml:space="preserve">TIS-BRD-LEAD-10</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Quotations and placement</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Motor, personal accident and credit life quotations with maker-checker, requests for quotation and placement slips to the insurer</w:t>
            </w:r>
          </w:p>
        </w:tc>
        <w:tc>
          <w:tcPr>
            <w:tcW w:w="2243" w:type="dxa"/>
          </w:tcPr>
          <w:p>
            <w:pPr>
              <w:spacing w:before="40" w:after="40" w:line="240" w:lineRule="auto"/>
            </w:pPr>
            <w:r>
              <w:rPr>
                <w:rFonts w:ascii="Segoe UI" w:hAnsi="Segoe UI" w:cs="Segoe UI" w:eastAsia="Segoe UI"/>
                <w:sz w:val="16"/>
                <w:szCs w:val="16"/>
              </w:rPr>
              <w:t xml:space="preserve">TIS-BRD-QUOT-01, TIS-BRD-QUOT-02, TIS-BRD-QUOT-03, TIS-BRD-QUOT-04, TIS-BRD-QUOT-05, TIS-BRD-QUOT-06, TIS-BRD-QUOT-08, TIS-BRD-PJRN-05, TIS-BRD-ISSUE-01, TIS-BRD-ISSUE-02, MOM-S2-PLACEMENT-DIRECT</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Dealer programmes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Scheme 1 and 2 programmes of brand-new vehicles, dealer sales uploads and bank endorsement letters</w:t>
            </w:r>
          </w:p>
        </w:tc>
        <w:tc>
          <w:tcPr>
            <w:tcW w:w="2243" w:type="dxa"/>
          </w:tcPr>
          <w:p>
            <w:pPr>
              <w:spacing w:before="40" w:after="40" w:line="240" w:lineRule="auto"/>
            </w:pPr>
            <w:r>
              <w:rPr>
                <w:rFonts w:ascii="Segoe UI" w:hAnsi="Segoe UI" w:cs="Segoe UI" w:eastAsia="Segoe UI"/>
                <w:sz w:val="16"/>
                <w:szCs w:val="16"/>
              </w:rPr>
              <w:t xml:space="preserve">TIS-BRD-SCHM-01, TIS-BRD-SCHM-02, TIS-BRD-SCHM-03, TIS-BRD-MAS-05, TIS-BRD-PROD-15</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Promotions and discount caps</w:t>
            </w:r>
          </w:p>
        </w:tc>
        <w:tc>
          <w:tcPr>
            <w:tcW w:w="1336" w:type="dxa"/>
          </w:tcPr>
          <w:p>
            <w:pPr>
              <w:spacing w:before="40" w:after="40" w:line="240" w:lineRule="auto"/>
            </w:pPr>
            <w:r>
              <w:rPr>
                <w:rFonts w:ascii="Segoe UI" w:hAnsi="Segoe UI" w:cs="Segoe UI" w:eastAsia="Segoe UI"/>
                <w:sz w:val="16"/>
                <w:szCs w:val="16"/>
              </w:rPr>
              <w:t xml:space="preserve">Sales &amp; Marketing</w:t>
            </w:r>
          </w:p>
        </w:tc>
        <w:tc>
          <w:tcPr>
            <w:tcW w:w="1617" w:type="dxa"/>
          </w:tcPr>
          <w:p>
            <w:pPr>
              <w:spacing w:before="40" w:after="40" w:line="240" w:lineRule="auto"/>
            </w:pPr>
            <w:r>
              <w:rPr>
                <w:rFonts w:ascii="Segoe UI" w:hAnsi="Segoe UI" w:cs="Segoe UI" w:eastAsia="Segoe UI"/>
                <w:sz w:val="16"/>
                <w:szCs w:val="16"/>
              </w:rPr>
              <w:t xml:space="preserve">Promotional rates on brand-new vehicles with approval, unit quotas and lock-in years, and the discount caps per product and channel type</w:t>
            </w:r>
          </w:p>
        </w:tc>
        <w:tc>
          <w:tcPr>
            <w:tcW w:w="2243" w:type="dxa"/>
          </w:tcPr>
          <w:p>
            <w:pPr>
              <w:spacing w:before="40" w:after="40" w:line="240" w:lineRule="auto"/>
            </w:pPr>
            <w:r>
              <w:rPr>
                <w:rFonts w:ascii="Segoe UI" w:hAnsi="Segoe UI" w:cs="Segoe UI" w:eastAsia="Segoe UI"/>
                <w:sz w:val="16"/>
                <w:szCs w:val="16"/>
              </w:rPr>
              <w:t xml:space="preserve">TIS-BRD-PROD-15</w:t>
            </w:r>
          </w:p>
        </w:tc>
        <w:tc>
          <w:tcPr>
            <w:tcW w:w="1156" w:type="dxa"/>
          </w:tcPr>
          <w:p>
            <w:pPr>
              <w:spacing w:before="40" w:after="40" w:line="240" w:lineRule="auto"/>
            </w:pPr>
            <w:r>
              <w:rPr>
                <w:rFonts w:ascii="Segoe UI" w:hAnsi="Segoe UI" w:cs="Segoe UI" w:eastAsia="Segoe UI"/>
                <w:sz w:val="16"/>
                <w:szCs w:val="16"/>
              </w:rPr>
              <w:t xml:space="preserve">Quotations and placement</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Clients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Single client master with KYC documents and the 360 view of proposals, policies, receipts and claims</w:t>
            </w:r>
          </w:p>
        </w:tc>
        <w:tc>
          <w:tcPr>
            <w:tcW w:w="2243" w:type="dxa"/>
          </w:tcPr>
          <w:p>
            <w:pPr>
              <w:spacing w:before="40" w:after="40" w:line="240" w:lineRule="auto"/>
            </w:pPr>
            <w:r>
              <w:rPr>
                <w:rFonts w:ascii="Segoe UI" w:hAnsi="Segoe UI" w:cs="Segoe UI" w:eastAsia="Segoe UI"/>
                <w:sz w:val="16"/>
                <w:szCs w:val="16"/>
              </w:rPr>
              <w:t xml:space="preserve">TIS-BRD-KYC-01, TIS-BRD-KYC-02, TIS-BRD-KYC-04, TIS-BRD-KYC-05, TIS-BRD-NFR-10.2</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Policies, cover notes and cancellations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Policy register and lifecycle, policy payments, cover notes, endorsements and cancellations with return premium</w:t>
            </w:r>
          </w:p>
        </w:tc>
        <w:tc>
          <w:tcPr>
            <w:tcW w:w="2243" w:type="dxa"/>
          </w:tcPr>
          <w:p>
            <w:pPr>
              <w:spacing w:before="40" w:after="40" w:line="240" w:lineRule="auto"/>
            </w:pPr>
            <w:r>
              <w:rPr>
                <w:rFonts w:ascii="Segoe UI" w:hAnsi="Segoe UI" w:cs="Segoe UI" w:eastAsia="Segoe UI"/>
                <w:sz w:val="16"/>
                <w:szCs w:val="16"/>
              </w:rPr>
              <w:t xml:space="preserve">TIS-BRD-ISSUE-03, TIS-BRD-ISSUE-04, TIS-BRD-KYC-03, TIS-BRD-ENDT-01, TIS-BRD-ENDT-02, TIS-BRD-ENDT-03, TIS-BRD-CANC-01, TIS-BRD-CANC-02, TIS-BRD-CANC-03, TIS-BRD-BULK-02</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Fleet schedules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Fleet schedules of vehicles under one policy, with vehicles added or deleted by endorsement</w:t>
            </w:r>
          </w:p>
        </w:tc>
        <w:tc>
          <w:tcPr>
            <w:tcW w:w="2243" w:type="dxa"/>
          </w:tcPr>
          <w:p>
            <w:pPr>
              <w:spacing w:before="40" w:after="40" w:line="240" w:lineRule="auto"/>
            </w:pPr>
            <w:r>
              <w:rPr>
                <w:rFonts w:ascii="Segoe UI" w:hAnsi="Segoe UI" w:cs="Segoe UI" w:eastAsia="Segoe UI"/>
                <w:sz w:val="16"/>
                <w:szCs w:val="16"/>
              </w:rPr>
              <w:t xml:space="preserve">TIS-BRD-ENDT-04, MOM-S9-GROUP-ENDT</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Parcel and courier open covers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Open policy for parcel and courier shipments with certificates per customer and monthly declarations</w:t>
            </w:r>
          </w:p>
        </w:tc>
        <w:tc>
          <w:tcPr>
            <w:tcW w:w="2243" w:type="dxa"/>
          </w:tcPr>
          <w:p>
            <w:pPr>
              <w:spacing w:before="40" w:after="40" w:line="240" w:lineRule="auto"/>
            </w:pPr>
            <w:r>
              <w:rPr>
                <w:rFonts w:ascii="Segoe UI" w:hAnsi="Segoe UI" w:cs="Segoe UI" w:eastAsia="Segoe UI"/>
                <w:sz w:val="16"/>
                <w:szCs w:val="16"/>
              </w:rPr>
              <w:t xml:space="preserve">TIS-BRD-PJRN-09, FR-PCL-001</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Claims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Motor and credit life claims from notification to settlement, document checklist, repairs and repair shops</w:t>
            </w:r>
          </w:p>
        </w:tc>
        <w:tc>
          <w:tcPr>
            <w:tcW w:w="2243" w:type="dxa"/>
          </w:tcPr>
          <w:p>
            <w:pPr>
              <w:spacing w:before="40" w:after="40" w:line="240" w:lineRule="auto"/>
            </w:pPr>
            <w:r>
              <w:rPr>
                <w:rFonts w:ascii="Segoe UI" w:hAnsi="Segoe UI" w:cs="Segoe UI" w:eastAsia="Segoe UI"/>
                <w:sz w:val="16"/>
                <w:szCs w:val="16"/>
              </w:rPr>
              <w:t xml:space="preserve">TIS-BRD-CLAIM-01, TIS-BRD-CLAIM-02, TIS-BRD-CLAIM-03, TIS-BRD-CLAIM-04, TIS-BRD-CLAIM-05, TIS-BRD-CLAIM-06, TIS-BRD-CLAIM-07, TIS-BRD-CLAIM-08, TIS-BRD-PJRN-08</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Renewals</w:t>
            </w:r>
          </w:p>
        </w:tc>
        <w:tc>
          <w:tcPr>
            <w:tcW w:w="1336" w:type="dxa"/>
          </w:tcPr>
          <w:p>
            <w:pPr>
              <w:spacing w:before="40" w:after="40" w:line="240" w:lineRule="auto"/>
            </w:pPr>
            <w:r>
              <w:rPr>
                <w:rFonts w:ascii="Segoe UI" w:hAnsi="Segoe UI" w:cs="Segoe UI" w:eastAsia="Segoe UI"/>
                <w:sz w:val="16"/>
                <w:szCs w:val="16"/>
              </w:rPr>
              <w:t xml:space="preserve">Operations</w:t>
            </w:r>
          </w:p>
        </w:tc>
        <w:tc>
          <w:tcPr>
            <w:tcW w:w="1617" w:type="dxa"/>
          </w:tcPr>
          <w:p>
            <w:pPr>
              <w:spacing w:before="40" w:after="40" w:line="240" w:lineRule="auto"/>
            </w:pPr>
            <w:r>
              <w:rPr>
                <w:rFonts w:ascii="Segoe UI" w:hAnsi="Segoe UI" w:cs="Segoe UI" w:eastAsia="Segoe UI"/>
                <w:sz w:val="16"/>
                <w:szCs w:val="16"/>
              </w:rPr>
              <w:t xml:space="preserve">Renewal run, notices at 90, 60 and 30 days, renewal queue, negotiations, lapse management and lock-in accounts</w:t>
            </w:r>
          </w:p>
        </w:tc>
        <w:tc>
          <w:tcPr>
            <w:tcW w:w="2243" w:type="dxa"/>
          </w:tcPr>
          <w:p>
            <w:pPr>
              <w:spacing w:before="40" w:after="40" w:line="240" w:lineRule="auto"/>
            </w:pPr>
            <w:r>
              <w:rPr>
                <w:rFonts w:ascii="Segoe UI" w:hAnsi="Segoe UI" w:cs="Segoe UI" w:eastAsia="Segoe UI"/>
                <w:sz w:val="16"/>
                <w:szCs w:val="16"/>
              </w:rPr>
              <w:t xml:space="preserve">TIS-BRD-RENEW-01, TIS-BRD-RENEW-02, TIS-BRD-RENEW-03, TIS-BRD-RENEW-05, TIS-BRD-SCHM-03, PBSM-M24-LAP, PBSM-M15-REN-DUE</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Receipts and post-dated cheques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Official and acknowledgement receipts, allocation and matching, post-dated cheques and their deposit</w:t>
            </w:r>
          </w:p>
        </w:tc>
        <w:tc>
          <w:tcPr>
            <w:tcW w:w="2243" w:type="dxa"/>
          </w:tcPr>
          <w:p>
            <w:pPr>
              <w:spacing w:before="40" w:after="40" w:line="240" w:lineRule="auto"/>
            </w:pPr>
            <w:r>
              <w:rPr>
                <w:rFonts w:ascii="Segoe UI" w:hAnsi="Segoe UI" w:cs="Segoe UI" w:eastAsia="Segoe UI"/>
                <w:sz w:val="16"/>
                <w:szCs w:val="16"/>
              </w:rPr>
              <w:t xml:space="preserve">TIS-BRD-COLL-01, TIS-BRD-COLL-03, TIS-BRD-COLL-04, TIS-BRD-COLL-05, TIS-BRD-COLL-06, TIS-BRD-COLL-07, TIS-BRD-COLL-08, PBSM-M17v4-RECEIPTING, PBSM-M17v4-PDC, TIS-BRD-RPT-CCD-01, TIS-BRD-RPT-CCD-02, TIS-BRD-RPT-CCD-03, TIS-BRD-RPT-CCD-04, TIS-BRD-RPT-CCD-05, TIS-BRD-RPT-CCD-06, TIS-BRD-RPT-CCD-07, FR-PDC-001, FGA-BR-02, MOM-S3-COLL-RV-SPLIT, PBSM-M15-COL-SLA</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Collections and credit control</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Collections, instalment plans, premium warranty monitor and remittance ageing</w:t>
            </w:r>
          </w:p>
        </w:tc>
        <w:tc>
          <w:tcPr>
            <w:tcW w:w="2243" w:type="dxa"/>
          </w:tcPr>
          <w:p>
            <w:pPr>
              <w:spacing w:before="40" w:after="40" w:line="240" w:lineRule="auto"/>
            </w:pPr>
            <w:r>
              <w:rPr>
                <w:rFonts w:ascii="Segoe UI" w:hAnsi="Segoe UI" w:cs="Segoe UI" w:eastAsia="Segoe UI"/>
                <w:sz w:val="16"/>
                <w:szCs w:val="16"/>
              </w:rPr>
              <w:t xml:space="preserve">TIS-BRD-PROD-17, TIS-BRD-RPT-OPS-10, TIS-BRD-RPT-OPS-11, TIS-BRD-COMM-04, MOM-S3-COLL-CREDIT-TERMS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Suppliers and supplier BIR 2307</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Vendor and payee register for non-insurer payments, and the BIR Form 2307 issued to suppliers</w:t>
            </w:r>
          </w:p>
        </w:tc>
        <w:tc>
          <w:tcPr>
            <w:tcW w:w="2243" w:type="dxa"/>
          </w:tcPr>
          <w:p>
            <w:pPr>
              <w:spacing w:before="40" w:after="40" w:line="240" w:lineRule="auto"/>
            </w:pPr>
            <w:r>
              <w:rPr>
                <w:rFonts w:ascii="Segoe UI" w:hAnsi="Segoe UI" w:cs="Segoe UI" w:eastAsia="Segoe UI"/>
                <w:sz w:val="16"/>
                <w:szCs w:val="16"/>
              </w:rPr>
              <w:t xml:space="preserve">TIS-BRD-MAS-06, FGA-EN-01, TIS-BRD-TAX-03</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Disbursements and bank payment files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Payment vouchers and cheques, refund fund transfers and Metrobank payment files with maker-checker</w:t>
            </w:r>
          </w:p>
        </w:tc>
        <w:tc>
          <w:tcPr>
            <w:tcW w:w="2243" w:type="dxa"/>
          </w:tcPr>
          <w:p>
            <w:pPr>
              <w:spacing w:before="40" w:after="40" w:line="240" w:lineRule="auto"/>
            </w:pPr>
            <w:r>
              <w:rPr>
                <w:rFonts w:ascii="Segoe UI" w:hAnsi="Segoe UI" w:cs="Segoe UI" w:eastAsia="Segoe UI"/>
                <w:sz w:val="16"/>
                <w:szCs w:val="16"/>
              </w:rPr>
              <w:t xml:space="preserve">TIS-BRD-DISB-01, TIS-BRD-DISB-02, TIS-BRD-DISB-03, PBSM-M17v4-DISB, MOM-S5-DISB-MAKER-CHECKER</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Bank file interface</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Connector and outbox of the bank payment files</w:t>
            </w:r>
          </w:p>
        </w:tc>
        <w:tc>
          <w:tcPr>
            <w:tcW w:w="2243" w:type="dxa"/>
          </w:tcPr>
          <w:p>
            <w:pPr>
              <w:spacing w:before="40" w:after="40" w:line="240" w:lineRule="auto"/>
            </w:pPr>
            <w:r>
              <w:rPr>
                <w:rFonts w:ascii="Segoe UI" w:hAnsi="Segoe UI" w:cs="Segoe UI" w:eastAsia="Segoe UI"/>
                <w:sz w:val="16"/>
                <w:szCs w:val="16"/>
              </w:rPr>
              <w:t xml:space="preserve">TIS-BRD-DISB-03, TIS-BRD-NFR-09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Remittance to insurers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Weekly remittance with approvals, insurer payments, statement reconciliation, exceptions, billing, schedules and settlement</w:t>
            </w:r>
          </w:p>
        </w:tc>
        <w:tc>
          <w:tcPr>
            <w:tcW w:w="2243" w:type="dxa"/>
          </w:tcPr>
          <w:p>
            <w:pPr>
              <w:spacing w:before="40" w:after="40" w:line="240" w:lineRule="auto"/>
            </w:pPr>
            <w:r>
              <w:rPr>
                <w:rFonts w:ascii="Segoe UI" w:hAnsi="Segoe UI" w:cs="Segoe UI" w:eastAsia="Segoe UI"/>
                <w:sz w:val="16"/>
                <w:szCs w:val="16"/>
              </w:rPr>
              <w:t xml:space="preserve">TIS-BRD-COMM-01, TIS-BRD-COMM-03, TIS-BRD-COMM-04, TIS-BRD-RPT-OPS-05, TIS-BRD-RPT-OPS-06, TIS-BRD-RPT-OPS-08, TIS-BRD-RPT-OPS-09, PBSM-M15-REMIT-WEEKLY, FR-RMT-001, FR-RMT-011, FR-RMT-012, FR-RMT-020, PBSM-M15-BILL-RUN</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Journals and general ledger</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Journal vouchers with upload, correction and reversal, open entry matching, accounting queries and the daily SAP GL files</w:t>
            </w:r>
          </w:p>
        </w:tc>
        <w:tc>
          <w:tcPr>
            <w:tcW w:w="2243" w:type="dxa"/>
          </w:tcPr>
          <w:p>
            <w:pPr>
              <w:spacing w:before="40" w:after="40" w:line="240" w:lineRule="auto"/>
            </w:pPr>
            <w:r>
              <w:rPr>
                <w:rFonts w:ascii="Segoe UI" w:hAnsi="Segoe UI" w:cs="Segoe UI" w:eastAsia="Segoe UI"/>
                <w:sz w:val="16"/>
                <w:szCs w:val="16"/>
              </w:rPr>
              <w:t xml:space="preserve">TIS-BRD-NIA-05, TIS-BRD-GL-01, TIS-BRD-GL-02, TIS-BRD-GL-03, TIS-BRD-GL-06, TIS-BRD-INTG-04, FGA-JV-01, MOM-S5-AP-JV-UPLOAD, PBSM-M17v4-JV, PBSM-M17v4-REVERSALS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Bank reconciliation</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Bank statement upload and matching, reconciliations with approval, and the bank reconciliation reports</w:t>
            </w:r>
          </w:p>
        </w:tc>
        <w:tc>
          <w:tcPr>
            <w:tcW w:w="2243" w:type="dxa"/>
          </w:tcPr>
          <w:p>
            <w:pPr>
              <w:spacing w:before="40" w:after="40" w:line="240" w:lineRule="auto"/>
            </w:pPr>
            <w:r>
              <w:rPr>
                <w:rFonts w:ascii="Segoe UI" w:hAnsi="Segoe UI" w:cs="Segoe UI" w:eastAsia="Segoe UI"/>
                <w:sz w:val="16"/>
                <w:szCs w:val="16"/>
              </w:rPr>
              <w:t xml:space="preserve">TIS-BRD-COLL-09, TIS-BRD-RPT-OPS-12, TIS-BRD-RPT-OPS-13, PBSM-M17v4-RECON</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BIR 2307, sales invoices and CAS books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BIR Form 2307 certificates, sales invoices under the EOPT Act and the books and documents of the computerised accounting system</w:t>
            </w:r>
          </w:p>
        </w:tc>
        <w:tc>
          <w:tcPr>
            <w:tcW w:w="2243" w:type="dxa"/>
          </w:tcPr>
          <w:p>
            <w:pPr>
              <w:spacing w:before="40" w:after="40" w:line="240" w:lineRule="auto"/>
            </w:pPr>
            <w:r>
              <w:rPr>
                <w:rFonts w:ascii="Segoe UI" w:hAnsi="Segoe UI" w:cs="Segoe UI" w:eastAsia="Segoe UI"/>
                <w:sz w:val="16"/>
                <w:szCs w:val="16"/>
              </w:rPr>
              <w:t xml:space="preserve">TIS-BRD-TAX-01, TIS-BRD-TAX-02, TIS-BRD-TAX-03, FGA-E3, FGA-IB-06, PBSM-M17v4-INVOICES, MOM-S5-TAX-2307-BATCH</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Period end and financial statements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Period calendar, month-end and year-end close, close checklist and the financial statements</w:t>
            </w:r>
          </w:p>
        </w:tc>
        <w:tc>
          <w:tcPr>
            <w:tcW w:w="2243" w:type="dxa"/>
          </w:tcPr>
          <w:p>
            <w:pPr>
              <w:spacing w:before="40" w:after="40" w:line="240" w:lineRule="auto"/>
            </w:pPr>
            <w:r>
              <w:rPr>
                <w:rFonts w:ascii="Segoe UI" w:hAnsi="Segoe UI" w:cs="Segoe UI" w:eastAsia="Segoe UI"/>
                <w:sz w:val="16"/>
                <w:szCs w:val="16"/>
              </w:rPr>
              <w:t xml:space="preserve">TIS-BRD-GL-04, TIS-BRD-RPT-04, PBSM-M32-PERIODS, PBSM-M32-CONTROLS, MOM-S4-CLOSE-26-29</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Incentives</w:t>
            </w:r>
          </w:p>
        </w:tc>
        <w:tc>
          <w:tcPr>
            <w:tcW w:w="1336" w:type="dxa"/>
          </w:tcPr>
          <w:p>
            <w:pPr>
              <w:spacing w:before="40" w:after="40" w:line="240" w:lineRule="auto"/>
            </w:pPr>
            <w:r>
              <w:rPr>
                <w:rFonts w:ascii="Segoe UI" w:hAnsi="Segoe UI" w:cs="Segoe UI" w:eastAsia="Segoe UI"/>
                <w:sz w:val="16"/>
                <w:szCs w:val="16"/>
              </w:rPr>
              <w:t xml:space="preserve">Accounts</w:t>
            </w:r>
          </w:p>
        </w:tc>
        <w:tc>
          <w:tcPr>
            <w:tcW w:w="1617" w:type="dxa"/>
          </w:tcPr>
          <w:p>
            <w:pPr>
              <w:spacing w:before="40" w:after="40" w:line="240" w:lineRule="auto"/>
            </w:pPr>
            <w:r>
              <w:rPr>
                <w:rFonts w:ascii="Segoe UI" w:hAnsi="Segoe UI" w:cs="Segoe UI" w:eastAsia="Segoe UI"/>
                <w:sz w:val="16"/>
                <w:szCs w:val="16"/>
              </w:rPr>
              <w:t xml:space="preserve">Telesales incentive programmes, calculation with approval, statements and reports</w:t>
            </w:r>
          </w:p>
        </w:tc>
        <w:tc>
          <w:tcPr>
            <w:tcW w:w="2243" w:type="dxa"/>
          </w:tcPr>
          <w:p>
            <w:pPr>
              <w:spacing w:before="40" w:after="40" w:line="240" w:lineRule="auto"/>
            </w:pPr>
            <w:r>
              <w:rPr>
                <w:rFonts w:ascii="Segoe UI" w:hAnsi="Segoe UI" w:cs="Segoe UI" w:eastAsia="Segoe UI"/>
                <w:sz w:val="16"/>
                <w:szCs w:val="16"/>
              </w:rPr>
              <w:t xml:space="preserve">TIS-BRD-COMM-08</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Commission and referrer accounts</w:t>
            </w:r>
          </w:p>
        </w:tc>
        <w:tc>
          <w:tcPr>
            <w:tcW w:w="1336" w:type="dxa"/>
          </w:tcPr>
          <w:p>
            <w:pPr>
              <w:spacing w:before="40" w:after="40" w:line="240" w:lineRule="auto"/>
            </w:pPr>
            <w:r>
              <w:rPr>
                <w:rFonts w:ascii="Segoe UI" w:hAnsi="Segoe UI" w:cs="Segoe UI" w:eastAsia="Segoe UI"/>
                <w:sz w:val="16"/>
                <w:szCs w:val="16"/>
              </w:rPr>
              <w:t xml:space="preserve">Commission</w:t>
            </w:r>
          </w:p>
        </w:tc>
        <w:tc>
          <w:tcPr>
            <w:tcW w:w="1617" w:type="dxa"/>
          </w:tcPr>
          <w:p>
            <w:pPr>
              <w:spacing w:before="40" w:after="40" w:line="240" w:lineRule="auto"/>
            </w:pPr>
            <w:r>
              <w:rPr>
                <w:rFonts w:ascii="Segoe UI" w:hAnsi="Segoe UI" w:cs="Segoe UI" w:eastAsia="Segoe UI"/>
                <w:sz w:val="16"/>
                <w:szCs w:val="16"/>
              </w:rPr>
              <w:t xml:space="preserve">Commission dashboard, the accounts of agents, dealers and referrers with their share, the sharing schemes, the commission basis of a policy and the change requests on commission lines</w:t>
            </w:r>
          </w:p>
        </w:tc>
        <w:tc>
          <w:tcPr>
            <w:tcW w:w="2243" w:type="dxa"/>
          </w:tcPr>
          <w:p>
            <w:pPr>
              <w:spacing w:before="40" w:after="40" w:line="240" w:lineRule="auto"/>
            </w:pPr>
            <w:r>
              <w:rPr>
                <w:rFonts w:ascii="Segoe UI" w:hAnsi="Segoe UI" w:cs="Segoe UI" w:eastAsia="Segoe UI"/>
                <w:sz w:val="16"/>
                <w:szCs w:val="16"/>
              </w:rPr>
              <w:t xml:space="preserve">TIS-BRD-COMM-02, TIS-BRD-COMM-05, TIS-BRD-COMM-06, TIS-BRD-PROD-16, TIS-BRD-RPT-OPS-07, FR-CMR-010, FR-CMR-015, FR-CMR-022, FR-RMT-001, FR-RMT-003, FR-RMT-005, FR-RMT-030</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Operational and financial reports</w:t>
            </w:r>
          </w:p>
        </w:tc>
        <w:tc>
          <w:tcPr>
            <w:tcW w:w="1336" w:type="dxa"/>
          </w:tcPr>
          <w:p>
            <w:pPr>
              <w:spacing w:before="40" w:after="40" w:line="240" w:lineRule="auto"/>
            </w:pPr>
            <w:r>
              <w:rPr>
                <w:rFonts w:ascii="Segoe UI" w:hAnsi="Segoe UI" w:cs="Segoe UI" w:eastAsia="Segoe UI"/>
                <w:sz w:val="16"/>
                <w:szCs w:val="16"/>
              </w:rPr>
              <w:t xml:space="preserve">Reports</w:t>
            </w:r>
          </w:p>
        </w:tc>
        <w:tc>
          <w:tcPr>
            <w:tcW w:w="1617" w:type="dxa"/>
          </w:tcPr>
          <w:p>
            <w:pPr>
              <w:spacing w:before="40" w:after="40" w:line="240" w:lineRule="auto"/>
            </w:pPr>
            <w:r>
              <w:rPr>
                <w:rFonts w:ascii="Segoe UI" w:hAnsi="Segoe UI" w:cs="Segoe UI" w:eastAsia="Segoe UI"/>
                <w:sz w:val="16"/>
                <w:szCs w:val="16"/>
              </w:rPr>
              <w:t xml:space="preserve">Report catalogue, production, claims, renewal, remittance and commission reports, receivables, ledger and financial statement reports</w:t>
            </w:r>
          </w:p>
        </w:tc>
        <w:tc>
          <w:tcPr>
            <w:tcW w:w="2243" w:type="dxa"/>
          </w:tcPr>
          <w:p>
            <w:pPr>
              <w:spacing w:before="40" w:after="40" w:line="240" w:lineRule="auto"/>
            </w:pPr>
            <w:r>
              <w:rPr>
                <w:rFonts w:ascii="Segoe UI" w:hAnsi="Segoe UI" w:cs="Segoe UI" w:eastAsia="Segoe UI"/>
                <w:sz w:val="16"/>
                <w:szCs w:val="16"/>
              </w:rPr>
              <w:t xml:space="preserve">TIS-BRD-RPT-SLS-01, TIS-BRD-RPT-SLS-02, TIS-BRD-RPT-OPS-02, TIS-BRD-RPT-OPS-03, TIS-BRD-RPT-OPS-04, TIS-BRD-RPT-CCD-01, TIS-BRD-RPT-FGA-01, TIS-BRD-RPT-FGA-02, TIS-BRD-RPT-FGA-05, TIS-BRD-RPT-FGA-06</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Report Builder</w:t>
            </w:r>
          </w:p>
        </w:tc>
        <w:tc>
          <w:tcPr>
            <w:tcW w:w="1336" w:type="dxa"/>
          </w:tcPr>
          <w:p>
            <w:pPr>
              <w:spacing w:before="40" w:after="40" w:line="240" w:lineRule="auto"/>
            </w:pPr>
            <w:r>
              <w:rPr>
                <w:rFonts w:ascii="Segoe UI" w:hAnsi="Segoe UI" w:cs="Segoe UI" w:eastAsia="Segoe UI"/>
                <w:sz w:val="16"/>
                <w:szCs w:val="16"/>
              </w:rPr>
              <w:t xml:space="preserve">Reports</w:t>
            </w:r>
          </w:p>
        </w:tc>
        <w:tc>
          <w:tcPr>
            <w:tcW w:w="1617" w:type="dxa"/>
          </w:tcPr>
          <w:p>
            <w:pPr>
              <w:spacing w:before="40" w:after="40" w:line="240" w:lineRule="auto"/>
            </w:pPr>
            <w:r>
              <w:rPr>
                <w:rFonts w:ascii="Segoe UI" w:hAnsi="Segoe UI" w:cs="Segoe UI" w:eastAsia="Segoe UI"/>
                <w:sz w:val="16"/>
                <w:szCs w:val="16"/>
              </w:rPr>
              <w:t xml:space="preserve">Reports built and scheduled by the business on the published datasets</w:t>
            </w:r>
          </w:p>
        </w:tc>
        <w:tc>
          <w:tcPr>
            <w:tcW w:w="2243" w:type="dxa"/>
          </w:tcPr>
          <w:p>
            <w:pPr>
              <w:spacing w:before="40" w:after="40" w:line="240" w:lineRule="auto"/>
            </w:pPr>
            <w:r>
              <w:rPr>
                <w:rFonts w:ascii="Segoe UI" w:hAnsi="Segoe UI" w:cs="Segoe UI" w:eastAsia="Segoe UI"/>
                <w:sz w:val="16"/>
                <w:szCs w:val="16"/>
              </w:rPr>
              <w:t xml:space="preserve">TIS-BRD-NFR-10.1, TIS-BRD-NFR-10.4</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Insurance masters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Insurers, lines of business, products, covers, signatories, vehicles, short-period rates, cancellation and reason codes</w:t>
            </w:r>
          </w:p>
        </w:tc>
        <w:tc>
          <w:tcPr>
            <w:tcW w:w="2243" w:type="dxa"/>
          </w:tcPr>
          <w:p>
            <w:pPr>
              <w:spacing w:before="40" w:after="40" w:line="240" w:lineRule="auto"/>
            </w:pPr>
            <w:r>
              <w:rPr>
                <w:rFonts w:ascii="Segoe UI" w:hAnsi="Segoe UI" w:cs="Segoe UI" w:eastAsia="Segoe UI"/>
                <w:sz w:val="16"/>
                <w:szCs w:val="16"/>
              </w:rPr>
              <w:t xml:space="preserve">TIS-BRD-MAS-04, TIS-BRD-MAS-09, TIS-BRD-MAS-10, TIS-BRD-PROD-02, TIS-BRD-PROD-03, TIS-BRD-PROD-06, TIS-BRD-PROD-08, MOM-S3-9-PRODUCTS</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Distribution channels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Dealers, financing banks, affinity partners and their production</w:t>
            </w:r>
          </w:p>
        </w:tc>
        <w:tc>
          <w:tcPr>
            <w:tcW w:w="2243" w:type="dxa"/>
          </w:tcPr>
          <w:p>
            <w:pPr>
              <w:spacing w:before="40" w:after="40" w:line="240" w:lineRule="auto"/>
            </w:pPr>
            <w:r>
              <w:rPr>
                <w:rFonts w:ascii="Segoe UI" w:hAnsi="Segoe UI" w:cs="Segoe UI" w:eastAsia="Segoe UI"/>
                <w:sz w:val="16"/>
                <w:szCs w:val="16"/>
              </w:rPr>
              <w:t xml:space="preserve">TIS-BRD-MAS-07, TIS-BRD-MAS-05</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Finance masters and posting rules</w:t>
            </w:r>
          </w:p>
        </w:tc>
        <w:tc>
          <w:tcPr>
            <w:tcW w:w="1336" w:type="dxa"/>
          </w:tcPr>
          <w:p>
            <w:pPr>
              <w:spacing w:before="40" w:after="40" w:line="240" w:lineRule="auto"/>
            </w:pPr>
            <w:r>
              <w:rPr>
                <w:rFonts w:ascii="Segoe UI" w:hAnsi="Segoe UI" w:cs="Segoe UI" w:eastAsia="Segoe UI"/>
                <w:sz w:val="16"/>
                <w:szCs w:val="16"/>
              </w:rPr>
              <w:t xml:space="preserve">Master data</w:t>
            </w:r>
          </w:p>
        </w:tc>
        <w:tc>
          <w:tcPr>
            <w:tcW w:w="1617" w:type="dxa"/>
          </w:tcPr>
          <w:p>
            <w:pPr>
              <w:spacing w:before="40" w:after="40" w:line="240" w:lineRule="auto"/>
            </w:pPr>
            <w:r>
              <w:rPr>
                <w:rFonts w:ascii="Segoe UI" w:hAnsi="Segoe UI" w:cs="Segoe UI" w:eastAsia="Segoe UI"/>
                <w:sz w:val="16"/>
                <w:szCs w:val="16"/>
              </w:rPr>
              <w:t xml:space="preserve">Chart of accounts, account determination and posting rules with approval, taxes, premium taxes, commission rates, banks, cost centres and statement formats</w:t>
            </w:r>
          </w:p>
        </w:tc>
        <w:tc>
          <w:tcPr>
            <w:tcW w:w="2243" w:type="dxa"/>
          </w:tcPr>
          <w:p>
            <w:pPr>
              <w:spacing w:before="40" w:after="40" w:line="240" w:lineRule="auto"/>
            </w:pPr>
            <w:r>
              <w:rPr>
                <w:rFonts w:ascii="Segoe UI" w:hAnsi="Segoe UI" w:cs="Segoe UI" w:eastAsia="Segoe UI"/>
                <w:sz w:val="16"/>
                <w:szCs w:val="16"/>
              </w:rPr>
              <w:t xml:space="preserve">TIS-BRD-GL-01, TIS-BRD-GL-02, TIS-BRD-TAX-01, TIS-BRD-PROD-11, TIS-BRD-PROD-16, FGA-DS-04, MOM-S9-ACC-COST-CENTRE, PBSM-M18-COA, PBSM-M23-POSTING, FGA-DS-07</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r>
        <w:trPr>
          <w:cantSplit/>
        </w:trPr>
        <w:tc>
          <w:tcPr>
            <w:tcW w:w="1518" w:type="dxa"/>
          </w:tcPr>
          <w:p>
            <w:pPr>
              <w:spacing w:before="40" w:after="40" w:line="240" w:lineRule="auto"/>
            </w:pPr>
            <w:r>
              <w:rPr>
                <w:rFonts w:ascii="Segoe UI" w:hAnsi="Segoe UI" w:cs="Segoe UI" w:eastAsia="Segoe UI"/>
                <w:sz w:val="16"/>
                <w:szCs w:val="16"/>
              </w:rPr>
              <w:t xml:space="preserve">Product configuration</w:t>
            </w:r>
          </w:p>
        </w:tc>
        <w:tc>
          <w:tcPr>
            <w:tcW w:w="1336" w:type="dxa"/>
          </w:tcPr>
          <w:p>
            <w:pPr>
              <w:spacing w:before="40" w:after="40" w:line="240" w:lineRule="auto"/>
            </w:pPr>
            <w:r>
              <w:rPr>
                <w:rFonts w:ascii="Segoe UI" w:hAnsi="Segoe UI" w:cs="Segoe UI" w:eastAsia="Segoe UI"/>
                <w:sz w:val="16"/>
                <w:szCs w:val="16"/>
              </w:rPr>
              <w:t xml:space="preserve">Product Configurator</w:t>
            </w:r>
          </w:p>
        </w:tc>
        <w:tc>
          <w:tcPr>
            <w:tcW w:w="1617" w:type="dxa"/>
          </w:tcPr>
          <w:p>
            <w:pPr>
              <w:spacing w:before="40" w:after="40" w:line="240" w:lineRule="auto"/>
            </w:pPr>
            <w:r>
              <w:rPr>
                <w:rFonts w:ascii="Segoe UI" w:hAnsi="Segoe UI" w:cs="Segoe UI" w:eastAsia="Segoe UI"/>
                <w:sz w:val="16"/>
                <w:szCs w:val="16"/>
              </w:rPr>
              <w:t xml:space="preserve">Product templates, coverages, rating engine, acceptance rules, documents, market mapping and risk mapping</w:t>
            </w:r>
          </w:p>
        </w:tc>
        <w:tc>
          <w:tcPr>
            <w:tcW w:w="2243" w:type="dxa"/>
          </w:tcPr>
          <w:p>
            <w:pPr>
              <w:spacing w:before="40" w:after="40" w:line="240" w:lineRule="auto"/>
            </w:pPr>
            <w:r>
              <w:rPr>
                <w:rFonts w:ascii="Segoe UI" w:hAnsi="Segoe UI" w:cs="Segoe UI" w:eastAsia="Segoe UI"/>
                <w:sz w:val="16"/>
                <w:szCs w:val="16"/>
              </w:rPr>
              <w:t xml:space="preserve">TIS-BRD-PROD-01, TIS-BRD-PROD-04, TIS-BRD-PROD-07, TIS-BRD-PROD-09, TIS-BRD-PROD-10, TIS-BRD-PROD-12, TIS-BRD-PROD-13, TIS-BRD-PROD-14</w:t>
            </w:r>
          </w:p>
        </w:tc>
        <w:tc>
          <w:tcPr>
            <w:tcW w:w="1156" w:type="dxa"/>
          </w:tcPr>
          <w:p>
            <w:pPr>
              <w:spacing w:before="40" w:after="40" w:line="240" w:lineRule="auto"/>
            </w:pPr>
            <w:r>
              <w:rPr>
                <w:rFonts w:ascii="Segoe UI" w:hAnsi="Segoe UI" w:cs="Segoe UI" w:eastAsia="Segoe UI"/>
                <w:sz w:val="16"/>
                <w:szCs w:val="16"/>
              </w:rPr>
              <w:t xml:space="preserve">-</w:t>
            </w:r>
          </w:p>
        </w:tc>
        <w:tc>
          <w:tcPr>
            <w:tcW w:w="115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7" w:name="_Toc300001007"/>
      <w:r>
        <w:rPr>
          <w:rFonts w:ascii="Segoe UI" w:hAnsi="Segoe UI" w:cs="Segoe UI" w:eastAsia="Segoe UI"/>
        </w:rPr>
        <w:t xml:space="preserve">Platform Functions</w:t>
      </w:r>
      <w:bookmarkEnd w:id="1007"/>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8"/>
        <w:gridCol w:w="976"/>
        <w:gridCol w:w="1831"/>
        <w:gridCol w:w="2488"/>
        <w:gridCol w:w="1066"/>
        <w:gridCol w:w="1158"/>
      </w:tblGrid>
      <w:tr>
        <w:trPr>
          <w:cantSplit/>
          <w:tblHeader/>
          <w:trHeight w:val="400"/>
        </w:trPr>
        <w:tc>
          <w:tcPr>
            <w:tcW w:w="1508"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6"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83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88"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8"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08" w:type="dxa"/>
          </w:tcPr>
          <w:p>
            <w:pPr>
              <w:spacing w:before="40" w:after="40" w:line="240" w:lineRule="auto"/>
            </w:pPr>
            <w:r>
              <w:rPr>
                <w:rFonts w:ascii="Segoe UI" w:hAnsi="Segoe UI" w:cs="Segoe UI" w:eastAsia="Segoe UI"/>
                <w:sz w:val="16"/>
                <w:szCs w:val="16"/>
              </w:rPr>
              <w:t xml:space="preserve">My Work and notifications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Daily work queue by role, notifications, own profile, global search and the on-screen help</w:t>
            </w:r>
          </w:p>
        </w:tc>
        <w:tc>
          <w:tcPr>
            <w:tcW w:w="2488" w:type="dxa"/>
          </w:tcPr>
          <w:p>
            <w:pPr>
              <w:spacing w:before="40" w:after="40" w:line="240" w:lineRule="auto"/>
            </w:pPr>
            <w:r>
              <w:rPr>
                <w:rFonts w:ascii="Segoe UI" w:hAnsi="Segoe UI" w:cs="Segoe UI" w:eastAsia="Segoe UI"/>
                <w:sz w:val="16"/>
                <w:szCs w:val="16"/>
              </w:rPr>
              <w:t xml:space="preserve">TIS-BRD-RPT-01, PBSM-M16-NOTIFICATIONS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Users and roles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Users, roles, the user access matrix and role permissions with maker-checker</w:t>
            </w:r>
          </w:p>
        </w:tc>
        <w:tc>
          <w:tcPr>
            <w:tcW w:w="2488" w:type="dxa"/>
          </w:tcPr>
          <w:p>
            <w:pPr>
              <w:spacing w:before="40" w:after="40" w:line="240" w:lineRule="auto"/>
            </w:pPr>
            <w:r>
              <w:rPr>
                <w:rFonts w:ascii="Segoe UI" w:hAnsi="Segoe UI" w:cs="Segoe UI" w:eastAsia="Segoe UI"/>
                <w:sz w:val="16"/>
                <w:szCs w:val="16"/>
              </w:rPr>
              <w:t xml:space="preserve">TIS-BRD-SEC-01, TIS-BRD-SEC-02, TIS-BRD-SEC-05, PBSM-M17v4-RBAC</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Access governance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Approval limits, segregation of duties, delegations and periodic access reviews</w:t>
            </w:r>
          </w:p>
        </w:tc>
        <w:tc>
          <w:tcPr>
            <w:tcW w:w="2488" w:type="dxa"/>
          </w:tcPr>
          <w:p>
            <w:pPr>
              <w:spacing w:before="40" w:after="40" w:line="240" w:lineRule="auto"/>
            </w:pPr>
            <w:r>
              <w:rPr>
                <w:rFonts w:ascii="Segoe UI" w:hAnsi="Segoe UI" w:cs="Segoe UI" w:eastAsia="Segoe UI"/>
                <w:sz w:val="16"/>
                <w:szCs w:val="16"/>
              </w:rPr>
              <w:t xml:space="preserve">TIS-BRD-SEC-01, TIS-BRD-SEC-03, TIS-BRD-NFR-02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Audit trail</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Record of every change with who, when, from where and the values before and after</w:t>
            </w:r>
          </w:p>
        </w:tc>
        <w:tc>
          <w:tcPr>
            <w:tcW w:w="2488" w:type="dxa"/>
          </w:tcPr>
          <w:p>
            <w:pPr>
              <w:spacing w:before="40" w:after="40" w:line="240" w:lineRule="auto"/>
            </w:pPr>
            <w:r>
              <w:rPr>
                <w:rFonts w:ascii="Segoe UI" w:hAnsi="Segoe UI" w:cs="Segoe UI" w:eastAsia="Segoe UI"/>
                <w:sz w:val="16"/>
                <w:szCs w:val="16"/>
              </w:rPr>
              <w:t xml:space="preserve">PBSM-M17v4-AUDIT, TIS-BRD-NFR-14.7, BRD-5.14</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System configuration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Settings, document numbering, job schedules, e-mail and document layouts, signatures and the e-mail outbox</w:t>
            </w:r>
          </w:p>
        </w:tc>
        <w:tc>
          <w:tcPr>
            <w:tcW w:w="2488" w:type="dxa"/>
          </w:tcPr>
          <w:p>
            <w:pPr>
              <w:spacing w:before="40" w:after="40" w:line="240" w:lineRule="auto"/>
            </w:pPr>
            <w:r>
              <w:rPr>
                <w:rFonts w:ascii="Segoe UI" w:hAnsi="Segoe UI" w:cs="Segoe UI" w:eastAsia="Segoe UI"/>
                <w:sz w:val="16"/>
                <w:szCs w:val="16"/>
              </w:rPr>
              <w:t xml:space="preserve">TIS-BRD-PROD-01, TIS-BRD-NFR-08.1, TIS-BRD-DOC-01, PBSM-M17v4-IFMON, TIS-BRD-NOTIF-01, TIS-BRD-NFR-10.6, TIS-BRD-QUOT-07, TIS-BRD-INTG-01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Organisation and location masters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Company, branch, reporting hierarchy, designations, locations with holidays, and the peso as base currency</w:t>
            </w:r>
          </w:p>
        </w:tc>
        <w:tc>
          <w:tcPr>
            <w:tcW w:w="2488" w:type="dxa"/>
          </w:tcPr>
          <w:p>
            <w:pPr>
              <w:spacing w:before="40" w:after="40" w:line="240" w:lineRule="auto"/>
            </w:pPr>
            <w:r>
              <w:rPr>
                <w:rFonts w:ascii="Segoe UI" w:hAnsi="Segoe UI" w:cs="Segoe UI" w:eastAsia="Segoe UI"/>
                <w:sz w:val="16"/>
                <w:szCs w:val="16"/>
              </w:rPr>
              <w:t xml:space="preserve">TIS-BRD-MAS-01, TIS-BRD-MAS-02, TIS-BRD-MAS-03, TIS-BRD-MAS-08, PBSM-M01-M03-ORG</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Product Configurator home</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Entry point to the configuration studio</w:t>
            </w:r>
          </w:p>
        </w:tc>
        <w:tc>
          <w:tcPr>
            <w:tcW w:w="2488" w:type="dxa"/>
          </w:tcPr>
          <w:p>
            <w:pPr>
              <w:spacing w:before="40" w:after="40" w:line="240" w:lineRule="auto"/>
            </w:pPr>
            <w:r>
              <w:rPr>
                <w:rFonts w:ascii="Segoe UI" w:hAnsi="Segoe UI" w:cs="Segoe UI" w:eastAsia="Segoe UI"/>
                <w:sz w:val="16"/>
                <w:szCs w:val="16"/>
              </w:rPr>
              <w:t xml:space="preserve">TIS-BRD-PROD-01</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Configuration promotion</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Configuration workbook, master data load at cutover and comparison of environments (Dev, UAT, Production)</w:t>
            </w:r>
          </w:p>
        </w:tc>
        <w:tc>
          <w:tcPr>
            <w:tcW w:w="2488" w:type="dxa"/>
          </w:tcPr>
          <w:p>
            <w:pPr>
              <w:spacing w:before="40" w:after="40" w:line="240" w:lineRule="auto"/>
            </w:pPr>
            <w:r>
              <w:rPr>
                <w:rFonts w:ascii="Segoe UI" w:hAnsi="Segoe UI" w:cs="Segoe UI" w:eastAsia="Segoe UI"/>
                <w:sz w:val="16"/>
                <w:szCs w:val="16"/>
              </w:rPr>
              <w:t xml:space="preserve">TIS-BRD-NFR-08, PBSM-MIG-MASTERS</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r>
        <w:trPr>
          <w:cantSplit/>
        </w:trPr>
        <w:tc>
          <w:tcPr>
            <w:tcW w:w="1508" w:type="dxa"/>
          </w:tcPr>
          <w:p>
            <w:pPr>
              <w:spacing w:before="40" w:after="40" w:line="240" w:lineRule="auto"/>
            </w:pPr>
            <w:r>
              <w:rPr>
                <w:rFonts w:ascii="Segoe UI" w:hAnsi="Segoe UI" w:cs="Segoe UI" w:eastAsia="Segoe UI"/>
                <w:sz w:val="16"/>
                <w:szCs w:val="16"/>
              </w:rPr>
              <w:t xml:space="preserve">Features and releases</w:t>
            </w:r>
          </w:p>
        </w:tc>
        <w:tc>
          <w:tcPr>
            <w:tcW w:w="976" w:type="dxa"/>
          </w:tcPr>
          <w:p>
            <w:pPr>
              <w:spacing w:before="40" w:after="40" w:line="240" w:lineRule="auto"/>
            </w:pPr>
            <w:r>
              <w:rPr>
                <w:rFonts w:ascii="Segoe UI" w:hAnsi="Segoe UI" w:cs="Segoe UI" w:eastAsia="Segoe UI"/>
                <w:sz w:val="16"/>
                <w:szCs w:val="16"/>
              </w:rPr>
              <w:t xml:space="preserve">Platform</w:t>
            </w:r>
          </w:p>
        </w:tc>
        <w:tc>
          <w:tcPr>
            <w:tcW w:w="1831" w:type="dxa"/>
          </w:tcPr>
          <w:p>
            <w:pPr>
              <w:spacing w:before="40" w:after="40" w:line="240" w:lineRule="auto"/>
            </w:pPr>
            <w:r>
              <w:rPr>
                <w:rFonts w:ascii="Segoe UI" w:hAnsi="Segoe UI" w:cs="Segoe UI" w:eastAsia="Segoe UI"/>
                <w:sz w:val="16"/>
                <w:szCs w:val="16"/>
              </w:rPr>
              <w:t xml:space="preserve">Catalogue of the functions of the platform with their release tier and status; enabling by the iorta TechNXT platform administrator</w:t>
            </w:r>
          </w:p>
        </w:tc>
        <w:tc>
          <w:tcPr>
            <w:tcW w:w="2488" w:type="dxa"/>
          </w:tcPr>
          <w:p>
            <w:pPr>
              <w:spacing w:before="40" w:after="40" w:line="240" w:lineRule="auto"/>
            </w:pPr>
            <w:r>
              <w:rPr>
                <w:rFonts w:ascii="Segoe UI" w:hAnsi="Segoe UI" w:cs="Segoe UI" w:eastAsia="Segoe UI"/>
                <w:sz w:val="16"/>
                <w:szCs w:val="16"/>
              </w:rPr>
              <w:t xml:space="preserve">TIS-BRD-NFR-8.2</w:t>
            </w:r>
          </w:p>
        </w:tc>
        <w:tc>
          <w:tcPr>
            <w:tcW w:w="1066" w:type="dxa"/>
          </w:tcPr>
          <w:p>
            <w:pPr>
              <w:spacing w:before="40" w:after="40" w:line="240" w:lineRule="auto"/>
            </w:pPr>
            <w:r>
              <w:rPr>
                <w:rFonts w:ascii="Segoe UI" w:hAnsi="Segoe UI" w:cs="Segoe UI" w:eastAsia="Segoe UI"/>
                <w:sz w:val="16"/>
                <w:szCs w:val="16"/>
              </w:rPr>
              <w:t xml:space="preserve">-</w:t>
            </w:r>
          </w:p>
        </w:tc>
        <w:tc>
          <w:tcPr>
            <w:tcW w:w="1158"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8" w:name="_Toc300001008"/>
      <w:r>
        <w:rPr>
          <w:rFonts w:ascii="Segoe UI" w:hAnsi="Segoe UI" w:cs="Segoe UI" w:eastAsia="Segoe UI"/>
        </w:rPr>
        <w:t xml:space="preserve">Phase 2 Functions</w:t>
      </w:r>
      <w:bookmarkEnd w:id="1008"/>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25"/>
        <w:gridCol w:w="1159"/>
        <w:gridCol w:w="1701"/>
        <w:gridCol w:w="2417"/>
        <w:gridCol w:w="1066"/>
        <w:gridCol w:w="1159"/>
      </w:tblGrid>
      <w:tr>
        <w:trPr>
          <w:cantSplit/>
          <w:tblHeader/>
          <w:trHeight w:val="400"/>
        </w:trPr>
        <w:tc>
          <w:tcPr>
            <w:tcW w:w="152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1701"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2417"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066"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59"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525" w:type="dxa"/>
          </w:tcPr>
          <w:p>
            <w:pPr>
              <w:spacing w:before="40" w:after="40" w:line="240" w:lineRule="auto"/>
            </w:pPr>
            <w:r>
              <w:rPr>
                <w:rFonts w:ascii="Segoe UI" w:hAnsi="Segoe UI" w:cs="Segoe UI" w:eastAsia="Segoe UI"/>
                <w:sz w:val="16"/>
                <w:szCs w:val="16"/>
              </w:rPr>
              <w:t xml:space="preserve">Sales dashboard</w:t>
            </w:r>
          </w:p>
        </w:tc>
        <w:tc>
          <w:tcPr>
            <w:tcW w:w="1159" w:type="dxa"/>
          </w:tcPr>
          <w:p>
            <w:pPr>
              <w:spacing w:before="40" w:after="40" w:line="240" w:lineRule="auto"/>
            </w:pPr>
            <w:r>
              <w:rPr>
                <w:rFonts w:ascii="Segoe UI" w:hAnsi="Segoe UI" w:cs="Segoe UI" w:eastAsia="Segoe UI"/>
                <w:sz w:val="16"/>
                <w:szCs w:val="16"/>
              </w:rPr>
              <w:t xml:space="preserve">Dashboard</w:t>
            </w:r>
          </w:p>
        </w:tc>
        <w:tc>
          <w:tcPr>
            <w:tcW w:w="1701" w:type="dxa"/>
          </w:tcPr>
          <w:p>
            <w:pPr>
              <w:spacing w:before="40" w:after="40" w:line="240" w:lineRule="auto"/>
            </w:pPr>
            <w:r>
              <w:rPr>
                <w:rFonts w:ascii="Segoe UI" w:hAnsi="Segoe UI" w:cs="Segoe UI" w:eastAsia="Segoe UI"/>
                <w:sz w:val="16"/>
                <w:szCs w:val="16"/>
              </w:rPr>
              <w:t xml:space="preserve">Conversion, figures by sales person, premium and policies by product and the monthly trend; agent performance on the executive dashboard</w:t>
            </w:r>
          </w:p>
        </w:tc>
        <w:tc>
          <w:tcPr>
            <w:tcW w:w="2417" w:type="dxa"/>
          </w:tcPr>
          <w:p>
            <w:pPr>
              <w:spacing w:before="40" w:after="40" w:line="240" w:lineRule="auto"/>
            </w:pPr>
            <w:r>
              <w:rPr>
                <w:rFonts w:ascii="Segoe UI" w:hAnsi="Segoe UI" w:cs="Segoe UI" w:eastAsia="Segoe UI"/>
                <w:sz w:val="16"/>
                <w:szCs w:val="16"/>
              </w:rPr>
              <w:t xml:space="preserve">TIS-BRD-RPT-DSH-05, TIS-BRD-RPT-DSH-06, TIS-BRD-RPT-DSH-07, CR-17, FGA-SD-01, FGA-SD-02</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FT-D02 pending</w:t>
            </w:r>
          </w:p>
        </w:tc>
      </w:tr>
      <w:tr>
        <w:trPr>
          <w:cantSplit/>
        </w:trPr>
        <w:tc>
          <w:tcPr>
            <w:tcW w:w="1525" w:type="dxa"/>
          </w:tcPr>
          <w:p>
            <w:pPr>
              <w:spacing w:before="40" w:after="40" w:line="240" w:lineRule="auto"/>
            </w:pPr>
            <w:r>
              <w:rPr>
                <w:rFonts w:ascii="Segoe UI" w:hAnsi="Segoe UI" w:cs="Segoe UI" w:eastAsia="Segoe UI"/>
                <w:sz w:val="16"/>
                <w:szCs w:val="16"/>
              </w:rPr>
              <w:t xml:space="preserve">Fire, engineering and industrial all risks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Prospect, quotation and policy flows of fire and allied perils, engineering and industrial all risks</w:t>
            </w:r>
          </w:p>
        </w:tc>
        <w:tc>
          <w:tcPr>
            <w:tcW w:w="2417" w:type="dxa"/>
          </w:tcPr>
          <w:p>
            <w:pPr>
              <w:spacing w:before="40" w:after="40" w:line="240" w:lineRule="auto"/>
            </w:pPr>
            <w:r>
              <w:rPr>
                <w:rFonts w:ascii="Segoe UI" w:hAnsi="Segoe UI" w:cs="Segoe UI" w:eastAsia="Segoe UI"/>
                <w:sz w:val="16"/>
                <w:szCs w:val="16"/>
              </w:rPr>
              <w:t xml:space="preserve">TIS-BRD-PJRN-11, FI-01, FI-02, FI-03, FI-04, FI-05, FI-06, FI-07, FI-08, FI-09, FI-10, FI-11</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Group life and employee benefits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Employee census upload, group life and employee benefit quotations with the yearly renewal quote</w:t>
            </w:r>
          </w:p>
        </w:tc>
        <w:tc>
          <w:tcPr>
            <w:tcW w:w="2417" w:type="dxa"/>
          </w:tcPr>
          <w:p>
            <w:pPr>
              <w:spacing w:before="40" w:after="40" w:line="240" w:lineRule="auto"/>
            </w:pPr>
            <w:r>
              <w:rPr>
                <w:rFonts w:ascii="Segoe UI" w:hAnsi="Segoe UI" w:cs="Segoe UI" w:eastAsia="Segoe UI"/>
                <w:sz w:val="16"/>
                <w:szCs w:val="16"/>
              </w:rPr>
              <w:t xml:space="preserve">TIS-BRD-PJRN-10</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Bonds, liability and miscellaneous lines</w:t>
            </w:r>
          </w:p>
        </w:tc>
        <w:tc>
          <w:tcPr>
            <w:tcW w:w="1159" w:type="dxa"/>
          </w:tcPr>
          <w:p>
            <w:pPr>
              <w:spacing w:before="40" w:after="40" w:line="240" w:lineRule="auto"/>
            </w:pPr>
            <w:r>
              <w:rPr>
                <w:rFonts w:ascii="Segoe UI" w:hAnsi="Segoe UI" w:cs="Segoe UI" w:eastAsia="Segoe UI"/>
                <w:sz w:val="16"/>
                <w:szCs w:val="16"/>
              </w:rPr>
              <w:t xml:space="preserve">Operations</w:t>
            </w:r>
          </w:p>
        </w:tc>
        <w:tc>
          <w:tcPr>
            <w:tcW w:w="1701" w:type="dxa"/>
          </w:tcPr>
          <w:p>
            <w:pPr>
              <w:spacing w:before="40" w:after="40" w:line="240" w:lineRule="auto"/>
            </w:pPr>
            <w:r>
              <w:rPr>
                <w:rFonts w:ascii="Segoe UI" w:hAnsi="Segoe UI" w:cs="Segoe UI" w:eastAsia="Segoe UI"/>
                <w:sz w:val="16"/>
                <w:szCs w:val="16"/>
              </w:rPr>
              <w:t xml:space="preserve">Quotations of bonds, comprehensive general liability and miscellaneous lines through requests for quotation</w:t>
            </w:r>
          </w:p>
        </w:tc>
        <w:tc>
          <w:tcPr>
            <w:tcW w:w="2417" w:type="dxa"/>
          </w:tcPr>
          <w:p>
            <w:pPr>
              <w:spacing w:before="40" w:after="40" w:line="240" w:lineRule="auto"/>
            </w:pPr>
            <w:r>
              <w:rPr>
                <w:rFonts w:ascii="Segoe UI" w:hAnsi="Segoe UI" w:cs="Segoe UI" w:eastAsia="Segoe UI"/>
                <w:sz w:val="16"/>
                <w:szCs w:val="16"/>
              </w:rPr>
              <w:t xml:space="preserve">TIS-BRD-PJRN-13</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Accounts payable</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Supplier invoices with input VAT and withholding, maker-checker approval, supplier payments and AP ageing</w:t>
            </w:r>
          </w:p>
        </w:tc>
        <w:tc>
          <w:tcPr>
            <w:tcW w:w="2417" w:type="dxa"/>
          </w:tcPr>
          <w:p>
            <w:pPr>
              <w:spacing w:before="40" w:after="40" w:line="240" w:lineRule="auto"/>
            </w:pPr>
            <w:r>
              <w:rPr>
                <w:rFonts w:ascii="Segoe UI" w:hAnsi="Segoe UI" w:cs="Segoe UI" w:eastAsia="Segoe UI"/>
                <w:sz w:val="16"/>
                <w:szCs w:val="16"/>
              </w:rPr>
              <w:t xml:space="preserve">TIS-BRD-NIA-03, PBSM-M17v4-NIA</w:t>
            </w:r>
          </w:p>
        </w:tc>
        <w:tc>
          <w:tcPr>
            <w:tcW w:w="1066" w:type="dxa"/>
          </w:tcPr>
          <w:p>
            <w:pPr>
              <w:spacing w:before="40" w:after="40" w:line="240" w:lineRule="auto"/>
            </w:pPr>
            <w:r>
              <w:rPr>
                <w:rFonts w:ascii="Segoe UI" w:hAnsi="Segoe UI" w:cs="Segoe UI" w:eastAsia="Segoe UI"/>
                <w:sz w:val="16"/>
                <w:szCs w:val="16"/>
              </w:rPr>
              <w:t xml:space="preserve">Suppliers and supplier BIR 2307</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Fixed assets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Asset register by asset class, monthly straight-line depreciation and disposals</w:t>
            </w:r>
          </w:p>
        </w:tc>
        <w:tc>
          <w:tcPr>
            <w:tcW w:w="2417" w:type="dxa"/>
          </w:tcPr>
          <w:p>
            <w:pPr>
              <w:spacing w:before="40" w:after="40" w:line="240" w:lineRule="auto"/>
            </w:pPr>
            <w:r>
              <w:rPr>
                <w:rFonts w:ascii="Segoe UI" w:hAnsi="Segoe UI" w:cs="Segoe UI" w:eastAsia="Segoe UI"/>
                <w:sz w:val="16"/>
                <w:szCs w:val="16"/>
              </w:rPr>
              <w:t xml:space="preserve">TIS-BRD-NIA-07, FGA-FA-01, FGA-FA-02, FGA-FA-04, FGA-DS-08, TIS-BRD-RPT-FGA-10, PBSM-M17v4-PAFA</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FT-D01 pending</w:t>
            </w:r>
          </w:p>
        </w:tc>
      </w:tr>
      <w:tr>
        <w:trPr>
          <w:cantSplit/>
        </w:trPr>
        <w:tc>
          <w:tcPr>
            <w:tcW w:w="1525" w:type="dxa"/>
          </w:tcPr>
          <w:p>
            <w:pPr>
              <w:spacing w:before="40" w:after="40" w:line="240" w:lineRule="auto"/>
            </w:pPr>
            <w:r>
              <w:rPr>
                <w:rFonts w:ascii="Segoe UI" w:hAnsi="Segoe UI" w:cs="Segoe UI" w:eastAsia="Segoe UI"/>
                <w:sz w:val="16"/>
                <w:szCs w:val="16"/>
              </w:rPr>
              <w:t xml:space="preserve">Recurring and accrual journals</w:t>
            </w:r>
          </w:p>
        </w:tc>
        <w:tc>
          <w:tcPr>
            <w:tcW w:w="1159" w:type="dxa"/>
          </w:tcPr>
          <w:p>
            <w:pPr>
              <w:spacing w:before="40" w:after="40" w:line="240" w:lineRule="auto"/>
            </w:pPr>
            <w:r>
              <w:rPr>
                <w:rFonts w:ascii="Segoe UI" w:hAnsi="Segoe UI" w:cs="Segoe UI" w:eastAsia="Segoe UI"/>
                <w:sz w:val="16"/>
                <w:szCs w:val="16"/>
              </w:rPr>
              <w:t xml:space="preserve">Accounts</w:t>
            </w:r>
          </w:p>
        </w:tc>
        <w:tc>
          <w:tcPr>
            <w:tcW w:w="1701" w:type="dxa"/>
          </w:tcPr>
          <w:p>
            <w:pPr>
              <w:spacing w:before="40" w:after="40" w:line="240" w:lineRule="auto"/>
            </w:pPr>
            <w:r>
              <w:rPr>
                <w:rFonts w:ascii="Segoe UI" w:hAnsi="Segoe UI" w:cs="Segoe UI" w:eastAsia="Segoe UI"/>
                <w:sz w:val="16"/>
                <w:szCs w:val="16"/>
              </w:rPr>
              <w:t xml:space="preserve">Recurring and accrual journal templates posted automatically and reversed on the first day of the next period</w:t>
            </w:r>
          </w:p>
        </w:tc>
        <w:tc>
          <w:tcPr>
            <w:tcW w:w="2417" w:type="dxa"/>
          </w:tcPr>
          <w:p>
            <w:pPr>
              <w:spacing w:before="40" w:after="40" w:line="240" w:lineRule="auto"/>
            </w:pPr>
            <w:r>
              <w:rPr>
                <w:rFonts w:ascii="Segoe UI" w:hAnsi="Segoe UI" w:cs="Segoe UI" w:eastAsia="Segoe UI"/>
                <w:sz w:val="16"/>
                <w:szCs w:val="16"/>
              </w:rPr>
              <w:t xml:space="preserve">FGA-ACR-01, TIS-BRD-NIA-06</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Insurer API integration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REST API mappings and calls to the insurers, claim status received from the insurers</w:t>
            </w:r>
          </w:p>
        </w:tc>
        <w:tc>
          <w:tcPr>
            <w:tcW w:w="2417" w:type="dxa"/>
          </w:tcPr>
          <w:p>
            <w:pPr>
              <w:spacing w:before="40" w:after="40" w:line="240" w:lineRule="auto"/>
            </w:pPr>
            <w:r>
              <w:rPr>
                <w:rFonts w:ascii="Segoe UI" w:hAnsi="Segoe UI" w:cs="Segoe UI" w:eastAsia="Segoe UI"/>
                <w:sz w:val="16"/>
                <w:szCs w:val="16"/>
              </w:rPr>
              <w:t xml:space="preserve">TIS-BRD-INTG-05</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r>
        <w:trPr>
          <w:cantSplit/>
        </w:trPr>
        <w:tc>
          <w:tcPr>
            <w:tcW w:w="1525" w:type="dxa"/>
          </w:tcPr>
          <w:p>
            <w:pPr>
              <w:spacing w:before="40" w:after="40" w:line="240" w:lineRule="auto"/>
            </w:pPr>
            <w:r>
              <w:rPr>
                <w:rFonts w:ascii="Segoe UI" w:hAnsi="Segoe UI" w:cs="Segoe UI" w:eastAsia="Segoe UI"/>
                <w:sz w:val="16"/>
                <w:szCs w:val="16"/>
              </w:rPr>
              <w:t xml:space="preserve">Legacy book migration</w:t>
            </w:r>
          </w:p>
        </w:tc>
        <w:tc>
          <w:tcPr>
            <w:tcW w:w="1159" w:type="dxa"/>
          </w:tcPr>
          <w:p>
            <w:pPr>
              <w:spacing w:before="40" w:after="40" w:line="240" w:lineRule="auto"/>
            </w:pPr>
            <w:r>
              <w:rPr>
                <w:rFonts w:ascii="Segoe UI" w:hAnsi="Segoe UI" w:cs="Segoe UI" w:eastAsia="Segoe UI"/>
                <w:sz w:val="16"/>
                <w:szCs w:val="16"/>
              </w:rPr>
              <w:t xml:space="preserve">Master data</w:t>
            </w:r>
          </w:p>
        </w:tc>
        <w:tc>
          <w:tcPr>
            <w:tcW w:w="1701" w:type="dxa"/>
          </w:tcPr>
          <w:p>
            <w:pPr>
              <w:spacing w:before="40" w:after="40" w:line="240" w:lineRule="auto"/>
            </w:pPr>
            <w:r>
              <w:rPr>
                <w:rFonts w:ascii="Segoe UI" w:hAnsi="Segoe UI" w:cs="Segoe UI" w:eastAsia="Segoe UI"/>
                <w:sz w:val="16"/>
                <w:szCs w:val="16"/>
              </w:rPr>
              <w:t xml:space="preserve">Cutover load of in-force policies, open bills, open claims and opening balances of the legacy system</w:t>
            </w:r>
          </w:p>
        </w:tc>
        <w:tc>
          <w:tcPr>
            <w:tcW w:w="2417" w:type="dxa"/>
          </w:tcPr>
          <w:p>
            <w:pPr>
              <w:spacing w:before="40" w:after="40" w:line="240" w:lineRule="auto"/>
            </w:pPr>
            <w:r>
              <w:rPr>
                <w:rFonts w:ascii="Segoe UI" w:hAnsi="Segoe UI" w:cs="Segoe UI" w:eastAsia="Segoe UI"/>
                <w:sz w:val="16"/>
                <w:szCs w:val="16"/>
              </w:rPr>
              <w:t xml:space="preserve">TIS-BRD-MIG-01, MOM-S21-MIGRATION-PARKED</w:t>
            </w:r>
          </w:p>
        </w:tc>
        <w:tc>
          <w:tcPr>
            <w:tcW w:w="1066" w:type="dxa"/>
          </w:tcPr>
          <w:p>
            <w:pPr>
              <w:spacing w:before="40" w:after="40" w:line="240" w:lineRule="auto"/>
            </w:pPr>
            <w:r>
              <w:rPr>
                <w:rFonts w:ascii="Segoe UI" w:hAnsi="Segoe UI" w:cs="Segoe UI" w:eastAsia="Segoe UI"/>
                <w:sz w:val="16"/>
                <w:szCs w:val="16"/>
              </w:rPr>
              <w:t xml:space="preserve">-</w:t>
            </w:r>
          </w:p>
        </w:tc>
        <w:tc>
          <w:tcPr>
            <w:tcW w:w="1159"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09" w:name="_Toc300001009"/>
      <w:r>
        <w:rPr>
          <w:rFonts w:ascii="Segoe UI" w:hAnsi="Segoe UI" w:cs="Segoe UI" w:eastAsia="Segoe UI"/>
        </w:rPr>
        <w:t xml:space="preserve">Future Releases</w:t>
      </w:r>
      <w:bookmarkEnd w:id="1009"/>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657"/>
        <w:gridCol w:w="1371"/>
        <w:gridCol w:w="2038"/>
        <w:gridCol w:w="1424"/>
        <w:gridCol w:w="1375"/>
        <w:gridCol w:w="1162"/>
      </w:tblGrid>
      <w:tr>
        <w:trPr>
          <w:cantSplit/>
          <w:tblHeader/>
          <w:trHeight w:val="400"/>
        </w:trPr>
        <w:tc>
          <w:tcPr>
            <w:tcW w:w="1657"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1371" w:type="dxa"/>
            <w:shd w:val="clear" w:color="auto" w:fill="E8F0F8"/>
            <w:vAlign w:val="center"/>
          </w:tcPr>
          <w:p>
            <w:pPr>
              <w:spacing w:before="40" w:after="40" w:line="240" w:lineRule="auto"/>
            </w:pPr>
            <w:r>
              <w:rPr>
                <w:rFonts w:ascii="Segoe UI" w:hAnsi="Segoe UI" w:cs="Segoe UI" w:eastAsia="Segoe UI"/>
                <w:b/>
                <w:bCs/>
                <w:sz w:val="16"/>
                <w:szCs w:val="16"/>
              </w:rPr>
              <w:t xml:space="preserve">Module</w:t>
            </w:r>
          </w:p>
        </w:tc>
        <w:tc>
          <w:tcPr>
            <w:tcW w:w="2038" w:type="dxa"/>
            <w:shd w:val="clear" w:color="auto" w:fill="E8F0F8"/>
            <w:vAlign w:val="center"/>
          </w:tcPr>
          <w:p>
            <w:pPr>
              <w:spacing w:before="40" w:after="40" w:line="240" w:lineRule="auto"/>
            </w:pPr>
            <w:r>
              <w:rPr>
                <w:rFonts w:ascii="Segoe UI" w:hAnsi="Segoe UI" w:cs="Segoe UI" w:eastAsia="Segoe UI"/>
                <w:b/>
                <w:bCs/>
                <w:sz w:val="16"/>
                <w:szCs w:val="16"/>
              </w:rPr>
              <w:t xml:space="preserve">Description</w:t>
            </w:r>
          </w:p>
        </w:tc>
        <w:tc>
          <w:tcPr>
            <w:tcW w:w="1424" w:type="dxa"/>
            <w:shd w:val="clear" w:color="auto" w:fill="E8F0F8"/>
            <w:vAlign w:val="center"/>
          </w:tcPr>
          <w:p>
            <w:pPr>
              <w:spacing w:before="40" w:after="40" w:line="240" w:lineRule="auto"/>
            </w:pPr>
            <w:r>
              <w:rPr>
                <w:rFonts w:ascii="Segoe UI" w:hAnsi="Segoe UI" w:cs="Segoe UI" w:eastAsia="Segoe UI"/>
                <w:b/>
                <w:bCs/>
                <w:sz w:val="16"/>
                <w:szCs w:val="16"/>
              </w:rPr>
              <w:t xml:space="preserve">Requirement IDs</w:t>
            </w:r>
          </w:p>
        </w:tc>
        <w:tc>
          <w:tcPr>
            <w:tcW w:w="1375" w:type="dxa"/>
            <w:shd w:val="clear" w:color="auto" w:fill="E8F0F8"/>
            <w:vAlign w:val="center"/>
          </w:tcPr>
          <w:p>
            <w:pPr>
              <w:spacing w:before="40" w:after="40" w:line="240" w:lineRule="auto"/>
            </w:pPr>
            <w:r>
              <w:rPr>
                <w:rFonts w:ascii="Segoe UI" w:hAnsi="Segoe UI" w:cs="Segoe UI" w:eastAsia="Segoe UI"/>
                <w:b/>
                <w:bCs/>
                <w:sz w:val="16"/>
                <w:szCs w:val="16"/>
              </w:rPr>
              <w:t xml:space="preserve">Depends on</w:t>
            </w:r>
          </w:p>
        </w:tc>
        <w:tc>
          <w:tcPr>
            <w:tcW w:w="1162" w:type="dxa"/>
            <w:shd w:val="clear" w:color="auto" w:fill="E8F0F8"/>
            <w:vAlign w:val="center"/>
          </w:tcPr>
          <w:p>
            <w:pPr>
              <w:spacing w:before="40" w:after="40" w:line="240" w:lineRule="auto"/>
            </w:pPr>
            <w:r>
              <w:rPr>
                <w:rFonts w:ascii="Segoe UI" w:hAnsi="Segoe UI" w:cs="Segoe UI" w:eastAsia="Segoe UI"/>
                <w:b/>
                <w:bCs/>
                <w:sz w:val="16"/>
                <w:szCs w:val="16"/>
              </w:rPr>
              <w:t xml:space="preserve">Decision</w:t>
            </w:r>
          </w:p>
        </w:tc>
      </w:tr>
      <w:tr>
        <w:trPr>
          <w:cantSplit/>
        </w:trPr>
        <w:tc>
          <w:tcPr>
            <w:tcW w:w="1657" w:type="dxa"/>
          </w:tcPr>
          <w:p>
            <w:pPr>
              <w:spacing w:before="40" w:after="40" w:line="240" w:lineRule="auto"/>
            </w:pPr>
            <w:r>
              <w:rPr>
                <w:rFonts w:ascii="Segoe UI" w:hAnsi="Segoe UI" w:cs="Segoe UI" w:eastAsia="Segoe UI"/>
                <w:sz w:val="16"/>
                <w:szCs w:val="16"/>
              </w:rPr>
              <w:t xml:space="preserve">Customer satisfaction indicator</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Customer satisfaction figure among the renewal performance targets (no survey data is captured)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Regional performance</w:t>
            </w:r>
          </w:p>
        </w:tc>
        <w:tc>
          <w:tcPr>
            <w:tcW w:w="1371" w:type="dxa"/>
          </w:tcPr>
          <w:p>
            <w:pPr>
              <w:spacing w:before="40" w:after="40" w:line="240" w:lineRule="auto"/>
            </w:pPr>
            <w:r>
              <w:rPr>
                <w:rFonts w:ascii="Segoe UI" w:hAnsi="Segoe UI" w:cs="Segoe UI" w:eastAsia="Segoe UI"/>
                <w:sz w:val="16"/>
                <w:szCs w:val="16"/>
              </w:rPr>
              <w:t xml:space="preserve">Dashboard</w:t>
            </w:r>
          </w:p>
        </w:tc>
        <w:tc>
          <w:tcPr>
            <w:tcW w:w="2038" w:type="dxa"/>
          </w:tcPr>
          <w:p>
            <w:pPr>
              <w:spacing w:before="40" w:after="40" w:line="240" w:lineRule="auto"/>
            </w:pPr>
            <w:r>
              <w:rPr>
                <w:rFonts w:ascii="Segoe UI" w:hAnsi="Segoe UI" w:cs="Segoe UI" w:eastAsia="Segoe UI"/>
                <w:sz w:val="16"/>
                <w:szCs w:val="16"/>
              </w:rPr>
              <w:t xml:space="preserve">Production and collections by region on the executive dashboard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Comparison reports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report comparing the offers of several insurers with a recommendation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Requests for quotation to several insurers</w:t>
            </w:r>
          </w:p>
        </w:tc>
        <w:tc>
          <w:tcPr>
            <w:tcW w:w="1162" w:type="dxa"/>
          </w:tcPr>
          <w:p>
            <w:pPr>
              <w:spacing w:before="40" w:after="40" w:line="240" w:lineRule="auto"/>
            </w:pPr>
            <w:r>
              <w:rPr>
                <w:rFonts w:ascii="Segoe UI" w:hAnsi="Segoe UI" w:cs="Segoe UI" w:eastAsia="Segoe UI"/>
                <w:sz w:val="16"/>
                <w:szCs w:val="16"/>
              </w:rPr>
              <w:t xml:space="preserve">FT-D03 pending</w:t>
            </w:r>
          </w:p>
        </w:tc>
      </w:tr>
      <w:tr>
        <w:trPr>
          <w:cantSplit/>
        </w:trPr>
        <w:tc>
          <w:tcPr>
            <w:tcW w:w="1657" w:type="dxa"/>
          </w:tcPr>
          <w:p>
            <w:pPr>
              <w:spacing w:before="40" w:after="40" w:line="240" w:lineRule="auto"/>
            </w:pPr>
            <w:r>
              <w:rPr>
                <w:rFonts w:ascii="Segoe UI" w:hAnsi="Segoe UI" w:cs="Segoe UI" w:eastAsia="Segoe UI"/>
                <w:sz w:val="16"/>
                <w:szCs w:val="16"/>
              </w:rPr>
              <w:t xml:space="preserve">Requests for quotation to several insurers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Submitting one request to several insurers, comparing their offers and checking the insurers approached against market mapping</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FT-D04 pending</w:t>
            </w:r>
          </w:p>
        </w:tc>
      </w:tr>
      <w:tr>
        <w:trPr>
          <w:cantSplit/>
        </w:trPr>
        <w:tc>
          <w:tcPr>
            <w:tcW w:w="1657" w:type="dxa"/>
          </w:tcPr>
          <w:p>
            <w:pPr>
              <w:spacing w:before="40" w:after="40" w:line="240" w:lineRule="auto"/>
            </w:pPr>
            <w:r>
              <w:rPr>
                <w:rFonts w:ascii="Segoe UI" w:hAnsi="Segoe UI" w:cs="Segoe UI" w:eastAsia="Segoe UI"/>
                <w:sz w:val="16"/>
                <w:szCs w:val="16"/>
              </w:rPr>
              <w:t xml:space="preserve">Marketing campaigns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E-mail campaigns to consenting clients with segments, templates and the public opt-out link</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FT-D05 pending</w:t>
            </w:r>
          </w:p>
        </w:tc>
      </w:tr>
      <w:tr>
        <w:trPr>
          <w:cantSplit/>
        </w:trPr>
        <w:tc>
          <w:tcPr>
            <w:tcW w:w="1657" w:type="dxa"/>
          </w:tcPr>
          <w:p>
            <w:pPr>
              <w:spacing w:before="40" w:after="40" w:line="240" w:lineRule="auto"/>
            </w:pPr>
            <w:r>
              <w:rPr>
                <w:rFonts w:ascii="Segoe UI" w:hAnsi="Segoe UI" w:cs="Segoe UI" w:eastAsia="Segoe UI"/>
                <w:sz w:val="16"/>
                <w:szCs w:val="16"/>
              </w:rPr>
              <w:t xml:space="preserve">Online quotation approval by the client</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Client approves a quotation through a public link instead of the internal approval and e-mailed PDF</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FT-D06 pending</w:t>
            </w:r>
          </w:p>
        </w:tc>
      </w:tr>
      <w:tr>
        <w:trPr>
          <w:cantSplit/>
        </w:trPr>
        <w:tc>
          <w:tcPr>
            <w:tcW w:w="1657" w:type="dxa"/>
          </w:tcPr>
          <w:p>
            <w:pPr>
              <w:spacing w:before="40" w:after="40" w:line="240" w:lineRule="auto"/>
            </w:pPr>
            <w:r>
              <w:rPr>
                <w:rFonts w:ascii="Segoe UI" w:hAnsi="Segoe UI" w:cs="Segoe UI" w:eastAsia="Segoe UI"/>
                <w:sz w:val="16"/>
                <w:szCs w:val="16"/>
              </w:rPr>
              <w:t xml:space="preserve">Product recommendation step</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Rule-based product recommendation by vehicle class inside the motor quotation wizard</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FT-D07 pending</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Lead insurer with participant shares totalling 100%, amounts split by share and a slip to each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Foreign currency premium and receipts</w:t>
            </w:r>
          </w:p>
        </w:tc>
        <w:tc>
          <w:tcPr>
            <w:tcW w:w="1371" w:type="dxa"/>
          </w:tcPr>
          <w:p>
            <w:pPr>
              <w:spacing w:before="40" w:after="40" w:line="240" w:lineRule="auto"/>
            </w:pPr>
            <w:r>
              <w:rPr>
                <w:rFonts w:ascii="Segoe UI" w:hAnsi="Segoe UI" w:cs="Segoe UI" w:eastAsia="Segoe UI"/>
                <w:sz w:val="16"/>
                <w:szCs w:val="16"/>
              </w:rPr>
              <w:t xml:space="preserve">Sales &amp; Marketing</w:t>
            </w:r>
          </w:p>
        </w:tc>
        <w:tc>
          <w:tcPr>
            <w:tcW w:w="2038" w:type="dxa"/>
          </w:tcPr>
          <w:p>
            <w:pPr>
              <w:spacing w:before="40" w:after="40" w:line="240" w:lineRule="auto"/>
            </w:pPr>
            <w:r>
              <w:rPr>
                <w:rFonts w:ascii="Segoe UI" w:hAnsi="Segoe UI" w:cs="Segoe UI" w:eastAsia="Segoe UI"/>
                <w:sz w:val="16"/>
                <w:szCs w:val="16"/>
              </w:rPr>
              <w:t xml:space="preserve">Choice of a currency other than the peso for the premium and the receipt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Marine cargo open covers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Marine cargo as an open cover product beside parcel and courier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Parcel and courier open covers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Retention analytics and renewal performance</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Retention KPIs by product, agent and month; renewal rate, premium retention and cycle time</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At-risk renewals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Rule-based retention risk score of open renewals with recommended actions and escalation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Win-back campaigns</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Campaigns, offers and links to win back lapsed renewals, with their statistics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Renewals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CTPL authentication</w:t>
            </w:r>
          </w:p>
        </w:tc>
        <w:tc>
          <w:tcPr>
            <w:tcW w:w="1371" w:type="dxa"/>
          </w:tcPr>
          <w:p>
            <w:pPr>
              <w:spacing w:before="40" w:after="40" w:line="240" w:lineRule="auto"/>
            </w:pPr>
            <w:r>
              <w:rPr>
                <w:rFonts w:ascii="Segoe UI" w:hAnsi="Segoe UI" w:cs="Segoe UI" w:eastAsia="Segoe UI"/>
                <w:sz w:val="16"/>
                <w:szCs w:val="16"/>
              </w:rPr>
              <w:t xml:space="preserve">Operations</w:t>
            </w:r>
          </w:p>
        </w:tc>
        <w:tc>
          <w:tcPr>
            <w:tcW w:w="2038" w:type="dxa"/>
          </w:tcPr>
          <w:p>
            <w:pPr>
              <w:spacing w:before="40" w:after="40" w:line="240" w:lineRule="auto"/>
            </w:pPr>
            <w:r>
              <w:rPr>
                <w:rFonts w:ascii="Segoe UI" w:hAnsi="Segoe UI" w:cs="Segoe UI" w:eastAsia="Segoe UI"/>
                <w:sz w:val="16"/>
                <w:szCs w:val="16"/>
              </w:rPr>
              <w:t xml:space="preserve">COC number series, COC authentication with the accredited provider and the unauthenticated COC report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FT-D08 pending</w:t>
            </w:r>
          </w:p>
        </w:tc>
      </w:tr>
      <w:tr>
        <w:trPr>
          <w:cantSplit/>
        </w:trPr>
        <w:tc>
          <w:tcPr>
            <w:tcW w:w="1657" w:type="dxa"/>
          </w:tcPr>
          <w:p>
            <w:pPr>
              <w:spacing w:before="40" w:after="40" w:line="240" w:lineRule="auto"/>
            </w:pPr>
            <w:r>
              <w:rPr>
                <w:rFonts w:ascii="Segoe UI" w:hAnsi="Segoe UI" w:cs="Segoe UI" w:eastAsia="Segoe UI"/>
                <w:sz w:val="16"/>
                <w:szCs w:val="16"/>
              </w:rPr>
              <w:t xml:space="preserve">Client credit limits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Credit limit per client with the open broker-billed exposure and the exceptions over the limit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Collections and credit control</w:t>
            </w:r>
          </w:p>
        </w:tc>
        <w:tc>
          <w:tcPr>
            <w:tcW w:w="1162" w:type="dxa"/>
          </w:tcPr>
          <w:p>
            <w:pPr>
              <w:spacing w:before="40" w:after="40" w:line="240" w:lineRule="auto"/>
            </w:pPr>
            <w:r>
              <w:rPr>
                <w:rFonts w:ascii="Segoe UI" w:hAnsi="Segoe UI" w:cs="Segoe UI" w:eastAsia="Segoe UI"/>
                <w:sz w:val="16"/>
                <w:szCs w:val="16"/>
              </w:rPr>
              <w:t xml:space="preserve">FT-D09 pending</w:t>
            </w:r>
          </w:p>
        </w:tc>
      </w:tr>
      <w:tr>
        <w:trPr>
          <w:cantSplit/>
        </w:trPr>
        <w:tc>
          <w:tcPr>
            <w:tcW w:w="1657" w:type="dxa"/>
          </w:tcPr>
          <w:p>
            <w:pPr>
              <w:spacing w:before="40" w:after="40" w:line="240" w:lineRule="auto"/>
            </w:pPr>
            <w:r>
              <w:rPr>
                <w:rFonts w:ascii="Segoe UI" w:hAnsi="Segoe UI" w:cs="Segoe UI" w:eastAsia="Segoe UI"/>
                <w:sz w:val="16"/>
                <w:szCs w:val="16"/>
              </w:rPr>
              <w:t xml:space="preserve">Claims paid through the broker</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Insurer claim funds received by the broker and paid to the claimant, with voucher and release form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Claims</w:t>
            </w:r>
          </w:p>
        </w:tc>
        <w:tc>
          <w:tcPr>
            <w:tcW w:w="1162" w:type="dxa"/>
          </w:tcPr>
          <w:p>
            <w:pPr>
              <w:spacing w:before="40" w:after="40" w:line="240" w:lineRule="auto"/>
            </w:pPr>
            <w:r>
              <w:rPr>
                <w:rFonts w:ascii="Segoe UI" w:hAnsi="Segoe UI" w:cs="Segoe UI" w:eastAsia="Segoe UI"/>
                <w:sz w:val="16"/>
                <w:szCs w:val="16"/>
              </w:rPr>
              <w:t xml:space="preserve">FT-D10 pending</w:t>
            </w:r>
          </w:p>
        </w:tc>
      </w:tr>
      <w:tr>
        <w:trPr>
          <w:cantSplit/>
        </w:trPr>
        <w:tc>
          <w:tcPr>
            <w:tcW w:w="1657" w:type="dxa"/>
          </w:tcPr>
          <w:p>
            <w:pPr>
              <w:spacing w:before="40" w:after="40" w:line="240" w:lineRule="auto"/>
            </w:pPr>
            <w:r>
              <w:rPr>
                <w:rFonts w:ascii="Segoe UI" w:hAnsi="Segoe UI" w:cs="Segoe UI" w:eastAsia="Segoe UI"/>
                <w:sz w:val="16"/>
                <w:szCs w:val="16"/>
              </w:rPr>
              <w:t xml:space="preserve">Petty cash</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Petty cash funds, requests, disbursements, receipts and replenishment</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BIR relief and summary reports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VAT summary, SAWT, QAP and the summary lists of sales and purchases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FT-D11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Withholding returns 0619-E and 1601-EQ with filing records, the annual alphalist 1604-E and the DAT files for the BIR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FT-D12 pending</w:t>
            </w:r>
          </w:p>
        </w:tc>
      </w:tr>
      <w:tr>
        <w:trPr>
          <w:cantSplit/>
        </w:trPr>
        <w:tc>
          <w:tcPr>
            <w:tcW w:w="1657" w:type="dxa"/>
          </w:tcPr>
          <w:p>
            <w:pPr>
              <w:spacing w:before="40" w:after="40" w:line="240" w:lineRule="auto"/>
            </w:pPr>
            <w:r>
              <w:rPr>
                <w:rFonts w:ascii="Segoe UI" w:hAnsi="Segoe UI" w:cs="Segoe UI" w:eastAsia="Segoe UI"/>
                <w:sz w:val="16"/>
                <w:szCs w:val="16"/>
              </w:rPr>
              <w:t xml:space="preserve">Percentage tax 2551Q</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Quarterly percentage tax return of a non-VAT broker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1162" w:type="dxa"/>
          </w:tcPr>
          <w:p>
            <w:pPr>
              <w:spacing w:before="40" w:after="40" w:line="240" w:lineRule="auto"/>
            </w:pPr>
            <w:r>
              <w:rPr>
                <w:rFonts w:ascii="Segoe UI" w:hAnsi="Segoe UI" w:cs="Segoe UI" w:eastAsia="Segoe UI"/>
                <w:sz w:val="16"/>
                <w:szCs w:val="16"/>
              </w:rPr>
              <w:t xml:space="preserve">FT-D13 pending</w:t>
            </w:r>
          </w:p>
        </w:tc>
      </w:tr>
      <w:tr>
        <w:trPr>
          <w:cantSplit/>
        </w:trPr>
        <w:tc>
          <w:tcPr>
            <w:tcW w:w="1657" w:type="dxa"/>
          </w:tcPr>
          <w:p>
            <w:pPr>
              <w:spacing w:before="40" w:after="40" w:line="240" w:lineRule="auto"/>
            </w:pPr>
            <w:r>
              <w:rPr>
                <w:rFonts w:ascii="Segoe UI" w:hAnsi="Segoe UI" w:cs="Segoe UI" w:eastAsia="Segoe UI"/>
                <w:sz w:val="16"/>
                <w:szCs w:val="16"/>
              </w:rPr>
              <w:t xml:space="preserve">BIR electronic invoicing (EIS)</w:t>
            </w:r>
          </w:p>
        </w:tc>
        <w:tc>
          <w:tcPr>
            <w:tcW w:w="1371" w:type="dxa"/>
          </w:tcPr>
          <w:p>
            <w:pPr>
              <w:spacing w:before="40" w:after="40" w:line="240" w:lineRule="auto"/>
            </w:pPr>
            <w:r>
              <w:rPr>
                <w:rFonts w:ascii="Segoe UI" w:hAnsi="Segoe UI" w:cs="Segoe UI" w:eastAsia="Segoe UI"/>
                <w:sz w:val="16"/>
                <w:szCs w:val="16"/>
              </w:rPr>
              <w:t xml:space="preserve">Accounts</w:t>
            </w:r>
          </w:p>
        </w:tc>
        <w:tc>
          <w:tcPr>
            <w:tcW w:w="2038" w:type="dxa"/>
          </w:tcPr>
          <w:p>
            <w:pPr>
              <w:spacing w:before="40" w:after="40" w:line="240" w:lineRule="auto"/>
            </w:pPr>
            <w:r>
              <w:rPr>
                <w:rFonts w:ascii="Segoe UI" w:hAnsi="Segoe UI" w:cs="Segoe UI" w:eastAsia="Segoe UI"/>
                <w:sz w:val="16"/>
                <w:szCs w:val="16"/>
              </w:rPr>
              <w:t xml:space="preserve">Submission of sales invoices to the BIR electronic invoicing system</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BIR 2307, sales invoices and CAS books</w:t>
            </w:r>
          </w:p>
        </w:tc>
        <w:tc>
          <w:tcPr>
            <w:tcW w:w="1162" w:type="dxa"/>
          </w:tcPr>
          <w:p>
            <w:pPr>
              <w:spacing w:before="40" w:after="40" w:line="240" w:lineRule="auto"/>
            </w:pPr>
            <w:r>
              <w:rPr>
                <w:rFonts w:ascii="Segoe UI" w:hAnsi="Segoe UI" w:cs="Segoe UI" w:eastAsia="Segoe UI"/>
                <w:sz w:val="16"/>
                <w:szCs w:val="16"/>
              </w:rPr>
              <w:t xml:space="preserve">FT-D14 pending</w:t>
            </w:r>
          </w:p>
        </w:tc>
      </w:tr>
      <w:tr>
        <w:trPr>
          <w:cantSplit/>
        </w:trPr>
        <w:tc>
          <w:tcPr>
            <w:tcW w:w="1657" w:type="dxa"/>
          </w:tcPr>
          <w:p>
            <w:pPr>
              <w:spacing w:before="40" w:after="40" w:line="240" w:lineRule="auto"/>
            </w:pPr>
            <w:r>
              <w:rPr>
                <w:rFonts w:ascii="Segoe UI" w:hAnsi="Segoe UI" w:cs="Segoe UI" w:eastAsia="Segoe UI"/>
                <w:sz w:val="16"/>
                <w:szCs w:val="16"/>
              </w:rPr>
              <w:t xml:space="preserve">Insurer overriding commission</w:t>
            </w:r>
          </w:p>
        </w:tc>
        <w:tc>
          <w:tcPr>
            <w:tcW w:w="1371" w:type="dxa"/>
          </w:tcPr>
          <w:p>
            <w:pPr>
              <w:spacing w:before="40" w:after="40" w:line="240" w:lineRule="auto"/>
            </w:pPr>
            <w:r>
              <w:rPr>
                <w:rFonts w:ascii="Segoe UI" w:hAnsi="Segoe UI" w:cs="Segoe UI" w:eastAsia="Segoe UI"/>
                <w:sz w:val="16"/>
                <w:szCs w:val="16"/>
              </w:rPr>
              <w:t xml:space="preserve">Commission</w:t>
            </w:r>
          </w:p>
        </w:tc>
        <w:tc>
          <w:tcPr>
            <w:tcW w:w="2038" w:type="dxa"/>
          </w:tcPr>
          <w:p>
            <w:pPr>
              <w:spacing w:before="40" w:after="40" w:line="240" w:lineRule="auto"/>
            </w:pPr>
            <w:r>
              <w:rPr>
                <w:rFonts w:ascii="Segoe UI" w:hAnsi="Segoe UI" w:cs="Segoe UI" w:eastAsia="Segoe UI"/>
                <w:sz w:val="16"/>
                <w:szCs w:val="16"/>
              </w:rPr>
              <w:t xml:space="preserve">Overriding, profit and contingent commission agreements with insurers and their computations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Co-insurance reports</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Co-insurance register and amounts due to insurers by co-insurer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Co-insurance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BI extract</w:t>
            </w:r>
          </w:p>
        </w:tc>
        <w:tc>
          <w:tcPr>
            <w:tcW w:w="1371" w:type="dxa"/>
          </w:tcPr>
          <w:p>
            <w:pPr>
              <w:spacing w:before="40" w:after="40" w:line="240" w:lineRule="auto"/>
            </w:pPr>
            <w:r>
              <w:rPr>
                <w:rFonts w:ascii="Segoe UI" w:hAnsi="Segoe UI" w:cs="Segoe UI" w:eastAsia="Segoe UI"/>
                <w:sz w:val="16"/>
                <w:szCs w:val="16"/>
              </w:rPr>
              <w:t xml:space="preserve">Reports</w:t>
            </w:r>
          </w:p>
        </w:tc>
        <w:tc>
          <w:tcPr>
            <w:tcW w:w="2038" w:type="dxa"/>
          </w:tcPr>
          <w:p>
            <w:pPr>
              <w:spacing w:before="40" w:after="40" w:line="240" w:lineRule="auto"/>
            </w:pPr>
            <w:r>
              <w:rPr>
                <w:rFonts w:ascii="Segoe UI" w:hAnsi="Segoe UI" w:cs="Segoe UI" w:eastAsia="Segoe UI"/>
                <w:sz w:val="16"/>
                <w:szCs w:val="16"/>
              </w:rPr>
              <w:t xml:space="preserve">Nightly CSV extract of the datasets for an external BI tool</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Report Builder</w:t>
            </w:r>
          </w:p>
        </w:tc>
        <w:tc>
          <w:tcPr>
            <w:tcW w:w="1162" w:type="dxa"/>
          </w:tcPr>
          <w:p>
            <w:pPr>
              <w:spacing w:before="40" w:after="40" w:line="240" w:lineRule="auto"/>
            </w:pPr>
            <w:r>
              <w:rPr>
                <w:rFonts w:ascii="Segoe UI" w:hAnsi="Segoe UI" w:cs="Segoe UI" w:eastAsia="Segoe UI"/>
                <w:sz w:val="16"/>
                <w:szCs w:val="16"/>
              </w:rPr>
              <w:t xml:space="preserve">FT-D15 pending</w:t>
            </w:r>
          </w:p>
        </w:tc>
      </w:tr>
      <w:tr>
        <w:trPr>
          <w:cantSplit/>
        </w:trPr>
        <w:tc>
          <w:tcPr>
            <w:tcW w:w="1657" w:type="dxa"/>
          </w:tcPr>
          <w:p>
            <w:pPr>
              <w:spacing w:before="40" w:after="40" w:line="240" w:lineRule="auto"/>
            </w:pPr>
            <w:r>
              <w:rPr>
                <w:rFonts w:ascii="Segoe UI" w:hAnsi="Segoe UI" w:cs="Segoe UI" w:eastAsia="Segoe UI"/>
                <w:sz w:val="16"/>
                <w:szCs w:val="16"/>
              </w:rPr>
              <w:t xml:space="preserve">Exchange rates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Dated foreign exchange rates for amounts in other currencies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Foreign currency premium and receipts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Online payment links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Card and e-wallet payment links with the public checkout page and the payment gateways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Package bundles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Multi-section bundles across insurers issued under one package policy number</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Insurer rate tables</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Insurer rate tables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One rate per insurer and product used by packages and comparisons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FT-D16 pending</w:t>
            </w:r>
          </w:p>
        </w:tc>
      </w:tr>
      <w:tr>
        <w:trPr>
          <w:cantSplit/>
        </w:trPr>
        <w:tc>
          <w:tcPr>
            <w:tcW w:w="1657" w:type="dxa"/>
          </w:tcPr>
          <w:p>
            <w:pPr>
              <w:spacing w:before="40" w:after="40" w:line="240" w:lineRule="auto"/>
            </w:pPr>
            <w:r>
              <w:rPr>
                <w:rFonts w:ascii="Segoe UI" w:hAnsi="Segoe UI" w:cs="Segoe UI" w:eastAsia="Segoe UI"/>
                <w:sz w:val="16"/>
                <w:szCs w:val="16"/>
              </w:rPr>
              <w:t xml:space="preserve">Automated remittance master</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Earlier remittance configuration: automated remittance, statement template and settlement parameters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SMS and Viber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SMS and Viber templates, SMS renewal notices and payment reminders through the SMS connectors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Inbound integration messages</w:t>
            </w:r>
          </w:p>
        </w:tc>
        <w:tc>
          <w:tcPr>
            <w:tcW w:w="1371" w:type="dxa"/>
          </w:tcPr>
          <w:p>
            <w:pPr>
              <w:spacing w:before="40" w:after="40" w:line="240" w:lineRule="auto"/>
            </w:pPr>
            <w:r>
              <w:rPr>
                <w:rFonts w:ascii="Segoe UI" w:hAnsi="Segoe UI" w:cs="Segoe UI" w:eastAsia="Segoe UI"/>
                <w:sz w:val="16"/>
                <w:szCs w:val="16"/>
              </w:rPr>
              <w:t xml:space="preserve">Master data</w:t>
            </w:r>
          </w:p>
        </w:tc>
        <w:tc>
          <w:tcPr>
            <w:tcW w:w="2038" w:type="dxa"/>
          </w:tcPr>
          <w:p>
            <w:pPr>
              <w:spacing w:before="40" w:after="40" w:line="240" w:lineRule="auto"/>
            </w:pPr>
            <w:r>
              <w:rPr>
                <w:rFonts w:ascii="Segoe UI" w:hAnsi="Segoe UI" w:cs="Segoe UI" w:eastAsia="Segoe UI"/>
                <w:sz w:val="16"/>
                <w:szCs w:val="16"/>
              </w:rPr>
              <w:t xml:space="preserve">Public endpoint receiving signed messages pushed by third parties</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r>
        <w:trPr>
          <w:cantSplit/>
        </w:trPr>
        <w:tc>
          <w:tcPr>
            <w:tcW w:w="1657" w:type="dxa"/>
          </w:tcPr>
          <w:p>
            <w:pPr>
              <w:spacing w:before="40" w:after="40" w:line="240" w:lineRule="auto"/>
            </w:pPr>
            <w:r>
              <w:rPr>
                <w:rFonts w:ascii="Segoe UI" w:hAnsi="Segoe UI" w:cs="Segoe UI" w:eastAsia="Segoe UI"/>
                <w:sz w:val="16"/>
                <w:szCs w:val="16"/>
              </w:rPr>
              <w:t xml:space="preserve">Product analytics</w:t>
            </w:r>
          </w:p>
        </w:tc>
        <w:tc>
          <w:tcPr>
            <w:tcW w:w="1371" w:type="dxa"/>
          </w:tcPr>
          <w:p>
            <w:pPr>
              <w:spacing w:before="40" w:after="40" w:line="240" w:lineRule="auto"/>
            </w:pPr>
            <w:r>
              <w:rPr>
                <w:rFonts w:ascii="Segoe UI" w:hAnsi="Segoe UI" w:cs="Segoe UI" w:eastAsia="Segoe UI"/>
                <w:sz w:val="16"/>
                <w:szCs w:val="16"/>
              </w:rPr>
              <w:t xml:space="preserve">Product Configurator</w:t>
            </w:r>
          </w:p>
        </w:tc>
        <w:tc>
          <w:tcPr>
            <w:tcW w:w="2038" w:type="dxa"/>
          </w:tcPr>
          <w:p>
            <w:pPr>
              <w:spacing w:before="40" w:after="40" w:line="240" w:lineRule="auto"/>
            </w:pPr>
            <w:r>
              <w:rPr>
                <w:rFonts w:ascii="Segoe UI" w:hAnsi="Segoe UI" w:cs="Segoe UI" w:eastAsia="Segoe UI"/>
                <w:sz w:val="16"/>
                <w:szCs w:val="16"/>
              </w:rPr>
              <w:t xml:space="preserve">Top products, trends and category breakdown</w:t>
            </w:r>
          </w:p>
        </w:tc>
        <w:tc>
          <w:tcPr>
            <w:tcW w:w="1424" w:type="dxa"/>
          </w:tcPr>
          <w:p>
            <w:pPr>
              <w:spacing w:before="40" w:after="40" w:line="240" w:lineRule="auto"/>
            </w:pPr>
            <w:r>
              <w:rPr>
                <w:rFonts w:ascii="Segoe UI" w:hAnsi="Segoe UI" w:cs="Segoe UI" w:eastAsia="Segoe UI"/>
                <w:sz w:val="16"/>
                <w:szCs w:val="16"/>
              </w:rPr>
              <w:t xml:space="preserve">-</w:t>
            </w:r>
          </w:p>
        </w:tc>
        <w:tc>
          <w:tcPr>
            <w:tcW w:w="1375" w:type="dxa"/>
          </w:tcPr>
          <w:p>
            <w:pPr>
              <w:spacing w:before="40" w:after="40" w:line="240" w:lineRule="auto"/>
            </w:pPr>
            <w:r>
              <w:rPr>
                <w:rFonts w:ascii="Segoe UI" w:hAnsi="Segoe UI" w:cs="Segoe UI" w:eastAsia="Segoe UI"/>
                <w:sz w:val="16"/>
                <w:szCs w:val="16"/>
              </w:rPr>
              <w:t xml:space="preserve">-</w:t>
            </w:r>
          </w:p>
        </w:tc>
        <w:tc>
          <w:tcPr>
            <w:tcW w:w="1162"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0" w:name="_Toc300001010"/>
      <w:r>
        <w:rPr>
          <w:rFonts w:ascii="Segoe UI" w:hAnsi="Segoe UI" w:cs="Segoe UI" w:eastAsia="Segoe UI"/>
        </w:rPr>
        <w:t xml:space="preserve">Decisions for TISPH</w:t>
      </w:r>
      <w:bookmarkEnd w:id="1010"/>
    </w:p>
    <w:p xmlns:a="http://schemas.openxmlformats.org/drawingml/2006/main" xmlns:pic="http://schemas.openxmlformats.org/drawingml/2006/picture">
      <w:pPr>
        <w:jc w:val="both"/>
      </w:pPr>
      <w:r>
        <w:rPr>
          <w:rFonts w:ascii="Segoe UI" w:hAnsi="Segoe UI" w:cs="Segoe UI" w:eastAsia="Segoe UI"/>
        </w:rPr>
        <w:t xml:space="preserve">The functions below are classified on the proposal shown and flagged "Decision pending" on the Features &amp; Releases screen until TISPH answers.</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797"/>
        <w:gridCol w:w="1805"/>
        <w:gridCol w:w="2997"/>
        <w:gridCol w:w="1922"/>
        <w:gridCol w:w="1506"/>
      </w:tblGrid>
      <w:tr>
        <w:trPr>
          <w:cantSplit/>
          <w:tblHeader/>
          <w:trHeight w:val="400"/>
        </w:trPr>
        <w:tc>
          <w:tcPr>
            <w:tcW w:w="797" w:type="dxa"/>
            <w:shd w:val="clear" w:color="auto" w:fill="E8F0F8"/>
            <w:vAlign w:val="center"/>
          </w:tcPr>
          <w:p>
            <w:pPr>
              <w:spacing w:before="40" w:after="40" w:line="240" w:lineRule="auto"/>
            </w:pPr>
            <w:r>
              <w:rPr>
                <w:rFonts w:ascii="Segoe UI" w:hAnsi="Segoe UI" w:cs="Segoe UI" w:eastAsia="Segoe UI"/>
                <w:b/>
                <w:bCs/>
                <w:sz w:val="16"/>
                <w:szCs w:val="16"/>
              </w:rPr>
              <w:t xml:space="preserve">ID</w:t>
            </w:r>
          </w:p>
        </w:tc>
        <w:tc>
          <w:tcPr>
            <w:tcW w:w="180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2997" w:type="dxa"/>
            <w:shd w:val="clear" w:color="auto" w:fill="E8F0F8"/>
            <w:vAlign w:val="center"/>
          </w:tcPr>
          <w:p>
            <w:pPr>
              <w:spacing w:before="40" w:after="40" w:line="240" w:lineRule="auto"/>
            </w:pPr>
            <w:r>
              <w:rPr>
                <w:rFonts w:ascii="Segoe UI" w:hAnsi="Segoe UI" w:cs="Segoe UI" w:eastAsia="Segoe UI"/>
                <w:b/>
                <w:bCs/>
                <w:sz w:val="16"/>
                <w:szCs w:val="16"/>
              </w:rPr>
              <w:t xml:space="preserve">Question</w:t>
            </w:r>
          </w:p>
        </w:tc>
        <w:tc>
          <w:tcPr>
            <w:tcW w:w="1922" w:type="dxa"/>
            <w:shd w:val="clear" w:color="auto" w:fill="E8F0F8"/>
            <w:vAlign w:val="center"/>
          </w:tcPr>
          <w:p>
            <w:pPr>
              <w:spacing w:before="40" w:after="40" w:line="240" w:lineRule="auto"/>
            </w:pPr>
            <w:r>
              <w:rPr>
                <w:rFonts w:ascii="Segoe UI" w:hAnsi="Segoe UI" w:cs="Segoe UI" w:eastAsia="Segoe UI"/>
                <w:b/>
                <w:bCs/>
                <w:sz w:val="16"/>
                <w:szCs w:val="16"/>
              </w:rPr>
              <w:t xml:space="preserve">Options</w:t>
            </w:r>
          </w:p>
        </w:tc>
        <w:tc>
          <w:tcPr>
            <w:tcW w:w="1506" w:type="dxa"/>
            <w:shd w:val="clear" w:color="auto" w:fill="E8F0F8"/>
            <w:vAlign w:val="center"/>
          </w:tcPr>
          <w:p>
            <w:pPr>
              <w:spacing w:before="40" w:after="40" w:line="240" w:lineRule="auto"/>
            </w:pPr>
            <w:r>
              <w:rPr>
                <w:rFonts w:ascii="Segoe UI" w:hAnsi="Segoe UI" w:cs="Segoe UI" w:eastAsia="Segoe UI"/>
                <w:b/>
                <w:bCs/>
                <w:sz w:val="16"/>
                <w:szCs w:val="16"/>
              </w:rPr>
              <w:t xml:space="preserve">Classified as</w:t>
            </w:r>
          </w:p>
        </w:tc>
      </w:tr>
      <w:tr>
        <w:trPr>
          <w:cantSplit/>
        </w:trPr>
        <w:tc>
          <w:tcPr>
            <w:tcW w:w="797" w:type="dxa"/>
          </w:tcPr>
          <w:p>
            <w:pPr>
              <w:spacing w:before="40" w:after="40" w:line="240" w:lineRule="auto"/>
            </w:pPr>
            <w:r>
              <w:rPr>
                <w:rFonts w:ascii="Segoe UI" w:hAnsi="Segoe UI" w:cs="Segoe UI" w:eastAsia="Segoe UI"/>
                <w:sz w:val="16"/>
                <w:szCs w:val="16"/>
              </w:rPr>
              <w:t xml:space="preserve">FT-D01</w:t>
            </w:r>
          </w:p>
        </w:tc>
        <w:tc>
          <w:tcPr>
            <w:tcW w:w="1805" w:type="dxa"/>
          </w:tcPr>
          <w:p>
            <w:pPr>
              <w:spacing w:before="40" w:after="40" w:line="240" w:lineRule="auto"/>
            </w:pPr>
            <w:r>
              <w:rPr>
                <w:rFonts w:ascii="Segoe UI" w:hAnsi="Segoe UI" w:cs="Segoe UI" w:eastAsia="Segoe UI"/>
                <w:sz w:val="16"/>
                <w:szCs w:val="16"/>
              </w:rPr>
              <w:t xml:space="preserve">Fixed assets</w:t>
            </w:r>
          </w:p>
        </w:tc>
        <w:tc>
          <w:tcPr>
            <w:tcW w:w="2997" w:type="dxa"/>
          </w:tcPr>
          <w:p>
            <w:pPr>
              <w:spacing w:before="40" w:after="40" w:line="240" w:lineRule="auto"/>
            </w:pPr>
            <w:r>
              <w:rPr>
                <w:rFonts w:ascii="Segoe UI" w:hAnsi="Segoe UI" w:cs="Segoe UI" w:eastAsia="Segoe UI"/>
                <w:sz w:val="16"/>
                <w:szCs w:val="16"/>
              </w:rPr>
              <w:t xml:space="preserve">MOM-S5-AP-ASSET-MASTER (Phase 1) asks for an asset master at requisition while fixed assets (TIS-BRD-NIA-07) are Phase 2. Does the asset master go live in Phase 1?</w:t>
            </w:r>
          </w:p>
        </w:tc>
        <w:tc>
          <w:tcPr>
            <w:tcW w:w="1922" w:type="dxa"/>
          </w:tcPr>
          <w:p>
            <w:pPr>
              <w:spacing w:before="40" w:after="40" w:line="240" w:lineRule="auto"/>
            </w:pPr>
            <w:r>
              <w:rPr>
                <w:rFonts w:ascii="Segoe UI" w:hAnsi="Segoe UI" w:cs="Segoe UI" w:eastAsia="Segoe UI"/>
                <w:sz w:val="16"/>
                <w:szCs w:val="16"/>
              </w:rPr>
              <w:t xml:space="preserve">Phase 2 (enable with Phase 2); Asset master in Phase 1</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FT-D02</w:t>
            </w:r>
          </w:p>
        </w:tc>
        <w:tc>
          <w:tcPr>
            <w:tcW w:w="1805" w:type="dxa"/>
          </w:tcPr>
          <w:p>
            <w:pPr>
              <w:spacing w:before="40" w:after="40" w:line="240" w:lineRule="auto"/>
            </w:pPr>
            <w:r>
              <w:rPr>
                <w:rFonts w:ascii="Segoe UI" w:hAnsi="Segoe UI" w:cs="Segoe UI" w:eastAsia="Segoe UI"/>
                <w:sz w:val="16"/>
                <w:szCs w:val="16"/>
              </w:rPr>
              <w:t xml:space="preserve">Sales dashboard</w:t>
            </w:r>
          </w:p>
        </w:tc>
        <w:tc>
          <w:tcPr>
            <w:tcW w:w="2997" w:type="dxa"/>
          </w:tcPr>
          <w:p>
            <w:pPr>
              <w:spacing w:before="40" w:after="40" w:line="240" w:lineRule="auto"/>
            </w:pPr>
            <w:r>
              <w:rPr>
                <w:rFonts w:ascii="Segoe UI" w:hAnsi="Segoe UI" w:cs="Segoe UI" w:eastAsia="Segoe UI"/>
                <w:sz w:val="16"/>
                <w:szCs w:val="16"/>
              </w:rPr>
              <w:t xml:space="preserve">TIS-BRD-RPT-02 (Phase 1) names the same measures as the Phase 2 dashboards DSH-05 to DSH-07. Is the Sales Dashboard the Phase 1 delivery of RPT-02 (always on) or a Phase 2 dashboard?</w:t>
            </w:r>
          </w:p>
        </w:tc>
        <w:tc>
          <w:tcPr>
            <w:tcW w:w="1922" w:type="dxa"/>
          </w:tcPr>
          <w:p>
            <w:pPr>
              <w:spacing w:before="40" w:after="40" w:line="240" w:lineRule="auto"/>
            </w:pPr>
            <w:r>
              <w:rPr>
                <w:rFonts w:ascii="Segoe UI" w:hAnsi="Segoe UI" w:cs="Segoe UI" w:eastAsia="Segoe UI"/>
                <w:sz w:val="16"/>
                <w:szCs w:val="16"/>
              </w:rPr>
              <w:t xml:space="preserve">Phase 1 (RPT-02 delivery, always on); Phase 2 (enable with Phase 2)</w:t>
            </w:r>
          </w:p>
        </w:tc>
        <w:tc>
          <w:tcPr>
            <w:tcW w:w="1506" w:type="dxa"/>
          </w:tcPr>
          <w:p>
            <w:pPr>
              <w:spacing w:before="40" w:after="40" w:line="240" w:lineRule="auto"/>
            </w:pPr>
            <w:r>
              <w:rPr>
                <w:rFonts w:ascii="Segoe UI" w:hAnsi="Segoe UI" w:cs="Segoe UI" w:eastAsia="Segoe UI"/>
                <w:sz w:val="16"/>
                <w:szCs w:val="16"/>
              </w:rPr>
              <w:t xml:space="preserve">Phase 2,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FT-D03</w:t>
            </w:r>
          </w:p>
        </w:tc>
        <w:tc>
          <w:tcPr>
            <w:tcW w:w="1805" w:type="dxa"/>
          </w:tcPr>
          <w:p>
            <w:pPr>
              <w:spacing w:before="40" w:after="40" w:line="240" w:lineRule="auto"/>
            </w:pPr>
            <w:r>
              <w:rPr>
                <w:rFonts w:ascii="Segoe UI" w:hAnsi="Segoe UI" w:cs="Segoe UI" w:eastAsia="Segoe UI"/>
                <w:sz w:val="16"/>
                <w:szCs w:val="16"/>
              </w:rPr>
              <w:t xml:space="preserve">Comparison reports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but TIS-BRD-PJRN-05 shares the PA quotation with every partner. Are comparison reports wanted, for PA only?</w:t>
            </w:r>
          </w:p>
        </w:tc>
        <w:tc>
          <w:tcPr>
            <w:tcW w:w="1922" w:type="dxa"/>
          </w:tcPr>
          <w:p>
            <w:pPr>
              <w:spacing w:before="40" w:after="40" w:line="240" w:lineRule="auto"/>
            </w:pPr>
            <w:r>
              <w:rPr>
                <w:rFonts w:ascii="Segoe UI" w:hAnsi="Segoe UI" w:cs="Segoe UI" w:eastAsia="Segoe UI"/>
                <w:sz w:val="16"/>
                <w:szCs w:val="16"/>
              </w:rPr>
              <w:t xml:space="preserve">Not wanted; Personal Accident only; Every line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FT-D04</w:t>
            </w:r>
          </w:p>
        </w:tc>
        <w:tc>
          <w:tcPr>
            <w:tcW w:w="1805" w:type="dxa"/>
          </w:tcPr>
          <w:p>
            <w:pPr>
              <w:spacing w:before="40" w:after="40" w:line="240" w:lineRule="auto"/>
            </w:pPr>
            <w:r>
              <w:rPr>
                <w:rFonts w:ascii="Segoe UI" w:hAnsi="Segoe UI" w:cs="Segoe UI" w:eastAsia="Segoe UI"/>
                <w:sz w:val="16"/>
                <w:szCs w:val="16"/>
              </w:rPr>
              <w:t xml:space="preserve">Requests for quotation to several insurers</w:t>
            </w:r>
          </w:p>
        </w:tc>
        <w:tc>
          <w:tcPr>
            <w:tcW w:w="2997" w:type="dxa"/>
          </w:tcPr>
          <w:p>
            <w:pPr>
              <w:spacing w:before="40" w:after="40" w:line="240" w:lineRule="auto"/>
            </w:pPr>
            <w:r>
              <w:rPr>
                <w:rFonts w:ascii="Segoe UI" w:hAnsi="Segoe UI" w:cs="Segoe UI" w:eastAsia="Segoe UI"/>
                <w:sz w:val="16"/>
                <w:szCs w:val="16"/>
              </w:rPr>
              <w:t xml:space="preserve">Placement is one insurer per client (MOM s.4). Keep multi-insurer requests for quotation for Personal Accident only?</w:t>
            </w:r>
          </w:p>
        </w:tc>
        <w:tc>
          <w:tcPr>
            <w:tcW w:w="1922" w:type="dxa"/>
          </w:tcPr>
          <w:p>
            <w:pPr>
              <w:spacing w:before="40" w:after="40" w:line="240" w:lineRule="auto"/>
            </w:pPr>
            <w:r>
              <w:rPr>
                <w:rFonts w:ascii="Segoe UI" w:hAnsi="Segoe UI" w:cs="Segoe UI" w:eastAsia="Segoe UI"/>
                <w:sz w:val="16"/>
                <w:szCs w:val="16"/>
              </w:rPr>
              <w:t xml:space="preserve">Not wanted; Personal Accident only</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FT-D05</w:t>
            </w:r>
          </w:p>
        </w:tc>
        <w:tc>
          <w:tcPr>
            <w:tcW w:w="1805" w:type="dxa"/>
          </w:tcPr>
          <w:p>
            <w:pPr>
              <w:spacing w:before="40" w:after="40" w:line="240" w:lineRule="auto"/>
            </w:pPr>
            <w:r>
              <w:rPr>
                <w:rFonts w:ascii="Segoe UI" w:hAnsi="Segoe UI" w:cs="Segoe UI" w:eastAsia="Segoe UI"/>
                <w:sz w:val="16"/>
                <w:szCs w:val="16"/>
              </w:rPr>
              <w:t xml:space="preserve">Marketing campaigns</w:t>
            </w:r>
          </w:p>
        </w:tc>
        <w:tc>
          <w:tcPr>
            <w:tcW w:w="2997" w:type="dxa"/>
          </w:tcPr>
          <w:p>
            <w:pPr>
              <w:spacing w:before="40" w:after="40" w:line="240" w:lineRule="auto"/>
            </w:pPr>
            <w:r>
              <w:rPr>
                <w:rFonts w:ascii="Segoe UI" w:hAnsi="Segoe UI" w:cs="Segoe UI" w:eastAsia="Segoe UI"/>
                <w:sz w:val="16"/>
                <w:szCs w:val="16"/>
              </w:rPr>
              <w:t xml:space="preserve">No BRD or FRS requirement asks for marketing campaigns (NFR-17.1 covers consent and opt-out only). Are campaigns wanted?</w:t>
            </w:r>
          </w:p>
        </w:tc>
        <w:tc>
          <w:tcPr>
            <w:tcW w:w="1922" w:type="dxa"/>
          </w:tcPr>
          <w:p>
            <w:pPr>
              <w:spacing w:before="40" w:after="40" w:line="240" w:lineRule="auto"/>
            </w:pPr>
            <w:r>
              <w:rPr>
                <w:rFonts w:ascii="Segoe UI" w:hAnsi="Segoe UI" w:cs="Segoe UI" w:eastAsia="Segoe UI"/>
                <w:sz w:val="16"/>
                <w:szCs w:val="16"/>
              </w:rPr>
              <w:t xml:space="preserve">Not wanted; Wanted in a later release</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FT-D06</w:t>
            </w:r>
          </w:p>
        </w:tc>
        <w:tc>
          <w:tcPr>
            <w:tcW w:w="1805" w:type="dxa"/>
          </w:tcPr>
          <w:p>
            <w:pPr>
              <w:spacing w:before="40" w:after="40" w:line="240" w:lineRule="auto"/>
            </w:pPr>
            <w:r>
              <w:rPr>
                <w:rFonts w:ascii="Segoe UI" w:hAnsi="Segoe UI" w:cs="Segoe UI" w:eastAsia="Segoe UI"/>
                <w:sz w:val="16"/>
                <w:szCs w:val="16"/>
              </w:rPr>
              <w:t xml:space="preserve">Online quotation approval by the client</w:t>
            </w:r>
          </w:p>
        </w:tc>
        <w:tc>
          <w:tcPr>
            <w:tcW w:w="2997" w:type="dxa"/>
          </w:tcPr>
          <w:p>
            <w:pPr>
              <w:spacing w:before="40" w:after="40" w:line="240" w:lineRule="auto"/>
            </w:pPr>
            <w:r>
              <w:rPr>
                <w:rFonts w:ascii="Segoe UI" w:hAnsi="Segoe UI" w:cs="Segoe UI" w:eastAsia="Segoe UI"/>
                <w:sz w:val="16"/>
                <w:szCs w:val="16"/>
              </w:rPr>
              <w:t xml:space="preserve">TIS-BRD-QUOT-03 asks for internal maker-checker approval and an e-mailed PDF. Should clients also approve quotations through a link?</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FT-D07</w:t>
            </w:r>
          </w:p>
        </w:tc>
        <w:tc>
          <w:tcPr>
            <w:tcW w:w="1805" w:type="dxa"/>
          </w:tcPr>
          <w:p>
            <w:pPr>
              <w:spacing w:before="40" w:after="40" w:line="240" w:lineRule="auto"/>
            </w:pPr>
            <w:r>
              <w:rPr>
                <w:rFonts w:ascii="Segoe UI" w:hAnsi="Segoe UI" w:cs="Segoe UI" w:eastAsia="Segoe UI"/>
                <w:sz w:val="16"/>
                <w:szCs w:val="16"/>
              </w:rPr>
              <w:t xml:space="preserve">Product recommendation step</w:t>
            </w:r>
          </w:p>
        </w:tc>
        <w:tc>
          <w:tcPr>
            <w:tcW w:w="2997" w:type="dxa"/>
          </w:tcPr>
          <w:p>
            <w:pPr>
              <w:spacing w:before="40" w:after="40" w:line="240" w:lineRule="auto"/>
            </w:pPr>
            <w:r>
              <w:rPr>
                <w:rFonts w:ascii="Segoe UI" w:hAnsi="Segoe UI" w:cs="Segoe UI" w:eastAsia="Segoe UI"/>
                <w:sz w:val="16"/>
                <w:szCs w:val="16"/>
              </w:rPr>
              <w:t xml:space="preserve">The motor quotation wizard offers a product recommendation step that no requirement names. Keep the step?</w:t>
            </w:r>
          </w:p>
        </w:tc>
        <w:tc>
          <w:tcPr>
            <w:tcW w:w="1922" w:type="dxa"/>
          </w:tcPr>
          <w:p>
            <w:pPr>
              <w:spacing w:before="40" w:after="40" w:line="240" w:lineRule="auto"/>
            </w:pPr>
            <w:r>
              <w:rPr>
                <w:rFonts w:ascii="Segoe UI" w:hAnsi="Segoe UI" w:cs="Segoe UI" w:eastAsia="Segoe UI"/>
                <w:sz w:val="16"/>
                <w:szCs w:val="16"/>
              </w:rPr>
              <w:t xml:space="preserve">Skip the step; Keep the step</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FT-D08</w:t>
            </w:r>
          </w:p>
        </w:tc>
        <w:tc>
          <w:tcPr>
            <w:tcW w:w="1805" w:type="dxa"/>
          </w:tcPr>
          <w:p>
            <w:pPr>
              <w:spacing w:before="40" w:after="40" w:line="240" w:lineRule="auto"/>
            </w:pPr>
            <w:r>
              <w:rPr>
                <w:rFonts w:ascii="Segoe UI" w:hAnsi="Segoe UI" w:cs="Segoe UI" w:eastAsia="Segoe UI"/>
                <w:sz w:val="16"/>
                <w:szCs w:val="16"/>
              </w:rPr>
              <w:t xml:space="preserve">CTPL authentication</w:t>
            </w:r>
          </w:p>
        </w:tc>
        <w:tc>
          <w:tcPr>
            <w:tcW w:w="2997" w:type="dxa"/>
          </w:tcPr>
          <w:p>
            <w:pPr>
              <w:spacing w:before="40" w:after="40" w:line="240" w:lineRule="auto"/>
            </w:pPr>
            <w:r>
              <w:rPr>
                <w:rFonts w:ascii="Segoe UI" w:hAnsi="Segoe UI" w:cs="Segoe UI" w:eastAsia="Segoe UI"/>
                <w:sz w:val="16"/>
                <w:szCs w:val="16"/>
              </w:rPr>
              <w:t xml:space="preserve">The broker does not issue policies (BRD 4.1) and no requirement asks for COC authentication. Is CTPL authentication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FT-D09</w:t>
            </w:r>
          </w:p>
        </w:tc>
        <w:tc>
          <w:tcPr>
            <w:tcW w:w="1805" w:type="dxa"/>
          </w:tcPr>
          <w:p>
            <w:pPr>
              <w:spacing w:before="40" w:after="40" w:line="240" w:lineRule="auto"/>
            </w:pPr>
            <w:r>
              <w:rPr>
                <w:rFonts w:ascii="Segoe UI" w:hAnsi="Segoe UI" w:cs="Segoe UI" w:eastAsia="Segoe UI"/>
                <w:sz w:val="16"/>
                <w:szCs w:val="16"/>
              </w:rPr>
              <w:t xml:space="preserve">Client credit limits</w:t>
            </w:r>
          </w:p>
        </w:tc>
        <w:tc>
          <w:tcPr>
            <w:tcW w:w="2997" w:type="dxa"/>
          </w:tcPr>
          <w:p>
            <w:pPr>
              <w:spacing w:before="40" w:after="40" w:line="240" w:lineRule="auto"/>
            </w:pPr>
            <w:r>
              <w:rPr>
                <w:rFonts w:ascii="Segoe UI" w:hAnsi="Segoe UI" w:cs="Segoe UI" w:eastAsia="Segoe UI"/>
                <w:sz w:val="16"/>
                <w:szCs w:val="16"/>
              </w:rPr>
              <w:t xml:space="preserve">MOM-S3-COLL-CREDIT-TERMS covers credit terms, not credit limits. Are client credit limits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FT-D10</w:t>
            </w:r>
          </w:p>
        </w:tc>
        <w:tc>
          <w:tcPr>
            <w:tcW w:w="1805" w:type="dxa"/>
          </w:tcPr>
          <w:p>
            <w:pPr>
              <w:spacing w:before="40" w:after="40" w:line="240" w:lineRule="auto"/>
            </w:pPr>
            <w:r>
              <w:rPr>
                <w:rFonts w:ascii="Segoe UI" w:hAnsi="Segoe UI" w:cs="Segoe UI" w:eastAsia="Segoe UI"/>
                <w:sz w:val="16"/>
                <w:szCs w:val="16"/>
              </w:rPr>
              <w:t xml:space="preserve">Claims paid through the broker</w:t>
            </w:r>
          </w:p>
        </w:tc>
        <w:tc>
          <w:tcPr>
            <w:tcW w:w="2997" w:type="dxa"/>
          </w:tcPr>
          <w:p>
            <w:pPr>
              <w:spacing w:before="40" w:after="40" w:line="240" w:lineRule="auto"/>
            </w:pPr>
            <w:r>
              <w:rPr>
                <w:rFonts w:ascii="Segoe UI" w:hAnsi="Segoe UI" w:cs="Segoe UI" w:eastAsia="Segoe UI"/>
                <w:sz w:val="16"/>
                <w:szCs w:val="16"/>
              </w:rPr>
              <w:t xml:space="preserve">TIS-BRD-CLAIM-05 covers the settlement status with the insurer. Do claim funds ever pass through TISPH?</w:t>
            </w:r>
          </w:p>
        </w:tc>
        <w:tc>
          <w:tcPr>
            <w:tcW w:w="1922" w:type="dxa"/>
          </w:tcPr>
          <w:p>
            <w:pPr>
              <w:spacing w:before="40" w:after="40" w:line="240" w:lineRule="auto"/>
            </w:pPr>
            <w:r>
              <w:rPr>
                <w:rFonts w:ascii="Segoe UI" w:hAnsi="Segoe UI" w:cs="Segoe UI" w:eastAsia="Segoe UI"/>
                <w:sz w:val="16"/>
                <w:szCs w:val="16"/>
              </w:rPr>
              <w:t xml:space="preserve">Never: not wanted; Yes: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FT-D11</w:t>
            </w:r>
          </w:p>
        </w:tc>
        <w:tc>
          <w:tcPr>
            <w:tcW w:w="1805" w:type="dxa"/>
          </w:tcPr>
          <w:p>
            <w:pPr>
              <w:spacing w:before="40" w:after="40" w:line="240" w:lineRule="auto"/>
            </w:pPr>
            <w:r>
              <w:rPr>
                <w:rFonts w:ascii="Segoe UI" w:hAnsi="Segoe UI" w:cs="Segoe UI" w:eastAsia="Segoe UI"/>
                <w:sz w:val="16"/>
                <w:szCs w:val="16"/>
              </w:rPr>
              <w:t xml:space="preserve">BIR relief and summary reports</w:t>
            </w:r>
          </w:p>
        </w:tc>
        <w:tc>
          <w:tcPr>
            <w:tcW w:w="2997" w:type="dxa"/>
          </w:tcPr>
          <w:p>
            <w:pPr>
              <w:spacing w:before="40" w:after="40" w:line="240" w:lineRule="auto"/>
            </w:pPr>
            <w:r>
              <w:rPr>
                <w:rFonts w:ascii="Segoe UI" w:hAnsi="Segoe UI" w:cs="Segoe UI" w:eastAsia="Segoe UI"/>
                <w:sz w:val="16"/>
                <w:szCs w:val="16"/>
              </w:rPr>
              <w:t xml:space="preserve">TIS-BRD-TAX-02 asks for a BIR report on criteria TISPH has not yet given (MOM s.16). Which BIR reports are wanted?</w:t>
            </w:r>
          </w:p>
        </w:tc>
        <w:tc>
          <w:tcPr>
            <w:tcW w:w="1922" w:type="dxa"/>
          </w:tcPr>
          <w:p>
            <w:pPr>
              <w:spacing w:before="40" w:after="40" w:line="240" w:lineRule="auto"/>
            </w:pPr>
            <w:r>
              <w:rPr>
                <w:rFonts w:ascii="Segoe UI" w:hAnsi="Segoe UI" w:cs="Segoe UI" w:eastAsia="Segoe UI"/>
                <w:sz w:val="16"/>
                <w:szCs w:val="16"/>
              </w:rPr>
              <w:t xml:space="preserve">VAT summary; SAWT; QAP; SLSP sales and purchases;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FT-D12</w:t>
            </w:r>
          </w:p>
        </w:tc>
        <w:tc>
          <w:tcPr>
            <w:tcW w:w="180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2997" w:type="dxa"/>
          </w:tcPr>
          <w:p>
            <w:pPr>
              <w:spacing w:before="40" w:after="40" w:line="240" w:lineRule="auto"/>
            </w:pPr>
            <w:r>
              <w:rPr>
                <w:rFonts w:ascii="Segoe UI" w:hAnsi="Segoe UI" w:cs="Segoe UI" w:eastAsia="Segoe UI"/>
                <w:sz w:val="16"/>
                <w:szCs w:val="16"/>
              </w:rPr>
              <w:t xml:space="preserve">Which BIR returns does TISPH want the system to prepare (0619-E, 1601-EQ, 1604-E, DAT files)?</w:t>
            </w:r>
          </w:p>
        </w:tc>
        <w:tc>
          <w:tcPr>
            <w:tcW w:w="1922" w:type="dxa"/>
          </w:tcPr>
          <w:p>
            <w:pPr>
              <w:spacing w:before="40" w:after="40" w:line="240" w:lineRule="auto"/>
            </w:pPr>
            <w:r>
              <w:rPr>
                <w:rFonts w:ascii="Segoe UI" w:hAnsi="Segoe UI" w:cs="Segoe UI" w:eastAsia="Segoe UI"/>
                <w:sz w:val="16"/>
                <w:szCs w:val="16"/>
              </w:rPr>
              <w:t xml:space="preserve">All; Withholding returns only; None for now</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FT-D13</w:t>
            </w:r>
          </w:p>
        </w:tc>
        <w:tc>
          <w:tcPr>
            <w:tcW w:w="1805" w:type="dxa"/>
          </w:tcPr>
          <w:p>
            <w:pPr>
              <w:spacing w:before="40" w:after="40" w:line="240" w:lineRule="auto"/>
            </w:pPr>
            <w:r>
              <w:rPr>
                <w:rFonts w:ascii="Segoe UI" w:hAnsi="Segoe UI" w:cs="Segoe UI" w:eastAsia="Segoe UI"/>
                <w:sz w:val="16"/>
                <w:szCs w:val="16"/>
              </w:rPr>
              <w:t xml:space="preserve">Percentage tax 2551Q</w:t>
            </w:r>
          </w:p>
        </w:tc>
        <w:tc>
          <w:tcPr>
            <w:tcW w:w="2997" w:type="dxa"/>
          </w:tcPr>
          <w:p>
            <w:pPr>
              <w:spacing w:before="40" w:after="40" w:line="240" w:lineRule="auto"/>
            </w:pPr>
            <w:r>
              <w:rPr>
                <w:rFonts w:ascii="Segoe UI" w:hAnsi="Segoe UI" w:cs="Segoe UI" w:eastAsia="Segoe UI"/>
                <w:sz w:val="16"/>
                <w:szCs w:val="16"/>
              </w:rPr>
              <w:t xml:space="preserve">TISPH is VAT-registered. Is the percentage tax return 2551Q ever needed?</w:t>
            </w:r>
          </w:p>
        </w:tc>
        <w:tc>
          <w:tcPr>
            <w:tcW w:w="1922" w:type="dxa"/>
          </w:tcPr>
          <w:p>
            <w:pPr>
              <w:spacing w:before="40" w:after="40" w:line="240" w:lineRule="auto"/>
            </w:pPr>
            <w:r>
              <w:rPr>
                <w:rFonts w:ascii="Segoe UI" w:hAnsi="Segoe UI" w:cs="Segoe UI" w:eastAsia="Segoe UI"/>
                <w:sz w:val="16"/>
                <w:szCs w:val="16"/>
              </w:rPr>
              <w:t xml:space="preserve">Not needed; Needed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FT-D14</w:t>
            </w:r>
          </w:p>
        </w:tc>
        <w:tc>
          <w:tcPr>
            <w:tcW w:w="1805" w:type="dxa"/>
          </w:tcPr>
          <w:p>
            <w:pPr>
              <w:spacing w:before="40" w:after="40" w:line="240" w:lineRule="auto"/>
            </w:pPr>
            <w:r>
              <w:rPr>
                <w:rFonts w:ascii="Segoe UI" w:hAnsi="Segoe UI" w:cs="Segoe UI" w:eastAsia="Segoe UI"/>
                <w:sz w:val="16"/>
                <w:szCs w:val="16"/>
              </w:rPr>
              <w:t xml:space="preserve">BIR electronic invoicing (EIS)</w:t>
            </w:r>
          </w:p>
        </w:tc>
        <w:tc>
          <w:tcPr>
            <w:tcW w:w="2997" w:type="dxa"/>
          </w:tcPr>
          <w:p>
            <w:pPr>
              <w:spacing w:before="40" w:after="40" w:line="240" w:lineRule="auto"/>
            </w:pPr>
            <w:r>
              <w:rPr>
                <w:rFonts w:ascii="Segoe UI" w:hAnsi="Segoe UI" w:cs="Segoe UI" w:eastAsia="Segoe UI"/>
                <w:sz w:val="16"/>
                <w:szCs w:val="16"/>
              </w:rPr>
              <w:t xml:space="preserve">Is TISPH required to submit invoices to the BIR EIS?</w:t>
            </w:r>
          </w:p>
        </w:tc>
        <w:tc>
          <w:tcPr>
            <w:tcW w:w="1922" w:type="dxa"/>
          </w:tcPr>
          <w:p>
            <w:pPr>
              <w:spacing w:before="40" w:after="40" w:line="240" w:lineRule="auto"/>
            </w:pPr>
            <w:r>
              <w:rPr>
                <w:rFonts w:ascii="Segoe UI" w:hAnsi="Segoe UI" w:cs="Segoe UI" w:eastAsia="Segoe UI"/>
                <w:sz w:val="16"/>
                <w:szCs w:val="16"/>
              </w:rPr>
              <w:t xml:space="preserve">Not required; Required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FT-D15</w:t>
            </w:r>
          </w:p>
        </w:tc>
        <w:tc>
          <w:tcPr>
            <w:tcW w:w="1805" w:type="dxa"/>
          </w:tcPr>
          <w:p>
            <w:pPr>
              <w:spacing w:before="40" w:after="40" w:line="240" w:lineRule="auto"/>
            </w:pPr>
            <w:r>
              <w:rPr>
                <w:rFonts w:ascii="Segoe UI" w:hAnsi="Segoe UI" w:cs="Segoe UI" w:eastAsia="Segoe UI"/>
                <w:sz w:val="16"/>
                <w:szCs w:val="16"/>
              </w:rPr>
              <w:t xml:space="preserve">BI extract</w:t>
            </w:r>
          </w:p>
        </w:tc>
        <w:tc>
          <w:tcPr>
            <w:tcW w:w="2997" w:type="dxa"/>
          </w:tcPr>
          <w:p>
            <w:pPr>
              <w:spacing w:before="40" w:after="40" w:line="240" w:lineRule="auto"/>
            </w:pPr>
            <w:r>
              <w:rPr>
                <w:rFonts w:ascii="Segoe UI" w:hAnsi="Segoe UI" w:cs="Segoe UI" w:eastAsia="Segoe UI"/>
                <w:sz w:val="16"/>
                <w:szCs w:val="16"/>
              </w:rPr>
              <w:t xml:space="preserve">TIS-BRD-RPT-DSH-01 leaves the BI tool open (Power BI or in-app). Is a nightly extract for a BI tool wanted?</w:t>
            </w:r>
          </w:p>
        </w:tc>
        <w:tc>
          <w:tcPr>
            <w:tcW w:w="1922" w:type="dxa"/>
          </w:tcPr>
          <w:p>
            <w:pPr>
              <w:spacing w:before="40" w:after="40" w:line="240" w:lineRule="auto"/>
            </w:pPr>
            <w:r>
              <w:rPr>
                <w:rFonts w:ascii="Segoe UI" w:hAnsi="Segoe UI" w:cs="Segoe UI" w:eastAsia="Segoe UI"/>
                <w:sz w:val="16"/>
                <w:szCs w:val="16"/>
              </w:rPr>
              <w:t xml:space="preserve">Not wanted;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r>
        <w:trPr>
          <w:cantSplit/>
        </w:trPr>
        <w:tc>
          <w:tcPr>
            <w:tcW w:w="797" w:type="dxa"/>
          </w:tcPr>
          <w:p>
            <w:pPr>
              <w:spacing w:before="40" w:after="40" w:line="240" w:lineRule="auto"/>
            </w:pPr>
            <w:r>
              <w:rPr>
                <w:rFonts w:ascii="Segoe UI" w:hAnsi="Segoe UI" w:cs="Segoe UI" w:eastAsia="Segoe UI"/>
                <w:sz w:val="16"/>
                <w:szCs w:val="16"/>
              </w:rPr>
              <w:t xml:space="preserve">FT-D16</w:t>
            </w:r>
          </w:p>
        </w:tc>
        <w:tc>
          <w:tcPr>
            <w:tcW w:w="1805" w:type="dxa"/>
          </w:tcPr>
          <w:p>
            <w:pPr>
              <w:spacing w:before="40" w:after="40" w:line="240" w:lineRule="auto"/>
            </w:pPr>
            <w:r>
              <w:rPr>
                <w:rFonts w:ascii="Segoe UI" w:hAnsi="Segoe UI" w:cs="Segoe UI" w:eastAsia="Segoe UI"/>
                <w:sz w:val="16"/>
                <w:szCs w:val="16"/>
              </w:rPr>
              <w:t xml:space="preserve">Insurer rate tables</w:t>
            </w:r>
          </w:p>
        </w:tc>
        <w:tc>
          <w:tcPr>
            <w:tcW w:w="2997" w:type="dxa"/>
          </w:tcPr>
          <w:p>
            <w:pPr>
              <w:spacing w:before="40" w:after="40" w:line="240" w:lineRule="auto"/>
            </w:pPr>
            <w:r>
              <w:rPr>
                <w:rFonts w:ascii="Segoe UI" w:hAnsi="Segoe UI" w:cs="Segoe UI" w:eastAsia="Segoe UI"/>
                <w:sz w:val="16"/>
                <w:szCs w:val="16"/>
              </w:rPr>
              <w:t xml:space="preserve">TIS-BRD-PROD-13 asks for a rate card per insurer. Is it met by the Product Configurator rating, or are insurer rate tables wanted?</w:t>
            </w:r>
          </w:p>
        </w:tc>
        <w:tc>
          <w:tcPr>
            <w:tcW w:w="1922" w:type="dxa"/>
          </w:tcPr>
          <w:p>
            <w:pPr>
              <w:spacing w:before="40" w:after="40" w:line="240" w:lineRule="auto"/>
            </w:pPr>
            <w:r>
              <w:rPr>
                <w:rFonts w:ascii="Segoe UI" w:hAnsi="Segoe UI" w:cs="Segoe UI" w:eastAsia="Segoe UI"/>
                <w:sz w:val="16"/>
                <w:szCs w:val="16"/>
              </w:rPr>
              <w:t xml:space="preserve">Met by the Product Configurator; Insurer rate tables wanted</w:t>
            </w:r>
          </w:p>
        </w:tc>
        <w:tc>
          <w:tcPr>
            <w:tcW w:w="1506" w:type="dxa"/>
          </w:tcPr>
          <w:p>
            <w:pPr>
              <w:spacing w:before="40" w:after="40" w:line="240" w:lineRule="auto"/>
            </w:pPr>
            <w:r>
              <w:rPr>
                <w:rFonts w:ascii="Segoe UI" w:hAnsi="Segoe UI" w:cs="Segoe UI" w:eastAsia="Segoe UI"/>
                <w:sz w:val="16"/>
                <w:szCs w:val="16"/>
              </w:rPr>
              <w:t xml:space="preserve">Future release, not enabled</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1" w:name="_Toc300001011"/>
      <w:r>
        <w:rPr>
          <w:rFonts w:ascii="Segoe UI" w:hAnsi="Segoe UI" w:cs="Segoe UI" w:eastAsia="Segoe UI"/>
        </w:rPr>
        <w:t xml:space="preserve">What Phase 2 and Future Functions Control</w:t>
      </w:r>
      <w:bookmarkEnd w:id="1011"/>
    </w:p>
    <w:p xmlns:a="http://schemas.openxmlformats.org/drawingml/2006/main" xmlns:pic="http://schemas.openxmlformats.org/drawingml/2006/picture">
      <w:pPr>
        <w:jc w:val="both"/>
      </w:pPr>
      <w:r>
        <w:rPr>
          <w:rFonts w:ascii="Segoe UI" w:hAnsi="Segoe UI" w:cs="Segoe UI" w:eastAsia="Segoe UI"/>
        </w:rPr>
        <w:t xml:space="preserve">The menus, scheduled jobs, connectors and settings that appear or are switched on together with each function.</w:t>
      </w:r>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815"/>
        <w:gridCol w:w="970"/>
        <w:gridCol w:w="2128"/>
        <w:gridCol w:w="1714"/>
        <w:gridCol w:w="2400"/>
      </w:tblGrid>
      <w:tr>
        <w:trPr>
          <w:cantSplit/>
          <w:tblHeader/>
          <w:trHeight w:val="400"/>
        </w:trPr>
        <w:tc>
          <w:tcPr>
            <w:tcW w:w="1815" w:type="dxa"/>
            <w:shd w:val="clear" w:color="auto" w:fill="E8F0F8"/>
            <w:vAlign w:val="center"/>
          </w:tcPr>
          <w:p>
            <w:pPr>
              <w:spacing w:before="40" w:after="40" w:line="240" w:lineRule="auto"/>
            </w:pPr>
            <w:r>
              <w:rPr>
                <w:rFonts w:ascii="Segoe UI" w:hAnsi="Segoe UI" w:cs="Segoe UI" w:eastAsia="Segoe UI"/>
                <w:b/>
                <w:bCs/>
                <w:sz w:val="16"/>
                <w:szCs w:val="16"/>
              </w:rPr>
              <w:t xml:space="preserve">Function</w:t>
            </w:r>
          </w:p>
        </w:tc>
        <w:tc>
          <w:tcPr>
            <w:tcW w:w="970" w:type="dxa"/>
            <w:shd w:val="clear" w:color="auto" w:fill="E8F0F8"/>
            <w:vAlign w:val="center"/>
          </w:tcPr>
          <w:p>
            <w:pPr>
              <w:spacing w:before="40" w:after="40" w:line="240" w:lineRule="auto"/>
            </w:pPr>
            <w:r>
              <w:rPr>
                <w:rFonts w:ascii="Segoe UI" w:hAnsi="Segoe UI" w:cs="Segoe UI" w:eastAsia="Segoe UI"/>
                <w:b/>
                <w:bCs/>
                <w:sz w:val="16"/>
                <w:szCs w:val="16"/>
              </w:rPr>
              <w:t xml:space="preserve">Tier</w:t>
            </w:r>
          </w:p>
        </w:tc>
        <w:tc>
          <w:tcPr>
            <w:tcW w:w="2128" w:type="dxa"/>
            <w:shd w:val="clear" w:color="auto" w:fill="E8F0F8"/>
            <w:vAlign w:val="center"/>
          </w:tcPr>
          <w:p>
            <w:pPr>
              <w:spacing w:before="40" w:after="40" w:line="240" w:lineRule="auto"/>
            </w:pPr>
            <w:r>
              <w:rPr>
                <w:rFonts w:ascii="Segoe UI" w:hAnsi="Segoe UI" w:cs="Segoe UI" w:eastAsia="Segoe UI"/>
                <w:b/>
                <w:bCs/>
                <w:sz w:val="16"/>
                <w:szCs w:val="16"/>
              </w:rPr>
              <w:t xml:space="preserve">Menus</w:t>
            </w:r>
          </w:p>
        </w:tc>
        <w:tc>
          <w:tcPr>
            <w:tcW w:w="1714" w:type="dxa"/>
            <w:shd w:val="clear" w:color="auto" w:fill="E8F0F8"/>
            <w:vAlign w:val="center"/>
          </w:tcPr>
          <w:p>
            <w:pPr>
              <w:spacing w:before="40" w:after="40" w:line="240" w:lineRule="auto"/>
            </w:pPr>
            <w:r>
              <w:rPr>
                <w:rFonts w:ascii="Segoe UI" w:hAnsi="Segoe UI" w:cs="Segoe UI" w:eastAsia="Segoe UI"/>
                <w:b/>
                <w:bCs/>
                <w:sz w:val="16"/>
                <w:szCs w:val="16"/>
              </w:rPr>
              <w:t xml:space="preserve">Parts of screens</w:t>
            </w:r>
          </w:p>
        </w:tc>
        <w:tc>
          <w:tcPr>
            <w:tcW w:w="2400" w:type="dxa"/>
            <w:shd w:val="clear" w:color="auto" w:fill="E8F0F8"/>
            <w:vAlign w:val="center"/>
          </w:tcPr>
          <w:p>
            <w:pPr>
              <w:spacing w:before="40" w:after="40" w:line="240" w:lineRule="auto"/>
            </w:pPr>
            <w:r>
              <w:rPr>
                <w:rFonts w:ascii="Segoe UI" w:hAnsi="Segoe UI" w:cs="Segoe UI" w:eastAsia="Segoe UI"/>
                <w:b/>
                <w:bCs/>
                <w:sz w:val="16"/>
                <w:szCs w:val="16"/>
              </w:rPr>
              <w:t xml:space="preserve">Jobs, connectors, settings</w:t>
            </w:r>
          </w:p>
        </w:tc>
      </w:tr>
      <w:tr>
        <w:trPr>
          <w:cantSplit/>
        </w:trPr>
        <w:tc>
          <w:tcPr>
            <w:tcW w:w="1815" w:type="dxa"/>
          </w:tcPr>
          <w:p>
            <w:pPr>
              <w:spacing w:before="40" w:after="40" w:line="240" w:lineRule="auto"/>
            </w:pPr>
            <w:r>
              <w:rPr>
                <w:rFonts w:ascii="Segoe UI" w:hAnsi="Segoe UI" w:cs="Segoe UI" w:eastAsia="Segoe UI"/>
                <w:sz w:val="16"/>
                <w:szCs w:val="16"/>
              </w:rPr>
              <w:t xml:space="preserve">Sales dashboard</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Dashboard &gt; Sales Dashboard</w:t>
            </w:r>
          </w:p>
        </w:tc>
        <w:tc>
          <w:tcPr>
            <w:tcW w:w="1714" w:type="dxa"/>
          </w:tcPr>
          <w:p>
            <w:pPr>
              <w:spacing w:before="40" w:after="40" w:line="240" w:lineRule="auto"/>
            </w:pPr>
            <w:r>
              <w:rPr>
                <w:rFonts w:ascii="Segoe UI" w:hAnsi="Segoe UI" w:cs="Segoe UI" w:eastAsia="Segoe UI"/>
                <w:sz w:val="16"/>
                <w:szCs w:val="16"/>
              </w:rPr>
              <w:t xml:space="preserve">Executive Dashboard: agent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Customer satisfaction indicator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Performance: customer satisfaction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Regional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Executive Dashboard: regional performance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Comparison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Comparison Reports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Requests for quotation to several insurers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several insurers and offer comparison</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Marketing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Sales &amp; Marketing &gt; Campaigns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campaign-dispatch; setting campaigns.conversion_window_days; setting campaigns.max_recipients</w:t>
            </w:r>
          </w:p>
        </w:tc>
      </w:tr>
      <w:tr>
        <w:trPr>
          <w:cantSplit/>
        </w:trPr>
        <w:tc>
          <w:tcPr>
            <w:tcW w:w="1815" w:type="dxa"/>
          </w:tcPr>
          <w:p>
            <w:pPr>
              <w:spacing w:before="40" w:after="40" w:line="240" w:lineRule="auto"/>
            </w:pPr>
            <w:r>
              <w:rPr>
                <w:rFonts w:ascii="Segoe UI" w:hAnsi="Segoe UI" w:cs="Segoe UI" w:eastAsia="Segoe UI"/>
                <w:sz w:val="16"/>
                <w:szCs w:val="16"/>
              </w:rPr>
              <w:t xml:space="preserve">Online quotation approval by the client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quotations.approval_link_ttl_hours</w:t>
            </w:r>
          </w:p>
        </w:tc>
      </w:tr>
      <w:tr>
        <w:trPr>
          <w:cantSplit/>
        </w:trPr>
        <w:tc>
          <w:tcPr>
            <w:tcW w:w="1815" w:type="dxa"/>
          </w:tcPr>
          <w:p>
            <w:pPr>
              <w:spacing w:before="40" w:after="40" w:line="240" w:lineRule="auto"/>
            </w:pPr>
            <w:r>
              <w:rPr>
                <w:rFonts w:ascii="Segoe UI" w:hAnsi="Segoe UI" w:cs="Segoe UI" w:eastAsia="Segoe UI"/>
                <w:sz w:val="16"/>
                <w:szCs w:val="16"/>
              </w:rPr>
              <w:t xml:space="preserve">Product recommendation step</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product recommendation step</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Quotations, placement slips and policies: co-insurance participants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Foreign currency premium and receipts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Motor quotation: premium currency; Receipts: receipt currency</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Marine cargo open covers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Marine Open Covers: open covers on the marine cargo product (parcel and courier otherwise)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Retention analytics and renewal performance</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Retention Analytics; Operations &gt; Renewals &gt; Performance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At-risk renewals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Renewals &gt; At-Risk Policies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Win-back campaigns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Renewals &gt; Lapse Management: win-back campaigns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CTPL authentication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Operations &gt; CTPL Authentication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CTPL_AUTH; connector LTO_FEED; setting ctpl.register_on_issue; setting ctpl.authenticate_on_issue; setting ctpl.lto_feed</w:t>
            </w:r>
          </w:p>
        </w:tc>
      </w:tr>
      <w:tr>
        <w:trPr>
          <w:cantSplit/>
        </w:trPr>
        <w:tc>
          <w:tcPr>
            <w:tcW w:w="1815" w:type="dxa"/>
          </w:tcPr>
          <w:p>
            <w:pPr>
              <w:spacing w:before="40" w:after="40" w:line="240" w:lineRule="auto"/>
            </w:pPr>
            <w:r>
              <w:rPr>
                <w:rFonts w:ascii="Segoe UI" w:hAnsi="Segoe UI" w:cs="Segoe UI" w:eastAsia="Segoe UI"/>
                <w:sz w:val="16"/>
                <w:szCs w:val="16"/>
              </w:rPr>
              <w:t xml:space="preserve">Fire, engineering and industrial all risks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Group life and employee benefits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Bonds, liability and miscellaneous lines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Request for Quotation: bond and liability lines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Client credit limits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Credit Control &gt; Client Credit Limits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Claims paid through the broker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Claims Settlements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Accounts payable</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Payables &gt; Supplier Invoices; Accounts &gt; Payables &gt; Supplier Payments; Accounts &gt; Payables &gt; AP Ageing</w:t>
            </w:r>
          </w:p>
        </w:tc>
        <w:tc>
          <w:tcPr>
            <w:tcW w:w="1714" w:type="dxa"/>
          </w:tcPr>
          <w:p>
            <w:pPr>
              <w:spacing w:before="40" w:after="40" w:line="240" w:lineRule="auto"/>
            </w:pPr>
            <w:r>
              <w:rPr>
                <w:rFonts w:ascii="Segoe UI" w:hAnsi="Segoe UI" w:cs="Segoe UI" w:eastAsia="Segoe UI"/>
                <w:sz w:val="16"/>
                <w:szCs w:val="16"/>
              </w:rPr>
              <w:t xml:space="preserve">Accounts &gt; Payables: supplier invoices, payments and ageing (the manual section also explains the suppliers)</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Fixed assets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Fixed Assets &gt; Asset Register; Accounts &gt; Fixed Assets &gt; Depreciation Run; Accounts &gt; Fixed Assets &gt; Disposals; Master &gt; Finance &gt; Asset Classes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Petty cash</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Petty Cash &gt; Initiate; Accounts &gt; Petty Cash &gt; Request; Accounts &gt; Petty Cash &gt; Disbursement; Accounts &gt; Petty Cash &gt; Receipts; Accounts &gt; Petty Cash &gt; Replenish</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relief and summary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VAT Summary; Accounts &gt; Tax &gt; SAWT; Accounts &gt; Tax &gt; QAP; Accounts &gt; Tax &gt; SLSP Sales; Accounts &gt; Tax &gt; SLSP Purchases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withholding returns, alphalist and DAT files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Withholding Returns; Accounts &gt; Tax &gt; Annual Alphalist 1604-E; Accounts &gt; Tax &gt; BIR DAT Files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Percentage tax 2551Q</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Percentage Tax 2551Q</w:t>
            </w:r>
          </w:p>
        </w:tc>
        <w:tc>
          <w:tcPr>
            <w:tcW w:w="1714" w:type="dxa"/>
          </w:tcPr>
          <w:p>
            <w:pPr>
              <w:spacing w:before="40" w:after="40" w:line="240" w:lineRule="auto"/>
            </w:pPr>
            <w:r>
              <w:rPr>
                <w:rFonts w:ascii="Segoe UI" w:hAnsi="Segoe UI" w:cs="Segoe UI" w:eastAsia="Segoe UI"/>
                <w:sz w:val="16"/>
                <w:szCs w:val="16"/>
              </w:rPr>
              <w:t xml:space="preserve">Withholding Returns: 2551Q in the returns calendar</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BIR electronic invoicing (EIS)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Accounts &gt; Tax &gt; E-Invoicing (EIS)</w:t>
            </w:r>
          </w:p>
        </w:tc>
        <w:tc>
          <w:tcPr>
            <w:tcW w:w="1714" w:type="dxa"/>
          </w:tcPr>
          <w:p>
            <w:pPr>
              <w:spacing w:before="40" w:after="40" w:line="240" w:lineRule="auto"/>
            </w:pPr>
            <w:r>
              <w:rPr>
                <w:rFonts w:ascii="Segoe UI" w:hAnsi="Segoe UI" w:cs="Segoe UI" w:eastAsia="Segoe UI"/>
                <w:sz w:val="16"/>
                <w:szCs w:val="16"/>
              </w:rPr>
              <w:t xml:space="preserve">Sales Invoices: EIS submission status</w:t>
            </w:r>
          </w:p>
        </w:tc>
        <w:tc>
          <w:tcPr>
            <w:tcW w:w="2400" w:type="dxa"/>
          </w:tcPr>
          <w:p>
            <w:pPr>
              <w:spacing w:before="40" w:after="40" w:line="240" w:lineRule="auto"/>
            </w:pPr>
            <w:r>
              <w:rPr>
                <w:rFonts w:ascii="Segoe UI" w:hAnsi="Segoe UI" w:cs="Segoe UI" w:eastAsia="Segoe UI"/>
                <w:sz w:val="16"/>
                <w:szCs w:val="16"/>
              </w:rPr>
              <w:t xml:space="preserve">job eis-outbox; setting eis.enabled; setting eis.submit_on_issue; setting eis.mode</w:t>
            </w:r>
          </w:p>
        </w:tc>
      </w:tr>
      <w:tr>
        <w:trPr>
          <w:cantSplit/>
        </w:trPr>
        <w:tc>
          <w:tcPr>
            <w:tcW w:w="1815" w:type="dxa"/>
          </w:tcPr>
          <w:p>
            <w:pPr>
              <w:spacing w:before="40" w:after="40" w:line="240" w:lineRule="auto"/>
            </w:pPr>
            <w:r>
              <w:rPr>
                <w:rFonts w:ascii="Segoe UI" w:hAnsi="Segoe UI" w:cs="Segoe UI" w:eastAsia="Segoe UI"/>
                <w:sz w:val="16"/>
                <w:szCs w:val="16"/>
              </w:rPr>
              <w:t xml:space="preserve">Recurring and accrual journals</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Accounts &gt; Period End &gt; Recurring Journals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recurring-journals; job accrual-reversal</w:t>
            </w:r>
          </w:p>
        </w:tc>
      </w:tr>
      <w:tr>
        <w:trPr>
          <w:cantSplit/>
        </w:trPr>
        <w:tc>
          <w:tcPr>
            <w:tcW w:w="1815" w:type="dxa"/>
          </w:tcPr>
          <w:p>
            <w:pPr>
              <w:spacing w:before="40" w:after="40" w:line="240" w:lineRule="auto"/>
            </w:pPr>
            <w:r>
              <w:rPr>
                <w:rFonts w:ascii="Segoe UI" w:hAnsi="Segoe UI" w:cs="Segoe UI" w:eastAsia="Segoe UI"/>
                <w:sz w:val="16"/>
                <w:szCs w:val="16"/>
              </w:rPr>
              <w:t xml:space="preserve">Insurer overriding commission</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Commission &gt; Insurer Overrides &gt; Agreements; Commission &gt; Insurer Overrides &gt; Computations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Co-insurance reports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Reports &gt; Financial Reports &gt; Co-insurance Register; Reports &gt; Financial Reports &gt; Due to Insurers by Co-insurer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BI extract</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Report Builder: BI extract</w:t>
            </w:r>
          </w:p>
        </w:tc>
        <w:tc>
          <w:tcPr>
            <w:tcW w:w="2400" w:type="dxa"/>
          </w:tcPr>
          <w:p>
            <w:pPr>
              <w:spacing w:before="40" w:after="40" w:line="240" w:lineRule="auto"/>
            </w:pPr>
            <w:r>
              <w:rPr>
                <w:rFonts w:ascii="Segoe UI" w:hAnsi="Segoe UI" w:cs="Segoe UI" w:eastAsia="Segoe UI"/>
                <w:sz w:val="16"/>
                <w:szCs w:val="16"/>
              </w:rPr>
              <w:t xml:space="preserve">job bi-extract; setting bi.extract_datasets; setting bi.extract_folder; setting bi.extract_keep_runs</w:t>
            </w:r>
          </w:p>
        </w:tc>
      </w:tr>
      <w:tr>
        <w:trPr>
          <w:cantSplit/>
        </w:trPr>
        <w:tc>
          <w:tcPr>
            <w:tcW w:w="1815" w:type="dxa"/>
          </w:tcPr>
          <w:p>
            <w:pPr>
              <w:spacing w:before="40" w:after="40" w:line="240" w:lineRule="auto"/>
            </w:pPr>
            <w:r>
              <w:rPr>
                <w:rFonts w:ascii="Segoe UI" w:hAnsi="Segoe UI" w:cs="Segoe UI" w:eastAsia="Segoe UI"/>
                <w:sz w:val="16"/>
                <w:szCs w:val="16"/>
              </w:rPr>
              <w:t xml:space="preserve">Exchange rates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Exchange Rate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Online payment links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Payment Gateways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Package bundles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Package Bundles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payments.auto_issue_package_policies</w:t>
            </w:r>
          </w:p>
        </w:tc>
      </w:tr>
      <w:tr>
        <w:trPr>
          <w:cantSplit/>
        </w:trPr>
        <w:tc>
          <w:tcPr>
            <w:tcW w:w="1815" w:type="dxa"/>
          </w:tcPr>
          <w:p>
            <w:pPr>
              <w:spacing w:before="40" w:after="40" w:line="240" w:lineRule="auto"/>
            </w:pPr>
            <w:r>
              <w:rPr>
                <w:rFonts w:ascii="Segoe UI" w:hAnsi="Segoe UI" w:cs="Segoe UI" w:eastAsia="Segoe UI"/>
                <w:sz w:val="16"/>
                <w:szCs w:val="16"/>
              </w:rPr>
              <w:t xml:space="preserve">Insurer rate tables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Insurer Rate Tables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Automated remittance master</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Finance &gt; Remittance Master</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SMS and Viber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Master &gt; System Configuration &gt; Message Templates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job sms-renewal-notices; job sms-payment-reminders; connector SMS_SEMAPHORE; connector SMS_GLOBE_LABS; connector SMS_GENERIC; connector VIBER_BUSINESS</w:t>
            </w:r>
          </w:p>
        </w:tc>
      </w:tr>
      <w:tr>
        <w:trPr>
          <w:cantSplit/>
        </w:trPr>
        <w:tc>
          <w:tcPr>
            <w:tcW w:w="1815" w:type="dxa"/>
          </w:tcPr>
          <w:p>
            <w:pPr>
              <w:spacing w:before="40" w:after="40" w:line="240" w:lineRule="auto"/>
            </w:pPr>
            <w:r>
              <w:rPr>
                <w:rFonts w:ascii="Segoe UI" w:hAnsi="Segoe UI" w:cs="Segoe UI" w:eastAsia="Segoe UI"/>
                <w:sz w:val="16"/>
                <w:szCs w:val="16"/>
              </w:rPr>
              <w:t xml:space="preserve">Insurer API integration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Master &gt; System Configuration &gt; Insurer Integration</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connector INSURER_API</w:t>
            </w:r>
          </w:p>
        </w:tc>
      </w:tr>
      <w:tr>
        <w:trPr>
          <w:cantSplit/>
        </w:trPr>
        <w:tc>
          <w:tcPr>
            <w:tcW w:w="1815" w:type="dxa"/>
          </w:tcPr>
          <w:p>
            <w:pPr>
              <w:spacing w:before="40" w:after="40" w:line="240" w:lineRule="auto"/>
            </w:pPr>
            <w:r>
              <w:rPr>
                <w:rFonts w:ascii="Segoe UI" w:hAnsi="Segoe UI" w:cs="Segoe UI" w:eastAsia="Segoe UI"/>
                <w:sz w:val="16"/>
                <w:szCs w:val="16"/>
              </w:rPr>
              <w:t xml:space="preserve">Inbound integration messages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setting integrations.inbound_enabled</w:t>
            </w:r>
          </w:p>
        </w:tc>
      </w:tr>
      <w:tr>
        <w:trPr>
          <w:cantSplit/>
        </w:trPr>
        <w:tc>
          <w:tcPr>
            <w:tcW w:w="1815" w:type="dxa"/>
          </w:tcPr>
          <w:p>
            <w:pPr>
              <w:spacing w:before="40" w:after="40" w:line="240" w:lineRule="auto"/>
            </w:pPr>
            <w:r>
              <w:rPr>
                <w:rFonts w:ascii="Segoe UI" w:hAnsi="Segoe UI" w:cs="Segoe UI" w:eastAsia="Segoe UI"/>
                <w:sz w:val="16"/>
                <w:szCs w:val="16"/>
              </w:rPr>
              <w:t xml:space="preserve">Legacy book migration</w:t>
            </w:r>
          </w:p>
        </w:tc>
        <w:tc>
          <w:tcPr>
            <w:tcW w:w="970" w:type="dxa"/>
          </w:tcPr>
          <w:p>
            <w:pPr>
              <w:spacing w:before="40" w:after="40" w:line="240" w:lineRule="auto"/>
            </w:pPr>
            <w:r>
              <w:rPr>
                <w:rFonts w:ascii="Segoe UI" w:hAnsi="Segoe UI" w:cs="Segoe UI" w:eastAsia="Segoe UI"/>
                <w:sz w:val="16"/>
                <w:szCs w:val="16"/>
              </w:rPr>
              <w:t xml:space="preserve">Phase 2</w:t>
            </w:r>
          </w:p>
        </w:tc>
        <w:tc>
          <w:tcPr>
            <w:tcW w:w="2128" w:type="dxa"/>
          </w:tcPr>
          <w:p>
            <w:pPr>
              <w:spacing w:before="40" w:after="40" w:line="240" w:lineRule="auto"/>
            </w:pPr>
            <w:r>
              <w:rPr>
                <w:rFonts w:ascii="Segoe UI" w:hAnsi="Segoe UI" w:cs="Segoe UI" w:eastAsia="Segoe UI"/>
                <w:sz w:val="16"/>
                <w:szCs w:val="16"/>
              </w:rPr>
              <w:t xml:space="preserve">-</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r>
        <w:trPr>
          <w:cantSplit/>
        </w:trPr>
        <w:tc>
          <w:tcPr>
            <w:tcW w:w="1815" w:type="dxa"/>
          </w:tcPr>
          <w:p>
            <w:pPr>
              <w:spacing w:before="40" w:after="40" w:line="240" w:lineRule="auto"/>
            </w:pPr>
            <w:r>
              <w:rPr>
                <w:rFonts w:ascii="Segoe UI" w:hAnsi="Segoe UI" w:cs="Segoe UI" w:eastAsia="Segoe UI"/>
                <w:sz w:val="16"/>
                <w:szCs w:val="16"/>
              </w:rPr>
              <w:t xml:space="preserve">Product analytics</w:t>
            </w:r>
          </w:p>
        </w:tc>
        <w:tc>
          <w:tcPr>
            <w:tcW w:w="970" w:type="dxa"/>
          </w:tcPr>
          <w:p>
            <w:pPr>
              <w:spacing w:before="40" w:after="40" w:line="240" w:lineRule="auto"/>
            </w:pPr>
            <w:r>
              <w:rPr>
                <w:rFonts w:ascii="Segoe UI" w:hAnsi="Segoe UI" w:cs="Segoe UI" w:eastAsia="Segoe UI"/>
                <w:sz w:val="16"/>
                <w:szCs w:val="16"/>
              </w:rPr>
              <w:t xml:space="preserve">Future release</w:t>
            </w:r>
          </w:p>
        </w:tc>
        <w:tc>
          <w:tcPr>
            <w:tcW w:w="2128" w:type="dxa"/>
          </w:tcPr>
          <w:p>
            <w:pPr>
              <w:spacing w:before="40" w:after="40" w:line="240" w:lineRule="auto"/>
            </w:pPr>
            <w:r>
              <w:rPr>
                <w:rFonts w:ascii="Segoe UI" w:hAnsi="Segoe UI" w:cs="Segoe UI" w:eastAsia="Segoe UI"/>
                <w:sz w:val="16"/>
                <w:szCs w:val="16"/>
              </w:rPr>
              <w:t xml:space="preserve">Product Configurator &gt; Product Analytics</w:t>
            </w:r>
          </w:p>
        </w:tc>
        <w:tc>
          <w:tcPr>
            <w:tcW w:w="1714" w:type="dxa"/>
          </w:tcPr>
          <w:p>
            <w:pPr>
              <w:spacing w:before="40" w:after="40" w:line="240" w:lineRule="auto"/>
            </w:pPr>
            <w:r>
              <w:rPr>
                <w:rFonts w:ascii="Segoe UI" w:hAnsi="Segoe UI" w:cs="Segoe UI" w:eastAsia="Segoe UI"/>
                <w:sz w:val="16"/>
                <w:szCs w:val="16"/>
              </w:rPr>
              <w:t xml:space="preserve">-</w:t>
            </w:r>
          </w:p>
        </w:tc>
        <w:tc>
          <w:tcPr>
            <w:tcW w:w="2400"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2" w:name="_Toc300001012"/>
      <w:r>
        <w:rPr>
          <w:rFonts w:ascii="Segoe UI" w:hAnsi="Segoe UI" w:cs="Segoe UI" w:eastAsia="Segoe UI"/>
        </w:rPr>
        <w:t xml:space="preserve">Document Sign-Off</w:t>
      </w:r>
      <w:bookmarkEnd w:id="1012"/>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4743"/>
        <w:gridCol w:w="1139"/>
        <w:gridCol w:w="2004"/>
        <w:gridCol w:w="1141"/>
      </w:tblGrid>
      <w:tr>
        <w:trPr>
          <w:cantSplit/>
          <w:tblHeader/>
          <w:trHeight w:val="400"/>
        </w:trPr>
        <w:tc>
          <w:tcPr>
            <w:tcW w:w="4743" w:type="dxa"/>
            <w:shd w:val="clear" w:color="auto" w:fill="E8F0F8"/>
            <w:vAlign w:val="center"/>
          </w:tcPr>
          <w:p>
            <w:pPr>
              <w:spacing w:before="40" w:after="40" w:line="240" w:lineRule="auto"/>
            </w:pPr>
            <w:r>
              <w:rPr>
                <w:rFonts w:ascii="Segoe UI" w:hAnsi="Segoe UI" w:cs="Segoe UI" w:eastAsia="Segoe UI"/>
                <w:b/>
                <w:bCs/>
                <w:sz w:val="16"/>
                <w:szCs w:val="16"/>
              </w:rPr>
              <w:t xml:space="preserve">Role</w:t>
            </w:r>
          </w:p>
        </w:tc>
        <w:tc>
          <w:tcPr>
            <w:tcW w:w="1139" w:type="dxa"/>
            <w:shd w:val="clear" w:color="auto" w:fill="E8F0F8"/>
            <w:vAlign w:val="center"/>
          </w:tcPr>
          <w:p>
            <w:pPr>
              <w:spacing w:before="40" w:after="40" w:line="240" w:lineRule="auto"/>
            </w:pPr>
            <w:r>
              <w:rPr>
                <w:rFonts w:ascii="Segoe UI" w:hAnsi="Segoe UI" w:cs="Segoe UI" w:eastAsia="Segoe UI"/>
                <w:b/>
                <w:bCs/>
                <w:sz w:val="16"/>
                <w:szCs w:val="16"/>
              </w:rPr>
              <w:t xml:space="preserve">Name</w:t>
            </w:r>
          </w:p>
        </w:tc>
        <w:tc>
          <w:tcPr>
            <w:tcW w:w="2004" w:type="dxa"/>
            <w:shd w:val="clear" w:color="auto" w:fill="E8F0F8"/>
            <w:vAlign w:val="center"/>
          </w:tcPr>
          <w:p>
            <w:pPr>
              <w:spacing w:before="40" w:after="40" w:line="240" w:lineRule="auto"/>
            </w:pPr>
            <w:r>
              <w:rPr>
                <w:rFonts w:ascii="Segoe UI" w:hAnsi="Segoe UI" w:cs="Segoe UI" w:eastAsia="Segoe UI"/>
                <w:b/>
                <w:bCs/>
                <w:sz w:val="16"/>
                <w:szCs w:val="16"/>
              </w:rPr>
              <w:t xml:space="preserve">Signature</w:t>
            </w:r>
          </w:p>
        </w:tc>
        <w:tc>
          <w:tcPr>
            <w:tcW w:w="1141" w:type="dxa"/>
            <w:shd w:val="clear" w:color="auto" w:fill="E8F0F8"/>
            <w:vAlign w:val="center"/>
          </w:tcPr>
          <w:p>
            <w:pPr>
              <w:spacing w:before="40" w:after="40" w:line="240" w:lineRule="auto"/>
            </w:pPr>
            <w:r>
              <w:rPr>
                <w:rFonts w:ascii="Segoe UI" w:hAnsi="Segoe UI" w:cs="Segoe UI" w:eastAsia="Segoe UI"/>
                <w:b/>
                <w:bCs/>
                <w:sz w:val="16"/>
                <w:szCs w:val="16"/>
              </w:rPr>
              <w:t xml:space="preserve">Date</w:t>
            </w:r>
          </w:p>
        </w:tc>
      </w:tr>
      <w:tr>
        <w:trPr>
          <w:cantSplit/>
        </w:trPr>
        <w:tc>
          <w:tcPr>
            <w:tcW w:w="4743" w:type="dxa"/>
          </w:tcPr>
          <w:p>
            <w:pPr>
              <w:spacing w:before="40" w:after="40" w:line="240" w:lineRule="auto"/>
            </w:pPr>
            <w:r>
              <w:rPr>
                <w:rFonts w:ascii="Segoe UI" w:hAnsi="Segoe UI" w:cs="Segoe UI" w:eastAsia="Segoe UI"/>
                <w:sz w:val="16"/>
                <w:szCs w:val="16"/>
              </w:rPr>
              <w:t xml:space="preserve">TISPH Project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TISPH Head of IT</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r>
        <w:trPr>
          <w:cantSplit/>
        </w:trPr>
        <w:tc>
          <w:tcPr>
            <w:tcW w:w="4743" w:type="dxa"/>
          </w:tcPr>
          <w:p>
            <w:pPr>
              <w:spacing w:before="40" w:after="40" w:line="240" w:lineRule="auto"/>
            </w:pPr>
            <w:r>
              <w:rPr>
                <w:rFonts w:ascii="Segoe UI" w:hAnsi="Segoe UI" w:cs="Segoe UI" w:eastAsia="Segoe UI"/>
                <w:sz w:val="16"/>
                <w:szCs w:val="16"/>
              </w:rPr>
              <w:t xml:space="preserve">iorta TechNXT Delivery Manager</w:t>
            </w:r>
          </w:p>
        </w:tc>
        <w:tc>
          <w:tcPr>
            <w:tcW w:w="1139" w:type="dxa"/>
          </w:tcPr>
          <w:p>
            <w:pPr>
              <w:spacing w:before="40" w:after="40" w:line="240" w:lineRule="auto"/>
            </w:pPr>
          </w:p>
        </w:tc>
        <w:tc>
          <w:tcPr>
            <w:tcW w:w="2004" w:type="dxa"/>
          </w:tcPr>
          <w:p>
            <w:pPr>
              <w:spacing w:before="40" w:after="40" w:line="240" w:lineRule="auto"/>
            </w:pPr>
          </w:p>
        </w:tc>
        <w:tc>
          <w:tcPr>
            <w:tcW w:w="1141" w:type="dxa"/>
          </w:tcPr>
          <w:p>
            <w:pPr>
              <w:spacing w:before="40" w:after="40" w:line="240" w:lineRule="auto"/>
            </w:pP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3" w:name="_Toc300001013"/>
      <w:r>
        <w:rPr>
          <w:rFonts w:ascii="Segoe UI" w:hAnsi="Segoe UI" w:cs="Segoe UI" w:eastAsia="Segoe UI"/>
        </w:rPr>
        <w:t xml:space="preserve">Pending Items</w:t>
      </w:r>
      <w:bookmarkEnd w:id="1013"/>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250"/>
        <w:gridCol w:w="5000"/>
        <w:gridCol w:w="1300"/>
        <w:gridCol w:w="1477"/>
      </w:tblGrid>
      <w:tr>
        <w:trPr>
          <w:cantSplit/>
          <w:tblHeader/>
          <w:trHeight w:val="400"/>
        </w:trPr>
        <w:tc>
          <w:tcPr>
            <w:tcW w:w="125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Serial Number</w:t>
            </w:r>
          </w:p>
        </w:tc>
        <w:tc>
          <w:tcPr>
            <w:tcW w:w="50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Description</w:t>
            </w:r>
          </w:p>
        </w:tc>
        <w:tc>
          <w:tcPr>
            <w:tcW w:w="13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Owner</w:t>
            </w:r>
          </w:p>
        </w:tc>
        <w:tc>
          <w:tcPr>
            <w:tcW w:w="147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Status</w:t>
            </w:r>
          </w:p>
        </w:tc>
      </w:tr>
      <w:tr>
        <w:trPr>
          <w:cantSplit/>
        </w:trPr>
        <w:tc>
          <w:tcPr>
            <w:tcW w:w="1250" w:type="dxa"/>
          </w:tcPr>
          <w:p>
            <w:pPr>
              <w:spacing w:before="40" w:after="40" w:line="240" w:lineRule="auto"/>
            </w:pPr>
            <w:r>
              <w:rPr>
                <w:rFonts w:ascii="Segoe UI" w:hAnsi="Segoe UI" w:cs="Segoe UI" w:eastAsia="Segoe UI"/>
                <w:sz w:val="16"/>
                <w:szCs w:val="16"/>
              </w:rPr>
              <w:t xml:space="preserve">-</w:t>
            </w:r>
          </w:p>
        </w:tc>
        <w:tc>
          <w:tcPr>
            <w:tcW w:w="5000" w:type="dxa"/>
          </w:tcPr>
          <w:p>
            <w:pPr>
              <w:spacing w:before="40" w:after="40" w:line="240" w:lineRule="auto"/>
            </w:pPr>
            <w:r>
              <w:rPr>
                <w:rFonts w:ascii="Segoe UI" w:hAnsi="Segoe UI" w:cs="Segoe UI" w:eastAsia="Segoe UI"/>
                <w:sz w:val="16"/>
                <w:szCs w:val="16"/>
              </w:rPr>
              <w:t xml:space="preserve">No pending items are recorded in this version.</w:t>
            </w:r>
          </w:p>
        </w:tc>
        <w:tc>
          <w:tcPr>
            <w:tcW w:w="1300" w:type="dxa"/>
          </w:tcPr>
          <w:p>
            <w:pPr>
              <w:spacing w:before="40" w:after="40" w:line="240" w:lineRule="auto"/>
            </w:pPr>
            <w:r>
              <w:rPr>
                <w:rFonts w:ascii="Segoe UI" w:hAnsi="Segoe UI" w:cs="Segoe UI" w:eastAsia="Segoe UI"/>
                <w:sz w:val="16"/>
                <w:szCs w:val="16"/>
              </w:rPr>
              <w:t xml:space="preserve">-</w:t>
            </w:r>
          </w:p>
        </w:tc>
        <w:tc>
          <w:tcPr>
            <w:tcW w:w="1477" w:type="dxa"/>
          </w:tcPr>
          <w:p>
            <w:pPr>
              <w:spacing w:before="40" w:after="40" w:line="240" w:lineRule="auto"/>
            </w:pPr>
            <w:r>
              <w:rPr>
                <w:rFonts w:ascii="Segoe UI" w:hAnsi="Segoe UI" w:cs="Segoe UI" w:eastAsia="Segoe UI"/>
                <w:sz w:val="16"/>
                <w:szCs w:val="16"/>
              </w:rPr>
              <w:t xml:space="preserve">-</w:t>
            </w:r>
          </w:p>
        </w:tc>
      </w:tr>
    </w:tbl>
    <w:p xmlns:a="http://schemas.openxmlformats.org/drawingml/2006/main" xmlns:pic="http://schemas.openxmlformats.org/drawingml/2006/picture">
      <w:pPr>
        <w:spacing w:before="0" w:after="60" w:line="240" w:lineRule="auto"/>
        <w:rPr>
          <w:sz w:val="12"/>
        </w:rPr>
      </w:pPr>
    </w:p>
    <w:p xmlns:a="http://schemas.openxmlformats.org/drawingml/2006/main" xmlns:pic="http://schemas.openxmlformats.org/drawingml/2006/picture">
      <w:pPr>
        <w:pStyle w:val="Heading1"/>
        <w:numPr>
          <w:ilvl w:val="0"/>
          <w:numId w:val="14"/>
        </w:numPr>
      </w:pPr>
      <w:bookmarkStart w:id="1014" w:name="_Toc300001014"/>
      <w:r>
        <w:rPr>
          <w:rFonts w:ascii="Segoe UI" w:hAnsi="Segoe UI" w:cs="Segoe UI" w:eastAsia="Segoe UI"/>
        </w:rPr>
        <w:t xml:space="preserve">Document Sign-Off</w:t>
      </w:r>
      <w:bookmarkEnd w:id="1014"/>
    </w:p>
    <w:tbl xmlns:a="http://schemas.openxmlformats.org/drawingml/2006/main" xmlns:pic="http://schemas.openxmlformats.org/drawingml/2006/picture">
      <w:tblPr>
        <w:tblStyle w:val="TableGrid"/>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0" w:type="dxa"/>
          <w:left w:w="90" w:type="dxa"/>
          <w:bottom w:w="0" w:type="dxa"/>
          <w:right w:w="90" w:type="dxa"/>
        </w:tblCellMar>
        <w:tblLook w:val="04A0" w:firstRow="1" w:lastRow="0" w:firstColumn="1" w:lastColumn="0" w:noHBand="0" w:noVBand="1"/>
      </w:tblPr>
      <w:tblGrid>
        <w:gridCol w:w="1500"/>
        <w:gridCol w:w="2900"/>
        <w:gridCol w:w="2200"/>
        <w:gridCol w:w="2427"/>
      </w:tblGrid>
      <w:tr>
        <w:trPr>
          <w:cantSplit/>
          <w:tblHeader/>
          <w:trHeight w:val="400"/>
        </w:trPr>
        <w:tc>
          <w:tcPr>
            <w:tcW w:w="15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 Off Date</w:t>
            </w:r>
          </w:p>
        </w:tc>
        <w:tc>
          <w:tcPr>
            <w:tcW w:w="29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Signature</w:t>
            </w:r>
          </w:p>
        </w:tc>
        <w:tc>
          <w:tcPr>
            <w:tcW w:w="2200"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Approved By</w:t>
            </w:r>
          </w:p>
        </w:tc>
        <w:tc>
          <w:tcPr>
            <w:tcW w:w="2427" w:type="dxa"/>
            <w:shd w:val="clear" w:color="auto" w:fill="E8F0F8"/>
            <w:vAlign w:val="center"/>
          </w:tcPr>
          <w:p>
            <w:pPr>
              <w:spacing w:before="40" w:after="40" w:line="240" w:lineRule="auto"/>
              <w:jc w:val="center"/>
            </w:pPr>
            <w:r>
              <w:rPr>
                <w:rFonts w:ascii="Segoe UI" w:hAnsi="Segoe UI" w:cs="Segoe UI" w:eastAsia="Segoe UI"/>
                <w:b/>
                <w:bCs/>
                <w:sz w:val="16"/>
                <w:szCs w:val="16"/>
              </w:rPr>
              <w:t xml:space="preserve">Department &amp; Project Role</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Project Manager</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TISPH Head of IT</w:t>
            </w:r>
          </w:p>
        </w:tc>
      </w:tr>
      <w:tr>
        <w:trPr>
          <w:cantSplit/>
          <w:trHeight w:val="700"/>
        </w:trPr>
        <w:tc>
          <w:tcPr>
            <w:tcW w:w="1500" w:type="dxa"/>
          </w:tcPr>
          <w:p>
            <w:pPr>
              <w:spacing w:before="40" w:after="40" w:line="240" w:lineRule="auto"/>
            </w:pPr>
          </w:p>
        </w:tc>
        <w:tc>
          <w:tcPr>
            <w:tcW w:w="2900" w:type="dxa"/>
          </w:tcPr>
          <w:p>
            <w:pPr>
              <w:spacing w:before="40" w:after="40" w:line="240" w:lineRule="auto"/>
            </w:pPr>
          </w:p>
        </w:tc>
        <w:tc>
          <w:tcPr>
            <w:tcW w:w="2200" w:type="dxa"/>
          </w:tcPr>
          <w:p>
            <w:pPr>
              <w:spacing w:before="40" w:after="40" w:line="240" w:lineRule="auto"/>
            </w:pPr>
          </w:p>
        </w:tc>
        <w:tc>
          <w:tcPr>
            <w:tcW w:w="2427" w:type="dxa"/>
          </w:tcPr>
          <w:p>
            <w:pPr>
              <w:spacing w:before="40" w:after="40" w:line="240" w:lineRule="auto"/>
            </w:pPr>
            <w:r>
              <w:rPr>
                <w:rFonts w:ascii="Segoe UI" w:hAnsi="Segoe UI" w:cs="Segoe UI" w:eastAsia="Segoe UI"/>
                <w:sz w:val="16"/>
                <w:szCs w:val="16"/>
              </w:rPr>
              <w:t xml:space="preserve">iorta TechNXT Delivery Lead</w:t>
            </w:r>
          </w:p>
        </w:tc>
      </w:tr>
    </w:tbl>
    <w:p xmlns:a="http://schemas.openxmlformats.org/drawingml/2006/main" xmlns:pic="http://schemas.openxmlformats.org/drawingml/2006/picture">
      <w:pPr>
        <w:spacing w:before="0" w:after="60" w:line="240" w:lineRule="auto"/>
        <w:rPr>
          <w:sz w:val="12"/>
        </w:rPr>
      </w:pPr>
    </w:p>
    <w:p w14:paraId="4553482A" w14:textId="1F0B5849" w:rsidR="008501FA" w:rsidRPr="00EF479A" w:rsidRDefault="006470D1" w:rsidP="3B384731">
      <w:pPr xmlns:a="http://schemas.openxmlformats.org/drawingml/2006/main" xmlns:pic="http://schemas.openxmlformats.org/drawingml/2006/picture">
        <w:pageBreakBefore/>
      </w:pPr>
      <w:r>
        <w:rPr>
          <w:noProof/>
        </w:rPr>
        <w:drawing>
          <wp:anchor distT="0" distB="0" distL="114300" distR="114300" simplePos="0" relativeHeight="251658240" behindDoc="1" locked="0" layoutInCell="1" allowOverlap="1" wp14:anchorId="769CEDFB" wp14:editId="0E98DE05">
            <wp:simplePos x="0" y="0"/>
            <wp:positionH relativeFrom="margin">
              <wp:align>center</wp:align>
            </wp:positionH>
            <wp:positionV relativeFrom="margin">
              <wp:align>center</wp:align>
            </wp:positionV>
            <wp:extent cx="7548440" cy="10677525"/>
            <wp:effectExtent l="0" t="0" r="0" b="0"/>
            <wp:wrapNone/>
            <wp:docPr id="888434296" name="Picture 1">
              <a:extLst xmlns:a="http://schemas.openxmlformats.org/drawingml/2006/main">
                <a:ext uri="{FF2B5EF4-FFF2-40B4-BE49-F238E27FC236}">
                  <a16:creationId xmlns:a16="http://schemas.microsoft.com/office/drawing/2014/main" id="{1549725D-CA62-47A1-A957-457A136796E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434296" name="Picture 88843429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7548440" cy="10677525"/>
                    </a:xfrm>
                    <a:prstGeom prst="rect">
                      <a:avLst/>
                    </a:prstGeom>
                  </pic:spPr>
                </pic:pic>
              </a:graphicData>
            </a:graphic>
            <wp14:sizeRelH relativeFrom="margin">
              <wp14:pctWidth>0</wp14:pctWidth>
            </wp14:sizeRelH>
            <wp14:sizeRelV relativeFrom="margin">
              <wp14:pctHeight>0</wp14:pctHeight>
            </wp14:sizeRelV>
          </wp:anchor>
        </w:drawing>
      </w:r>
    </w:p>
    <w:sectPr w:rsidR="008501FA" w:rsidRPr="00EF479A" w:rsidSect="004477F0">
      <w:footerReference w:type="default" r:id="rId14"/>
      <w:headerReference w:type="first" r:id="rId15"/>
      <w:footerReference w:type="first" r:id="rId16"/>
      <w:pgSz w:w="11907" w:h="16839" w:code="9"/>
      <w:pgMar w:top="1440" w:right="1440" w:bottom="1440" w:left="1440" w:header="113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D9D5A" w14:textId="77777777" w:rsidR="00A242E6" w:rsidRDefault="00A242E6">
      <w:pPr>
        <w:spacing w:after="0" w:line="240" w:lineRule="auto"/>
      </w:pPr>
      <w:r>
        <w:separator/>
      </w:r>
    </w:p>
  </w:endnote>
  <w:endnote w:type="continuationSeparator" w:id="0">
    <w:p w14:paraId="749EBE52" w14:textId="77777777" w:rsidR="00A242E6" w:rsidRDefault="00A242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-707666</wp:posOffset>
          </wp:positionV>
          <wp:extent cx="8778222" cy="885012"/>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8778222" cy="885012"/>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7DEADF60" w14:textId="77777777" w:rsidTr="2EB1E806">
      <w:trPr>
        <w:trHeight w:val="300"/>
      </w:trPr>
      <w:tc>
        <w:tcPr>
          <w:tcW w:w="3005" w:type="dxa"/>
        </w:tcPr>
        <w:p w14:paraId="1EDD45F7" w14:textId="77777777" w:rsidR="00E75530" w:rsidRDefault="00E75530" w:rsidP="2EB1E806">
          <w:pPr>
            <w:pStyle w:val="Header"/>
            <w:ind w:left="-115"/>
          </w:pPr>
        </w:p>
      </w:tc>
      <w:tc>
        <w:tcPr>
          <w:tcW w:w="3005" w:type="dxa"/>
        </w:tcPr>
        <w:p w14:paraId="29D1E92D" w14:textId="77777777" w:rsidR="00E75530" w:rsidRDefault="00E75530" w:rsidP="2EB1E806">
          <w:pPr>
            <w:pStyle w:val="Header"/>
            <w:jc w:val="center"/>
          </w:pPr>
        </w:p>
      </w:tc>
      <w:tc>
        <w:tcPr>
          <w:tcW w:w="3005" w:type="dxa"/>
        </w:tcPr>
        <w:p w14:paraId="74EB3205" w14:textId="77777777" w:rsidR="00E75530" w:rsidRDefault="00E75530" w:rsidP="2EB1E806">
          <w:pPr>
            <w:pStyle w:val="Header"/>
            <w:ind w:right="-115"/>
            <w:jc w:val="right"/>
          </w:pPr>
        </w:p>
      </w:tc>
    </w:tr>
  </w:tbl>
  <w:p w14:paraId="368865EE" w14:textId="77777777" w:rsidR="00E75530" w:rsidRDefault="00E75530">
    <w:pPr>
      <w:pStyle w:val="Footer"/>
    </w:pPr>
  </w:p>
</w:ftr>
</file>

<file path=word/footer_landscape.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2981B" w14:textId="6A123F5D" w:rsidR="00EC1FCB" w:rsidRDefault="00EC1FCB">
    <w:pPr>
      <w:pStyle w:val="Footer"/>
      <w:jc xmlns:a="http://schemas.openxmlformats.org/drawingml/2006/main" xmlns:pic="http://schemas.openxmlformats.org/drawingml/2006/picture" w:val="right"/>
    </w:pPr>
    <w:r>
      <w:rPr>
        <w:noProof/>
        <w:lang w:val="en-IN" w:eastAsia="en-IN"/>
      </w:rPr>
      <w:drawing>
        <wp:anchor distT="0" distB="0" distL="114300" distR="114300" simplePos="0" relativeHeight="251659264" behindDoc="1" locked="0" layoutInCell="1" allowOverlap="1" wp14:anchorId="5915C0C7" wp14:editId="4783279C">
          <wp:simplePos x="0" y="0"/>
          <wp:positionH relativeFrom="page">
            <wp:align>left</wp:align>
          </wp:positionH>
          <wp:positionV relativeFrom="paragraph">
            <wp:posOffset>-900890</wp:posOffset>
          </wp:positionV>
          <wp:extent cx="10694765" cy="1078236"/>
          <wp:effectExtent l="0" t="0" r="4445" b="0"/>
          <wp:wrapNone/>
          <wp:docPr id="1180669579" name="Picture 1180669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694765" cy="1078236"/>
                  </a:xfrm>
                  <a:prstGeom prst="rect">
                    <a:avLst/>
                  </a:prstGeom>
                </pic:spPr>
              </pic:pic>
            </a:graphicData>
          </a:graphic>
          <wp14:sizeRelH relativeFrom="page">
            <wp14:pctWidth>0</wp14:pctWidth>
          </wp14:sizeRelH>
          <wp14:sizeRelV relativeFrom="page">
            <wp14:pctHeight>0</wp14:pctHeight>
          </wp14:sizeRelV>
        </wp:anchor>
      </w:drawing>
    </w:r>
    <w:r xmlns:a="http://schemas.openxmlformats.org/drawingml/2006/main" xmlns:pic="http://schemas.openxmlformats.org/drawingml/2006/picture">
      <w:rPr>
        <w:rFonts w:ascii="Segoe UI" w:hAnsi="Segoe UI" w:cs="Segoe UI"/>
        <w:color w:val="FFFFFF"/>
        <w:sz w:val="16"/>
        <w:szCs w:val="16"/>
      </w:rPr>
      <w:t xml:space="preserve">Page </w:t>
    </w:r>
    <w:r xmlns:a="http://schemas.openxmlformats.org/drawingml/2006/main" xmlns:pic="http://schemas.openxmlformats.org/drawingml/2006/picture">
      <w:rPr>
        <w:rFonts w:ascii="Segoe UI" w:hAnsi="Segoe UI" w:cs="Segoe UI"/>
        <w:color w:val="FFFFFF"/>
        <w:sz w:val="16"/>
        <w:szCs w:val="16"/>
      </w:rPr>
      <w:fldChar w:fldCharType="begin"/>
    </w:r>
    <w:r xmlns:a="http://schemas.openxmlformats.org/drawingml/2006/main" xmlns:pic="http://schemas.openxmlformats.org/drawingml/2006/picture">
      <w:rPr>
        <w:rFonts w:ascii="Segoe UI" w:hAnsi="Segoe UI" w:cs="Segoe UI"/>
        <w:color w:val="FFFFFF"/>
        <w:sz w:val="16"/>
        <w:szCs w:val="16"/>
      </w:rPr>
      <w:instrText xml:space="preserve"> PAGE </w:instrText>
    </w:r>
    <w:r xmlns:a="http://schemas.openxmlformats.org/drawingml/2006/main" xmlns:pic="http://schemas.openxmlformats.org/drawingml/2006/picture">
      <w:rPr>
        <w:rFonts w:ascii="Segoe UI" w:hAnsi="Segoe UI" w:cs="Segoe UI"/>
        <w:color w:val="FFFFFF"/>
        <w:sz w:val="16"/>
        <w:szCs w:val="16"/>
      </w:rPr>
      <w:fldChar w:fldCharType="separate"/>
    </w:r>
    <w:r xmlns:a="http://schemas.openxmlformats.org/drawingml/2006/main" xmlns:pic="http://schemas.openxmlformats.org/drawingml/2006/picture">
      <w:rPr>
        <w:rFonts w:ascii="Segoe UI" w:hAnsi="Segoe UI" w:cs="Segoe UI"/>
        <w:color w:val="FFFFFF"/>
        <w:sz w:val="16"/>
        <w:szCs w:val="16"/>
      </w:rPr>
      <w:t>1</w:t>
    </w:r>
    <w:r xmlns:a="http://schemas.openxmlformats.org/drawingml/2006/main" xmlns:pic="http://schemas.openxmlformats.org/drawingml/2006/picture">
      <w:rPr>
        <w:rFonts w:ascii="Segoe UI" w:hAnsi="Segoe UI" w:cs="Segoe UI"/>
        <w:color w:val="FFFFFF"/>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557CB" w14:textId="77777777" w:rsidR="00A242E6" w:rsidRDefault="00A242E6">
      <w:pPr>
        <w:spacing w:after="0" w:line="240" w:lineRule="auto"/>
      </w:pPr>
      <w:r>
        <w:separator/>
      </w:r>
    </w:p>
  </w:footnote>
  <w:footnote w:type="continuationSeparator" w:id="0">
    <w:p w14:paraId="5971213E" w14:textId="77777777" w:rsidR="00A242E6" w:rsidRDefault="00A242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00E75530" w14:paraId="1C7D462D" w14:textId="77777777" w:rsidTr="2EB1E806">
      <w:trPr>
        <w:trHeight w:val="300"/>
      </w:trPr>
      <w:tc>
        <w:tcPr>
          <w:tcW w:w="3005" w:type="dxa"/>
        </w:tcPr>
        <w:p w14:paraId="46651DEC" w14:textId="77777777" w:rsidR="00E75530" w:rsidRDefault="00E75530" w:rsidP="2EB1E806">
          <w:pPr>
            <w:pStyle w:val="Header"/>
            <w:ind w:left="-115"/>
          </w:pPr>
        </w:p>
      </w:tc>
      <w:tc>
        <w:tcPr>
          <w:tcW w:w="3005" w:type="dxa"/>
        </w:tcPr>
        <w:p w14:paraId="3039B243" w14:textId="77777777" w:rsidR="00E75530" w:rsidRDefault="00E75530" w:rsidP="2EB1E806">
          <w:pPr>
            <w:pStyle w:val="Header"/>
            <w:jc w:val="center"/>
          </w:pPr>
        </w:p>
      </w:tc>
      <w:tc>
        <w:tcPr>
          <w:tcW w:w="3005" w:type="dxa"/>
        </w:tcPr>
        <w:p w14:paraId="307891C7" w14:textId="77777777" w:rsidR="00E75530" w:rsidRDefault="00E75530" w:rsidP="2EB1E806">
          <w:pPr>
            <w:pStyle w:val="Header"/>
            <w:ind w:right="-115"/>
            <w:jc w:val="right"/>
          </w:pPr>
        </w:p>
      </w:tc>
    </w:tr>
  </w:tbl>
  <w:p w14:paraId="0CF9FFBF" w14:textId="77777777" w:rsidR="00E75530" w:rsidRDefault="00E755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F60D61"/>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1316623F"/>
    <w:multiLevelType w:val="multilevel"/>
    <w:tmpl w:val="2670F7AE"/>
    <w:lvl w:ilvl="0">
      <w:start w:val="1"/>
      <w:numFmt w:val="decimal"/>
      <w:lvlText w:val="%1."/>
      <w:lvlJc w:val="left"/>
      <w:pPr>
        <w:ind w:left="360" w:hanging="360"/>
      </w:pPr>
      <w:rPr>
        <w:rFonts w:ascii="Segoe UI" w:hAnsi="Segoe UI" w:hint="default"/>
        <w:b/>
        <w:i w:val="0"/>
        <w:color w:val="003399"/>
        <w:sz w:val="28"/>
      </w:rPr>
    </w:lvl>
    <w:lvl w:ilvl="1">
      <w:start w:val="1"/>
      <w:numFmt w:val="decimal"/>
      <w:lvlText w:val="%1.%2."/>
      <w:lvlJc w:val="left"/>
      <w:pPr>
        <w:ind w:left="792" w:hanging="432"/>
      </w:pPr>
      <w:rPr>
        <w:rFonts w:ascii="Segoe UI" w:hAnsi="Segoe UI" w:hint="default"/>
        <w:b/>
        <w:i w:val="0"/>
        <w:color w:val="003399"/>
        <w:sz w:val="24"/>
      </w:rPr>
    </w:lvl>
    <w:lvl w:ilvl="2">
      <w:start w:val="1"/>
      <w:numFmt w:val="decimal"/>
      <w:lvlText w:val="%1.%2.%3."/>
      <w:lvlJc w:val="left"/>
      <w:pPr>
        <w:ind w:left="1224" w:hanging="504"/>
      </w:pPr>
      <w:rPr>
        <w:rFonts w:ascii="Segoe UI" w:hAnsi="Segoe UI" w:hint="default"/>
        <w:b/>
        <w:i w:val="0"/>
        <w:color w:val="003399"/>
        <w:sz w:val="20"/>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xmlns:a="http://schemas.openxmlformats.org/drawingml/2006/main" xmlns:pic="http://schemas.openxmlformats.org/drawingml/2006/picture" w:abstractNumId="11">
    <w:multiLevelType w:val="hybridMultilevel"/>
    <w:lvl w:ilvl="0">
      <w:start w:val="1"/>
      <w:numFmt w:val="bullet"/>
      <w:lvlText w:val="•"/>
      <w:lvlJc w:val="left"/>
      <w:pPr>
        <w:ind w:left="360" w:hanging="300"/>
      </w:pPr>
      <w:rPr>
        <w:rFonts w:ascii="Segoe UI" w:hAnsi="Segoe UI" w:hint="default"/>
        <w:color w:val="1D74BA"/>
      </w:rPr>
    </w:lvl>
    <w:lvl w:ilvl="1">
      <w:start w:val="1"/>
      <w:numFmt w:val="bullet"/>
      <w:lvlText w:val="–"/>
      <w:lvlJc w:val="left"/>
      <w:pPr>
        <w:ind w:left="720" w:hanging="300"/>
      </w:pPr>
      <w:rPr>
        <w:rFonts w:ascii="Segoe UI" w:hAnsi="Segoe UI" w:hint="default"/>
        <w:color w:val="1D74BA"/>
      </w:rPr>
    </w:lvl>
    <w:lvl w:ilvl="2">
      <w:start w:val="1"/>
      <w:numFmt w:val="bullet"/>
      <w:lvlText w:val="◦"/>
      <w:lvlJc w:val="left"/>
      <w:pPr>
        <w:ind w:left="1080" w:hanging="300"/>
      </w:pPr>
      <w:rPr>
        <w:rFonts w:ascii="Segoe UI" w:hAnsi="Segoe UI" w:hint="default"/>
        <w:color w:val="1D74BA"/>
      </w:rPr>
    </w:lvl>
    <w:lvl w:ilvl="3">
      <w:start w:val="1"/>
      <w:numFmt w:val="bullet"/>
      <w:lvlText w:val="•"/>
      <w:lvlJc w:val="left"/>
      <w:pPr>
        <w:ind w:left="1440" w:hanging="300"/>
      </w:pPr>
      <w:rPr>
        <w:rFonts w:ascii="Segoe UI" w:hAnsi="Segoe UI" w:hint="default"/>
        <w:color w:val="1D74BA"/>
      </w:rPr>
    </w:lvl>
    <w:lvl w:ilvl="4">
      <w:start w:val="1"/>
      <w:numFmt w:val="bullet"/>
      <w:lvlText w:val="–"/>
      <w:lvlJc w:val="left"/>
      <w:pPr>
        <w:ind w:left="1800" w:hanging="300"/>
      </w:pPr>
      <w:rPr>
        <w:rFonts w:ascii="Segoe UI" w:hAnsi="Segoe UI" w:hint="default"/>
        <w:color w:val="1D74BA"/>
      </w:rPr>
    </w:lvl>
    <w:lvl w:ilvl="5">
      <w:start w:val="1"/>
      <w:numFmt w:val="bullet"/>
      <w:lvlText w:val="◦"/>
      <w:lvlJc w:val="left"/>
      <w:pPr>
        <w:ind w:left="2160" w:hanging="300"/>
      </w:pPr>
      <w:rPr>
        <w:rFonts w:ascii="Segoe UI" w:hAnsi="Segoe UI" w:hint="default"/>
        <w:color w:val="1D74BA"/>
      </w:rPr>
    </w:lvl>
    <w:lvl w:ilvl="6">
      <w:start w:val="1"/>
      <w:numFmt w:val="bullet"/>
      <w:lvlText w:val="•"/>
      <w:lvlJc w:val="left"/>
      <w:pPr>
        <w:ind w:left="2520" w:hanging="300"/>
      </w:pPr>
      <w:rPr>
        <w:rFonts w:ascii="Segoe UI" w:hAnsi="Segoe UI" w:hint="default"/>
        <w:color w:val="1D74BA"/>
      </w:rPr>
    </w:lvl>
    <w:lvl w:ilvl="7">
      <w:start w:val="1"/>
      <w:numFmt w:val="bullet"/>
      <w:lvlText w:val="–"/>
      <w:lvlJc w:val="left"/>
      <w:pPr>
        <w:ind w:left="2880" w:hanging="300"/>
      </w:pPr>
      <w:rPr>
        <w:rFonts w:ascii="Segoe UI" w:hAnsi="Segoe UI" w:hint="default"/>
        <w:color w:val="1D74BA"/>
      </w:rPr>
    </w:lvl>
    <w:lvl w:ilvl="8">
      <w:start w:val="1"/>
      <w:numFmt w:val="bullet"/>
      <w:lvlText w:val="◦"/>
      <w:lvlJc w:val="left"/>
      <w:pPr>
        <w:ind w:left="3240" w:hanging="300"/>
      </w:pPr>
      <w:rPr>
        <w:rFonts w:ascii="Segoe UI" w:hAnsi="Segoe UI" w:hint="default"/>
        <w:color w:val="1D74BA"/>
      </w:rPr>
    </w:lvl>
  </w:abstractNum>
  <w:abstractNum xmlns:a="http://schemas.openxmlformats.org/drawingml/2006/main" xmlns:pic="http://schemas.openxmlformats.org/drawingml/2006/picture" w:abstractNumId="12">
    <w:multiLevelType w:val="hybridMultilevel"/>
    <w:lvl w:ilvl="0">
      <w:start w:val="1"/>
      <w:numFmt w:val="decimal"/>
      <w:lvlText w:val="%1."/>
      <w:lvlJc w:val="left"/>
      <w:pPr>
        <w:ind w:left="400" w:hanging="360"/>
      </w:pPr>
      <w:rPr>
        <w:rFonts w:ascii="Segoe UI" w:hAnsi="Segoe UI" w:hint="default"/>
      </w:rPr>
    </w:lvl>
    <w:lvl w:ilvl="1">
      <w:start w:val="1"/>
      <w:numFmt w:val="lowerLetter"/>
      <w:lvlText w:val="%2."/>
      <w:lvlJc w:val="left"/>
      <w:pPr>
        <w:ind w:left="780" w:hanging="360"/>
      </w:pPr>
      <w:rPr>
        <w:rFonts w:ascii="Segoe UI" w:hAnsi="Segoe UI" w:hint="default"/>
      </w:rPr>
    </w:lvl>
    <w:lvl w:ilvl="2">
      <w:start w:val="1"/>
      <w:numFmt w:val="lowerRoman"/>
      <w:lvlText w:val="%3."/>
      <w:lvlJc w:val="left"/>
      <w:pPr>
        <w:ind w:left="1160" w:hanging="360"/>
      </w:pPr>
      <w:rPr>
        <w:rFonts w:ascii="Segoe UI" w:hAnsi="Segoe UI" w:hint="default"/>
      </w:rPr>
    </w:lvl>
    <w:lvl w:ilvl="3">
      <w:start w:val="1"/>
      <w:numFmt w:val="decimal"/>
      <w:lvlText w:val="%4."/>
      <w:lvlJc w:val="left"/>
      <w:pPr>
        <w:ind w:left="1540" w:hanging="360"/>
      </w:pPr>
      <w:rPr>
        <w:rFonts w:ascii="Segoe UI" w:hAnsi="Segoe UI" w:hint="default"/>
      </w:rPr>
    </w:lvl>
    <w:lvl w:ilvl="4">
      <w:start w:val="1"/>
      <w:numFmt w:val="lowerLetter"/>
      <w:lvlText w:val="%5."/>
      <w:lvlJc w:val="left"/>
      <w:pPr>
        <w:ind w:left="1920" w:hanging="360"/>
      </w:pPr>
      <w:rPr>
        <w:rFonts w:ascii="Segoe UI" w:hAnsi="Segoe UI" w:hint="default"/>
      </w:rPr>
    </w:lvl>
    <w:lvl w:ilvl="5">
      <w:start w:val="1"/>
      <w:numFmt w:val="lowerRoman"/>
      <w:lvlText w:val="%6."/>
      <w:lvlJc w:val="left"/>
      <w:pPr>
        <w:ind w:left="2300" w:hanging="360"/>
      </w:pPr>
      <w:rPr>
        <w:rFonts w:ascii="Segoe UI" w:hAnsi="Segoe UI" w:hint="default"/>
      </w:rPr>
    </w:lvl>
    <w:lvl w:ilvl="6">
      <w:start w:val="1"/>
      <w:numFmt w:val="decimal"/>
      <w:lvlText w:val="%7."/>
      <w:lvlJc w:val="left"/>
      <w:pPr>
        <w:ind w:left="2680" w:hanging="360"/>
      </w:pPr>
      <w:rPr>
        <w:rFonts w:ascii="Segoe UI" w:hAnsi="Segoe UI" w:hint="default"/>
      </w:rPr>
    </w:lvl>
    <w:lvl w:ilvl="7">
      <w:start w:val="1"/>
      <w:numFmt w:val="lowerLetter"/>
      <w:lvlText w:val="%8."/>
      <w:lvlJc w:val="left"/>
      <w:pPr>
        <w:ind w:left="3060" w:hanging="360"/>
      </w:pPr>
      <w:rPr>
        <w:rFonts w:ascii="Segoe UI" w:hAnsi="Segoe UI" w:hint="default"/>
      </w:rPr>
    </w:lvl>
    <w:lvl w:ilvl="8">
      <w:start w:val="1"/>
      <w:numFmt w:val="lowerRoman"/>
      <w:lvlText w:val="%9."/>
      <w:lvlJc w:val="left"/>
      <w:pPr>
        <w:ind w:left="3440" w:hanging="360"/>
      </w:pPr>
      <w:rPr>
        <w:rFonts w:ascii="Segoe UI" w:hAnsi="Segoe UI" w:hint="default"/>
      </w:rPr>
    </w:lvl>
  </w:abstractNum>
  <w:abstractNum xmlns:a="http://schemas.openxmlformats.org/drawingml/2006/main" xmlns:pic="http://schemas.openxmlformats.org/drawingml/2006/picture" w:abstractNumId="13">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abstractNum xmlns:a="http://schemas.openxmlformats.org/drawingml/2006/main" xmlns:pic="http://schemas.openxmlformats.org/drawingml/2006/picture" w:abstractNumId="14">
    <w:multiLevelType w:val="multilevel"/>
    <w:lvl w:ilvl="0">
      <w:start w:val="1"/>
      <w:numFmt w:val="decimal"/>
      <w:lvlText w:val="%1."/>
      <w:lvlJc w:val="left"/>
      <w:pPr>
        <w:tabs>
          <w:tab w:val="num" w:pos="500"/>
        </w:tabs>
        <w:ind w:left="500" w:hanging="500"/>
      </w:pPr>
      <w:rPr>
        <w:rFonts w:ascii="Segoe UI" w:hAnsi="Segoe UI" w:hint="default"/>
        <w:b/>
        <w:i w:val="0"/>
        <w:color w:val="003399"/>
        <w:sz w:val="28"/>
      </w:rPr>
    </w:lvl>
    <w:lvl w:ilvl="1">
      <w:start w:val="1"/>
      <w:numFmt w:val="decimal"/>
      <w:lvlText w:val="%1.%2"/>
      <w:lvlJc w:val="left"/>
      <w:pPr>
        <w:tabs>
          <w:tab w:val="num" w:pos="720"/>
        </w:tabs>
        <w:ind w:left="720" w:hanging="720"/>
      </w:pPr>
      <w:rPr>
        <w:rFonts w:ascii="Segoe UI" w:hAnsi="Segoe UI" w:hint="default"/>
        <w:b/>
        <w:i w:val="0"/>
        <w:color w:val="003399"/>
        <w:sz w:val="24"/>
      </w:rPr>
    </w:lvl>
    <w:lvl w:ilvl="2">
      <w:start w:val="1"/>
      <w:numFmt w:val="decimal"/>
      <w:lvlText w:val="%1.%2.%3"/>
      <w:lvlJc w:val="left"/>
      <w:pPr>
        <w:tabs>
          <w:tab w:val="num" w:pos="900"/>
        </w:tabs>
        <w:ind w:left="900" w:hanging="900"/>
      </w:pPr>
      <w:rPr>
        <w:rFonts w:ascii="Segoe UI" w:hAnsi="Segoe UI" w:hint="default"/>
        <w:b/>
        <w:i w:val="0"/>
        <w:color w:val="003399"/>
        <w:sz w:val="22"/>
      </w:rPr>
    </w:lvl>
    <w:lvl w:ilvl="3">
      <w:start w:val="1"/>
      <w:numFmt w:val="decimal"/>
      <w:lvlText w:val="%1.%2.%3.%4"/>
      <w:lvlJc w:val="left"/>
      <w:pPr>
        <w:tabs>
          <w:tab w:val="num" w:pos="900"/>
        </w:tabs>
        <w:ind w:left="900" w:hanging="900"/>
      </w:pPr>
      <w:rPr>
        <w:rFonts w:ascii="Segoe UI" w:hAnsi="Segoe UI" w:hint="default"/>
        <w:b/>
        <w:i w:val="0"/>
        <w:color w:val="003399"/>
        <w:sz w:val="22"/>
      </w:rPr>
    </w:lvl>
    <w:lvl w:ilvl="4">
      <w:start w:val="1"/>
      <w:numFmt w:val="decimal"/>
      <w:lvlText w:val="%1.%2.%3.%4.%5"/>
      <w:lvlJc w:val="left"/>
      <w:pPr>
        <w:tabs>
          <w:tab w:val="num" w:pos="900"/>
        </w:tabs>
        <w:ind w:left="900" w:hanging="900"/>
      </w:pPr>
      <w:rPr>
        <w:rFonts w:ascii="Segoe UI" w:hAnsi="Segoe UI" w:hint="default"/>
        <w:b/>
        <w:i w:val="0"/>
        <w:color w:val="003399"/>
        <w:sz w:val="22"/>
      </w:rPr>
    </w:lvl>
    <w:lvl w:ilvl="5">
      <w:start w:val="1"/>
      <w:numFmt w:val="decimal"/>
      <w:lvlText w:val="%1.%2.%3.%4.%5.%6"/>
      <w:lvlJc w:val="left"/>
      <w:pPr>
        <w:tabs>
          <w:tab w:val="num" w:pos="900"/>
        </w:tabs>
        <w:ind w:left="900" w:hanging="900"/>
      </w:pPr>
      <w:rPr>
        <w:rFonts w:ascii="Segoe UI" w:hAnsi="Segoe UI" w:hint="default"/>
        <w:b/>
        <w:i w:val="0"/>
        <w:color w:val="003399"/>
        <w:sz w:val="22"/>
      </w:rPr>
    </w:lvl>
    <w:lvl w:ilvl="6">
      <w:start w:val="1"/>
      <w:numFmt w:val="decimal"/>
      <w:lvlText w:val="%1.%2.%3.%4.%5.%6.%7"/>
      <w:lvlJc w:val="left"/>
      <w:pPr>
        <w:tabs>
          <w:tab w:val="num" w:pos="900"/>
        </w:tabs>
        <w:ind w:left="900" w:hanging="900"/>
      </w:pPr>
      <w:rPr>
        <w:rFonts w:ascii="Segoe UI" w:hAnsi="Segoe UI" w:hint="default"/>
        <w:b/>
        <w:i w:val="0"/>
        <w:color w:val="003399"/>
        <w:sz w:val="22"/>
      </w:rPr>
    </w:lvl>
    <w:lvl w:ilvl="7">
      <w:start w:val="1"/>
      <w:numFmt w:val="decimal"/>
      <w:lvlText w:val="%1.%2.%3.%4.%5.%6.%7.%8"/>
      <w:lvlJc w:val="left"/>
      <w:pPr>
        <w:tabs>
          <w:tab w:val="num" w:pos="900"/>
        </w:tabs>
        <w:ind w:left="900" w:hanging="900"/>
      </w:pPr>
      <w:rPr>
        <w:rFonts w:ascii="Segoe UI" w:hAnsi="Segoe UI" w:hint="default"/>
        <w:b/>
        <w:i w:val="0"/>
        <w:color w:val="003399"/>
        <w:sz w:val="22"/>
      </w:rPr>
    </w:lvl>
    <w:lvl w:ilvl="8">
      <w:start w:val="1"/>
      <w:numFmt w:val="decimal"/>
      <w:lvlText w:val="%1.%2.%3.%4.%5.%6.%7.%8.%9"/>
      <w:lvlJc w:val="left"/>
      <w:pPr>
        <w:tabs>
          <w:tab w:val="num" w:pos="900"/>
        </w:tabs>
        <w:ind w:left="900" w:hanging="900"/>
      </w:pPr>
      <w:rPr>
        <w:rFonts w:ascii="Segoe UI" w:hAnsi="Segoe UI" w:hint="default"/>
        <w:b/>
        <w:i w:val="0"/>
        <w:color w:val="003399"/>
        <w:sz w:val="22"/>
      </w:rPr>
    </w:lvl>
  </w:abstractNum>
  <w:num w:numId="1" w16cid:durableId="1413504409">
    <w:abstractNumId w:val="0"/>
  </w:num>
  <w:num w:numId="2" w16cid:durableId="1722510407">
    <w:abstractNumId w:val="1"/>
  </w:num>
  <w:num xmlns:a="http://schemas.openxmlformats.org/drawingml/2006/main" xmlns:pic="http://schemas.openxmlformats.org/drawingml/2006/picture" w:numId="12">
    <w:abstractNumId w:val="11"/>
  </w:num>
  <w:num xmlns:a="http://schemas.openxmlformats.org/drawingml/2006/main" xmlns:pic="http://schemas.openxmlformats.org/drawingml/2006/picture" w:numId="13">
    <w:abstractNumId w:val="13"/>
  </w:num>
  <w:num xmlns:a="http://schemas.openxmlformats.org/drawingml/2006/main" xmlns:pic="http://schemas.openxmlformats.org/drawingml/2006/picture" w:numId="14">
    <w:abstractNumId w:val="14"/>
  </w:num>
  <w:num xmlns:a="http://schemas.openxmlformats.org/drawingml/2006/main" xmlns:pic="http://schemas.openxmlformats.org/drawingml/2006/picture" w:numId="15">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updateFields xmlns:wp="http://schemas.openxmlformats.org/drawingml/2006/wordprocessingDrawing" xmlns:a="http://schemas.openxmlformats.org/drawingml/2006/main" xmlns:pic="http://schemas.openxmlformats.org/drawingml/2006/picture" w:val="tru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8619CAF"/>
    <w:rsid w:val="0000218A"/>
    <w:rsid w:val="00042B57"/>
    <w:rsid w:val="00052F56"/>
    <w:rsid w:val="0005688C"/>
    <w:rsid w:val="000568F1"/>
    <w:rsid w:val="00063BDA"/>
    <w:rsid w:val="000A49F2"/>
    <w:rsid w:val="000B63E5"/>
    <w:rsid w:val="000C0114"/>
    <w:rsid w:val="000C1431"/>
    <w:rsid w:val="000E2CCE"/>
    <w:rsid w:val="000E3A8A"/>
    <w:rsid w:val="000E6F4B"/>
    <w:rsid w:val="000F3FF5"/>
    <w:rsid w:val="000F41A4"/>
    <w:rsid w:val="000F4CCD"/>
    <w:rsid w:val="000F4EB5"/>
    <w:rsid w:val="00101A6A"/>
    <w:rsid w:val="00104904"/>
    <w:rsid w:val="00117C0B"/>
    <w:rsid w:val="001315CF"/>
    <w:rsid w:val="00132BD0"/>
    <w:rsid w:val="00146E08"/>
    <w:rsid w:val="00165D5A"/>
    <w:rsid w:val="0017322E"/>
    <w:rsid w:val="00175012"/>
    <w:rsid w:val="001820B4"/>
    <w:rsid w:val="0019429B"/>
    <w:rsid w:val="001A0057"/>
    <w:rsid w:val="001A0CA8"/>
    <w:rsid w:val="001A308F"/>
    <w:rsid w:val="001B5005"/>
    <w:rsid w:val="001D3CAE"/>
    <w:rsid w:val="001D5721"/>
    <w:rsid w:val="001D63DE"/>
    <w:rsid w:val="001E33AB"/>
    <w:rsid w:val="001E62E7"/>
    <w:rsid w:val="001F3059"/>
    <w:rsid w:val="0021019E"/>
    <w:rsid w:val="00217326"/>
    <w:rsid w:val="00230C12"/>
    <w:rsid w:val="002552E7"/>
    <w:rsid w:val="00266FD0"/>
    <w:rsid w:val="00267AA2"/>
    <w:rsid w:val="00277C08"/>
    <w:rsid w:val="00284E6D"/>
    <w:rsid w:val="00291400"/>
    <w:rsid w:val="00293152"/>
    <w:rsid w:val="002964A1"/>
    <w:rsid w:val="002A380B"/>
    <w:rsid w:val="002A7439"/>
    <w:rsid w:val="002B183A"/>
    <w:rsid w:val="002C210A"/>
    <w:rsid w:val="002C4C51"/>
    <w:rsid w:val="002C702D"/>
    <w:rsid w:val="002D24EB"/>
    <w:rsid w:val="002D2E94"/>
    <w:rsid w:val="002D72E9"/>
    <w:rsid w:val="002E01F0"/>
    <w:rsid w:val="002E33DD"/>
    <w:rsid w:val="002F0D17"/>
    <w:rsid w:val="002F14E6"/>
    <w:rsid w:val="002F15FD"/>
    <w:rsid w:val="002F2AB4"/>
    <w:rsid w:val="00302D80"/>
    <w:rsid w:val="003066FC"/>
    <w:rsid w:val="00332B5D"/>
    <w:rsid w:val="003352B3"/>
    <w:rsid w:val="00342678"/>
    <w:rsid w:val="00344ED2"/>
    <w:rsid w:val="0034793E"/>
    <w:rsid w:val="00347EBD"/>
    <w:rsid w:val="003508EA"/>
    <w:rsid w:val="0036406E"/>
    <w:rsid w:val="003746B4"/>
    <w:rsid w:val="00375053"/>
    <w:rsid w:val="00386071"/>
    <w:rsid w:val="003929B6"/>
    <w:rsid w:val="003A2082"/>
    <w:rsid w:val="003A560F"/>
    <w:rsid w:val="003A6145"/>
    <w:rsid w:val="003A6CCA"/>
    <w:rsid w:val="003A74E0"/>
    <w:rsid w:val="003C3BF4"/>
    <w:rsid w:val="003C514A"/>
    <w:rsid w:val="003C7B6B"/>
    <w:rsid w:val="003D05E3"/>
    <w:rsid w:val="003F0D95"/>
    <w:rsid w:val="00405DF9"/>
    <w:rsid w:val="00413CDB"/>
    <w:rsid w:val="004170F2"/>
    <w:rsid w:val="00432E0E"/>
    <w:rsid w:val="00435034"/>
    <w:rsid w:val="00435327"/>
    <w:rsid w:val="0043534B"/>
    <w:rsid w:val="0044099E"/>
    <w:rsid w:val="00442F0D"/>
    <w:rsid w:val="004477F0"/>
    <w:rsid w:val="004503D4"/>
    <w:rsid w:val="00452E5E"/>
    <w:rsid w:val="004647A1"/>
    <w:rsid w:val="00474CE6"/>
    <w:rsid w:val="004913D2"/>
    <w:rsid w:val="004A02DA"/>
    <w:rsid w:val="004A1359"/>
    <w:rsid w:val="004B2DAF"/>
    <w:rsid w:val="004B625D"/>
    <w:rsid w:val="004C7746"/>
    <w:rsid w:val="004E295B"/>
    <w:rsid w:val="004E4690"/>
    <w:rsid w:val="004F06C7"/>
    <w:rsid w:val="004F3C1D"/>
    <w:rsid w:val="0050492D"/>
    <w:rsid w:val="00506CE2"/>
    <w:rsid w:val="005117B0"/>
    <w:rsid w:val="00515DD1"/>
    <w:rsid w:val="00526F27"/>
    <w:rsid w:val="005274C4"/>
    <w:rsid w:val="00527DC4"/>
    <w:rsid w:val="00530CF1"/>
    <w:rsid w:val="00551FBB"/>
    <w:rsid w:val="00557619"/>
    <w:rsid w:val="0056723D"/>
    <w:rsid w:val="005801AB"/>
    <w:rsid w:val="00582D45"/>
    <w:rsid w:val="005965C9"/>
    <w:rsid w:val="00597C78"/>
    <w:rsid w:val="005B20F7"/>
    <w:rsid w:val="005C6A01"/>
    <w:rsid w:val="005D416F"/>
    <w:rsid w:val="005D66A3"/>
    <w:rsid w:val="005E50D8"/>
    <w:rsid w:val="005E5BDB"/>
    <w:rsid w:val="006035C8"/>
    <w:rsid w:val="0061697C"/>
    <w:rsid w:val="006205C2"/>
    <w:rsid w:val="00635465"/>
    <w:rsid w:val="00636B4E"/>
    <w:rsid w:val="0064254C"/>
    <w:rsid w:val="006470D1"/>
    <w:rsid w:val="006636A0"/>
    <w:rsid w:val="00672F40"/>
    <w:rsid w:val="006A00B9"/>
    <w:rsid w:val="006A3B4D"/>
    <w:rsid w:val="006A5A6F"/>
    <w:rsid w:val="006B0390"/>
    <w:rsid w:val="006C0479"/>
    <w:rsid w:val="006D5B1D"/>
    <w:rsid w:val="006E299A"/>
    <w:rsid w:val="006F00EA"/>
    <w:rsid w:val="006F1953"/>
    <w:rsid w:val="006F76BF"/>
    <w:rsid w:val="006F794B"/>
    <w:rsid w:val="00702A04"/>
    <w:rsid w:val="0070768E"/>
    <w:rsid w:val="00716258"/>
    <w:rsid w:val="0072222E"/>
    <w:rsid w:val="00725646"/>
    <w:rsid w:val="00732BA3"/>
    <w:rsid w:val="0073383D"/>
    <w:rsid w:val="00734A87"/>
    <w:rsid w:val="007526C4"/>
    <w:rsid w:val="00760478"/>
    <w:rsid w:val="0077617F"/>
    <w:rsid w:val="007857E1"/>
    <w:rsid w:val="00785E13"/>
    <w:rsid w:val="00792F52"/>
    <w:rsid w:val="007A4A03"/>
    <w:rsid w:val="007A633B"/>
    <w:rsid w:val="007A71F1"/>
    <w:rsid w:val="007B02D5"/>
    <w:rsid w:val="007B4988"/>
    <w:rsid w:val="007D7821"/>
    <w:rsid w:val="007F11E9"/>
    <w:rsid w:val="007F30C2"/>
    <w:rsid w:val="007F472F"/>
    <w:rsid w:val="008064DE"/>
    <w:rsid w:val="00806B12"/>
    <w:rsid w:val="00810A00"/>
    <w:rsid w:val="008115F2"/>
    <w:rsid w:val="008142DD"/>
    <w:rsid w:val="00816F52"/>
    <w:rsid w:val="0082012F"/>
    <w:rsid w:val="00822C46"/>
    <w:rsid w:val="0083379F"/>
    <w:rsid w:val="0084601F"/>
    <w:rsid w:val="00850063"/>
    <w:rsid w:val="008501FA"/>
    <w:rsid w:val="00851AA2"/>
    <w:rsid w:val="0085347F"/>
    <w:rsid w:val="0088114F"/>
    <w:rsid w:val="00883FF9"/>
    <w:rsid w:val="008962E2"/>
    <w:rsid w:val="008966B3"/>
    <w:rsid w:val="008B2159"/>
    <w:rsid w:val="008C0C77"/>
    <w:rsid w:val="008E432C"/>
    <w:rsid w:val="00905E50"/>
    <w:rsid w:val="009109A9"/>
    <w:rsid w:val="0091281E"/>
    <w:rsid w:val="00913938"/>
    <w:rsid w:val="00914989"/>
    <w:rsid w:val="00915839"/>
    <w:rsid w:val="00922A5C"/>
    <w:rsid w:val="009319BC"/>
    <w:rsid w:val="00962B66"/>
    <w:rsid w:val="009853D4"/>
    <w:rsid w:val="00995621"/>
    <w:rsid w:val="009A509A"/>
    <w:rsid w:val="009B6DDB"/>
    <w:rsid w:val="009C183B"/>
    <w:rsid w:val="009C3226"/>
    <w:rsid w:val="009C54E5"/>
    <w:rsid w:val="009D1BA6"/>
    <w:rsid w:val="009E5C44"/>
    <w:rsid w:val="009F60B4"/>
    <w:rsid w:val="00A05431"/>
    <w:rsid w:val="00A12B12"/>
    <w:rsid w:val="00A242E6"/>
    <w:rsid w:val="00A42EF2"/>
    <w:rsid w:val="00A446DF"/>
    <w:rsid w:val="00A63673"/>
    <w:rsid w:val="00A87E4D"/>
    <w:rsid w:val="00A948CA"/>
    <w:rsid w:val="00A967C0"/>
    <w:rsid w:val="00AB1D58"/>
    <w:rsid w:val="00AB415C"/>
    <w:rsid w:val="00AB5A66"/>
    <w:rsid w:val="00AB70BF"/>
    <w:rsid w:val="00AD2457"/>
    <w:rsid w:val="00AD7E84"/>
    <w:rsid w:val="00AF3120"/>
    <w:rsid w:val="00B03E51"/>
    <w:rsid w:val="00B11280"/>
    <w:rsid w:val="00B145FD"/>
    <w:rsid w:val="00B34C4C"/>
    <w:rsid w:val="00B36355"/>
    <w:rsid w:val="00B41393"/>
    <w:rsid w:val="00B55DFA"/>
    <w:rsid w:val="00B65D18"/>
    <w:rsid w:val="00B67F6B"/>
    <w:rsid w:val="00B92133"/>
    <w:rsid w:val="00BA7965"/>
    <w:rsid w:val="00BB13EB"/>
    <w:rsid w:val="00BB70EE"/>
    <w:rsid w:val="00BD09D6"/>
    <w:rsid w:val="00BD192A"/>
    <w:rsid w:val="00BE35E1"/>
    <w:rsid w:val="00BE7A2E"/>
    <w:rsid w:val="00BF0754"/>
    <w:rsid w:val="00BF0B1E"/>
    <w:rsid w:val="00BF4953"/>
    <w:rsid w:val="00C33D1A"/>
    <w:rsid w:val="00C453D8"/>
    <w:rsid w:val="00C53EE2"/>
    <w:rsid w:val="00C7250E"/>
    <w:rsid w:val="00C73E90"/>
    <w:rsid w:val="00C86161"/>
    <w:rsid w:val="00CA2181"/>
    <w:rsid w:val="00CA3397"/>
    <w:rsid w:val="00CA3752"/>
    <w:rsid w:val="00CB72C2"/>
    <w:rsid w:val="00CC174D"/>
    <w:rsid w:val="00CD4769"/>
    <w:rsid w:val="00CE291D"/>
    <w:rsid w:val="00CE412D"/>
    <w:rsid w:val="00CE55AD"/>
    <w:rsid w:val="00CE59F7"/>
    <w:rsid w:val="00CF36DA"/>
    <w:rsid w:val="00D0151B"/>
    <w:rsid w:val="00D1397F"/>
    <w:rsid w:val="00D1561E"/>
    <w:rsid w:val="00D35AD1"/>
    <w:rsid w:val="00D46CF6"/>
    <w:rsid w:val="00D63589"/>
    <w:rsid w:val="00D64521"/>
    <w:rsid w:val="00D75FF4"/>
    <w:rsid w:val="00D828C7"/>
    <w:rsid w:val="00D8334F"/>
    <w:rsid w:val="00D9094D"/>
    <w:rsid w:val="00DA62B8"/>
    <w:rsid w:val="00DB603E"/>
    <w:rsid w:val="00DC143C"/>
    <w:rsid w:val="00DC5AFC"/>
    <w:rsid w:val="00DD0B50"/>
    <w:rsid w:val="00DD20A9"/>
    <w:rsid w:val="00DD615A"/>
    <w:rsid w:val="00DD7430"/>
    <w:rsid w:val="00DF2344"/>
    <w:rsid w:val="00E06159"/>
    <w:rsid w:val="00E1122A"/>
    <w:rsid w:val="00E1377B"/>
    <w:rsid w:val="00E1476A"/>
    <w:rsid w:val="00E2456D"/>
    <w:rsid w:val="00E25350"/>
    <w:rsid w:val="00E46E45"/>
    <w:rsid w:val="00E53623"/>
    <w:rsid w:val="00E53FF8"/>
    <w:rsid w:val="00E621D8"/>
    <w:rsid w:val="00E75530"/>
    <w:rsid w:val="00E82847"/>
    <w:rsid w:val="00E92ED2"/>
    <w:rsid w:val="00EA48D7"/>
    <w:rsid w:val="00EC0DBF"/>
    <w:rsid w:val="00EC1FCB"/>
    <w:rsid w:val="00EC3C7D"/>
    <w:rsid w:val="00EE516B"/>
    <w:rsid w:val="00EF479A"/>
    <w:rsid w:val="00F00ADB"/>
    <w:rsid w:val="00F22B91"/>
    <w:rsid w:val="00F26BAF"/>
    <w:rsid w:val="00F27EC9"/>
    <w:rsid w:val="00F40452"/>
    <w:rsid w:val="00F51C7F"/>
    <w:rsid w:val="00F65143"/>
    <w:rsid w:val="00F65451"/>
    <w:rsid w:val="00F700CF"/>
    <w:rsid w:val="00F70204"/>
    <w:rsid w:val="00F709B7"/>
    <w:rsid w:val="00F77716"/>
    <w:rsid w:val="00FB21C6"/>
    <w:rsid w:val="00FB2A82"/>
    <w:rsid w:val="00FD67F2"/>
    <w:rsid w:val="00FF7FF8"/>
    <w:rsid w:val="01CA9D05"/>
    <w:rsid w:val="055BFCB9"/>
    <w:rsid w:val="0687B841"/>
    <w:rsid w:val="0E539202"/>
    <w:rsid w:val="1763029D"/>
    <w:rsid w:val="1795DE0D"/>
    <w:rsid w:val="19651ED0"/>
    <w:rsid w:val="1A2B37AE"/>
    <w:rsid w:val="1B9AC10C"/>
    <w:rsid w:val="1CF41131"/>
    <w:rsid w:val="1DE7F87D"/>
    <w:rsid w:val="22B94435"/>
    <w:rsid w:val="25F16803"/>
    <w:rsid w:val="2810A832"/>
    <w:rsid w:val="29630CD1"/>
    <w:rsid w:val="2A929015"/>
    <w:rsid w:val="2EB1E806"/>
    <w:rsid w:val="2F7DEDA7"/>
    <w:rsid w:val="3050B4C0"/>
    <w:rsid w:val="3B384731"/>
    <w:rsid w:val="41E865D3"/>
    <w:rsid w:val="423B9943"/>
    <w:rsid w:val="465B543B"/>
    <w:rsid w:val="4FD68526"/>
    <w:rsid w:val="528B570B"/>
    <w:rsid w:val="58619CAF"/>
    <w:rsid w:val="59FE61E3"/>
    <w:rsid w:val="5D67F8AB"/>
    <w:rsid w:val="5EC7D5D1"/>
    <w:rsid w:val="5F792426"/>
    <w:rsid w:val="6241B22A"/>
    <w:rsid w:val="65EF8D46"/>
    <w:rsid w:val="6BFAB9C3"/>
    <w:rsid w:val="6D706F02"/>
    <w:rsid w:val="75B95BFB"/>
    <w:rsid w:val="76E53D01"/>
    <w:rsid w:val="783CCA2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95C7AF"/>
  <w15:chartTrackingRefBased/>
  <w15:docId w15:val="{E1FC862B-6EF8-40CD-AC6E-FBDED42DDE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xmlns:wp="http://schemas.openxmlformats.org/drawingml/2006/wordprocessingDrawing" xmlns:a="http://schemas.openxmlformats.org/drawingml/2006/main" xmlns:pic="http://schemas.openxmlformats.org/drawingml/2006/picture" w:type="paragraph" w:default="1" w:styleId="Normal">
    <w:name w:val="Normal"/>
    <w:qFormat/>
    <w:pPr>
      <w:spacing w:after="120" w:line="264" w:lineRule="auto"/>
    </w:pPr>
    <w:rPr>
      <w:rFonts w:ascii="Segoe UI" w:hAnsi="Segoe UI" w:cs="Segoe UI" w:eastAsia="Segoe UI"/>
      <w:color w:val="101820"/>
      <w:sz w:val="22"/>
      <w:szCs w:val="22"/>
      <w:lang w:val="en-GB"/>
    </w:rPr>
  </w:style>
  <w:style xmlns:wp="http://schemas.openxmlformats.org/drawingml/2006/wordprocessingDrawing" xmlns:a="http://schemas.openxmlformats.org/drawingml/2006/main" xmlns:pic="http://schemas.openxmlformats.org/drawingml/2006/picture" w:type="paragraph" w:styleId="Heading1">
    <w:name w:val="heading 1"/>
    <w:basedOn w:val="Normal"/>
    <w:next w:val="Normal"/>
    <w:uiPriority w:val="9"/>
    <w:qFormat/>
    <w:pPr>
      <w:keepNext/>
      <w:keepLines/>
      <w:spacing w:before="360" w:after="140" w:line="264" w:lineRule="auto"/>
      <w:outlineLvl w:val="0"/>
    </w:pPr>
    <w:rPr>
      <w:rFonts w:ascii="Segoe UI" w:hAnsi="Segoe UI" w:cs="Segoe UI" w:eastAsia="Segoe UI"/>
      <w:b/>
      <w:bCs/>
      <w:color w:val="0F476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1B9AC10C"/>
    <w:pPr>
      <w:tabs>
        <w:tab w:val="center" w:pos="4680"/>
        <w:tab w:val="right" w:pos="9360"/>
      </w:tabs>
      <w:spacing w:after="0" w:line="240" w:lineRule="auto"/>
    </w:pPr>
  </w:style>
  <w:style w:type="paragraph" w:styleId="Footer">
    <w:name w:val="footer"/>
    <w:basedOn w:val="Normal"/>
    <w:link w:val="FooterChar"/>
    <w:uiPriority w:val="99"/>
    <w:unhideWhenUsed/>
    <w:rsid w:val="1B9AC10C"/>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rsid w:val="007526C4"/>
  </w:style>
  <w:style w:type="character" w:customStyle="1" w:styleId="FooterChar">
    <w:name w:val="Footer Char"/>
    <w:basedOn w:val="DefaultParagraphFont"/>
    <w:link w:val="Footer"/>
    <w:uiPriority w:val="99"/>
    <w:rsid w:val="007A4A03"/>
  </w:style>
  <w:style w:type="character" w:customStyle="1" w:styleId="Heading1Char">
    <w:name w:val="Heading 1 Char"/>
    <w:basedOn w:val="DefaultParagraphFont"/>
    <w:link w:val="Heading1"/>
    <w:uiPriority w:val="9"/>
    <w:rsid w:val="002B183A"/>
    <w:rPr>
      <w:rFonts w:asciiTheme="majorHAnsi" w:eastAsiaTheme="majorEastAsia" w:hAnsiTheme="majorHAnsi" w:cstheme="majorBidi"/>
      <w:color w:val="0F4761" w:themeColor="accent1" w:themeShade="BF"/>
      <w:sz w:val="32"/>
      <w:szCs w:val="32"/>
    </w:rPr>
  </w:style>
  <w:style w:type="character" w:styleId="Hyperlink">
    <w:name w:val="Hyperlink"/>
    <w:uiPriority w:val="99"/>
    <w:unhideWhenUsed/>
    <w:rsid w:val="002B183A"/>
    <w:rPr>
      <w:color w:val="0000FF"/>
      <w:u w:val="single"/>
    </w:rPr>
  </w:style>
  <w:style w:type="paragraph" w:styleId="TOCHeading">
    <w:name w:val="TOC Heading"/>
    <w:basedOn w:val="Heading1"/>
    <w:next w:val="Normal"/>
    <w:uiPriority w:val="39"/>
    <w:unhideWhenUsed/>
    <w:qFormat/>
    <w:rsid w:val="002B183A"/>
    <w:pPr>
      <w:spacing w:before="480" w:line="276" w:lineRule="auto"/>
      <w:outlineLvl w:val="9"/>
    </w:pPr>
    <w:rPr>
      <w:rFonts w:ascii="Arial" w:eastAsia="Times New Roman" w:hAnsi="Arial" w:cs="Arial"/>
      <w:bCs/>
      <w:color w:val="365F91"/>
      <w:sz w:val="28"/>
      <w:szCs w:val="28"/>
      <w:lang w:eastAsia="en-US"/>
    </w:rPr>
  </w:style>
  <w:style xmlns:wp="http://schemas.openxmlformats.org/drawingml/2006/wordprocessingDrawing" xmlns:a="http://schemas.openxmlformats.org/drawingml/2006/main" xmlns:pic="http://schemas.openxmlformats.org/drawingml/2006/picture" w:type="paragraph" w:styleId="TOC1">
    <w:name w:val="toc 1"/>
    <w:basedOn w:val="Normal"/>
    <w:next w:val="Normal"/>
    <w:uiPriority w:val="39"/>
    <w:unhideWhenUsed/>
    <w:pPr>
      <w:tabs>
        <w:tab w:val="left" w:pos="500"/>
        <w:tab w:val="right" w:leader="dot" w:pos="9027"/>
      </w:tabs>
      <w:spacing w:before="60" w:after="60" w:line="240" w:lineRule="auto"/>
      <w:ind w:left="0" w:right="400" w:hanging="0"/>
    </w:pPr>
    <w:rPr>
      <w:rFonts w:ascii="Segoe UI" w:hAnsi="Segoe UI" w:cs="Segoe UI" w:eastAsia="Segoe UI"/>
      <w:b/>
      <w:noProof/>
      <w:color w:val="101820"/>
      <w:sz w:val="20"/>
    </w:rPr>
  </w:style>
  <w:style w:type="character" w:styleId="BookTitle">
    <w:name w:val="Book Title"/>
    <w:uiPriority w:val="33"/>
    <w:qFormat/>
    <w:rsid w:val="002B183A"/>
    <w:rPr>
      <w:b/>
      <w:bCs/>
      <w:i/>
      <w:iCs/>
      <w:spacing w:val="5"/>
    </w:rPr>
  </w:style>
  <w:style xmlns:wp="http://schemas.openxmlformats.org/drawingml/2006/wordprocessingDrawing" xmlns:a="http://schemas.openxmlformats.org/drawingml/2006/main" xmlns:pic="http://schemas.openxmlformats.org/drawingml/2006/picture" w:type="paragraph" w:styleId="Heading2">
    <w:name w:val="heading 2"/>
    <w:basedOn w:val="Normal"/>
    <w:next w:val="Normal"/>
    <w:uiPriority w:val="9"/>
    <w:qFormat/>
    <w:pPr>
      <w:keepNext/>
      <w:keepLines/>
      <w:spacing w:before="280" w:after="100" w:line="264" w:lineRule="auto"/>
      <w:outlineLvl w:val="1"/>
    </w:pPr>
    <w:rPr>
      <w:rFonts w:ascii="Segoe UI" w:hAnsi="Segoe UI" w:cs="Segoe UI" w:eastAsia="Segoe UI"/>
      <w:b/>
      <w:bCs/>
      <w:color w:val="0F4761"/>
      <w:sz w:val="24"/>
      <w:szCs w:val="24"/>
    </w:rPr>
  </w:style>
  <w:style xmlns:wp="http://schemas.openxmlformats.org/drawingml/2006/wordprocessingDrawing" xmlns:a="http://schemas.openxmlformats.org/drawingml/2006/main" xmlns:pic="http://schemas.openxmlformats.org/drawingml/2006/picture" w:type="paragraph" w:styleId="Heading3">
    <w:name w:val="heading 3"/>
    <w:basedOn w:val="Normal"/>
    <w:next w:val="Normal"/>
    <w:uiPriority w:val="9"/>
    <w:qFormat/>
    <w:pPr>
      <w:keepNext/>
      <w:keepLines/>
      <w:spacing w:before="220" w:after="80" w:line="264" w:lineRule="auto"/>
      <w:outlineLvl w:val="2"/>
    </w:pPr>
    <w:rPr>
      <w:rFonts w:ascii="Segoe UI" w:hAnsi="Segoe UI" w:cs="Segoe UI" w:eastAsia="Segoe UI"/>
      <w:b/>
      <w:bCs/>
      <w:color w:val="0F4761"/>
      <w:sz w:val="22"/>
      <w:szCs w:val="22"/>
    </w:rPr>
  </w:style>
  <w:style xmlns:wp="http://schemas.openxmlformats.org/drawingml/2006/wordprocessingDrawing" xmlns:a="http://schemas.openxmlformats.org/drawingml/2006/main" xmlns:pic="http://schemas.openxmlformats.org/drawingml/2006/picture" w:type="paragraph" w:styleId="TOC2">
    <w:name w:val="toc 2"/>
    <w:basedOn w:val="Normal"/>
    <w:next w:val="Normal"/>
    <w:uiPriority w:val="39"/>
    <w:unhideWhenUsed/>
    <w:pPr>
      <w:tabs>
        <w:tab w:val="left" w:pos="1020"/>
        <w:tab w:val="right" w:leader="dot" w:pos="9027"/>
      </w:tabs>
      <w:spacing w:before="0" w:after="60" w:line="240" w:lineRule="auto"/>
      <w:ind w:left="3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TOC3">
    <w:name w:val="toc 3"/>
    <w:basedOn w:val="Normal"/>
    <w:next w:val="Normal"/>
    <w:uiPriority w:val="39"/>
    <w:unhideWhenUsed/>
    <w:pPr>
      <w:tabs>
        <w:tab w:val="left" w:pos="1500"/>
        <w:tab w:val="right" w:leader="dot" w:pos="9027"/>
      </w:tabs>
      <w:spacing w:before="0" w:after="60" w:line="240" w:lineRule="auto"/>
      <w:ind w:left="600" w:right="400" w:hanging="0"/>
    </w:pPr>
    <w:rPr>
      <w:rFonts w:ascii="Segoe UI" w:hAnsi="Segoe UI" w:cs="Segoe UI" w:eastAsia="Segoe UI"/>
      <w:noProof/>
      <w:color w:val="101820"/>
      <w:sz w:val="19"/>
    </w:rPr>
  </w:style>
  <w:style xmlns:wp="http://schemas.openxmlformats.org/drawingml/2006/wordprocessingDrawing" xmlns:a="http://schemas.openxmlformats.org/drawingml/2006/main" xmlns:pic="http://schemas.openxmlformats.org/drawingml/2006/picture" w:type="paragraph" w:styleId="Caption">
    <w:name w:val="caption"/>
    <w:basedOn w:val="Normal"/>
    <w:next w:val="Normal"/>
    <w:qFormat/>
    <w:pPr>
      <w:keepNext/>
      <w:spacing w:before="120" w:after="80"/>
    </w:pPr>
    <w:rPr>
      <w:b/>
      <w:color w:val="0F476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19" Type="http://schemas.openxmlformats.org/officeDocument/2006/relationships/footer" Target="footer_landscap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_landscape.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812</Words>
  <Characters>4634</Characters>
  <Application>Microsoft Office Word</Application>
  <DocSecurity>0</DocSecurity>
  <Lines>38</Lines>
  <Paragraphs>10</Paragraphs>
  <ScaleCrop>false</ScaleCrop>
  <Company>iorta TechNXT</Company>
  <LinksUpToDate>false</LinksUpToDate>
  <CharactersWithSpaces>5436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TISPH Feature Catalogue and Release Tiers</dc:title>
  <dc:subject>Toyota Insurance Services Philippines</dc:subject>
  <dc:creator>iorta TechNXT</dc:creator>
  <cp:keywords>TISPH; BrokerVerse</cp:keywords>
  <dc:description/>
  <cp:lastModifiedBy>iorta TechNXT</cp:lastModifiedBy>
  <cp:revision>1</cp:revision>
  <dcterms:created xsi:type="dcterms:W3CDTF">2026-10-11T02:42:13Z</dcterms:created>
  <dcterms:modified xsi:type="dcterms:W3CDTF">2026-10-11T02:42:13Z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