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8.png" ContentType="image/png"/>
  <Override PartName="/word/media/image17.png" ContentType="image/png"/>
  <Override PartName="/word/media/image11.png" ContentType="image/png"/>
  <Override PartName="/word/media/image2.png" ContentType="image/png"/>
  <Override PartName="/word/media/image24.png" ContentType="image/png"/>
  <Override PartName="/word/media/image22.png" ContentType="image/png"/>
  <Override PartName="/word/media/image1.jpeg" ContentType="image/jpeg"/>
  <Override PartName="/word/media/image10.png" ContentType="image/png"/>
  <Override PartName="/word/media/image23.jpeg" ContentType="image/jpeg"/>
  <Override PartName="/word/media/image21.png" ContentType="image/png"/>
  <Override PartName="/word/media/image19.png" ContentType="image/png"/>
  <Override PartName="/word/media/image6.png" ContentType="image/png"/>
  <Override PartName="/word/media/image15.png" ContentType="image/png"/>
  <Override PartName="/word/media/image5.png" ContentType="image/png"/>
  <Override PartName="/word/media/image14.png" ContentType="image/png"/>
  <Override PartName="/word/media/image16.png" ContentType="image/png"/>
  <Override PartName="/word/media/image7.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69">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81">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71"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w:t>
                      </w:r>
                    </w:p>
                  </w:txbxContent>
                </v:textbox>
                <w10:wrap type="square"/>
              </v:rect>
            </w:pict>
          </mc:Fallback>
        </mc:AlternateContent>
        <mc:AlternateContent>
          <mc:Choice Requires="wps">
            <w:drawing>
              <wp:anchor behindDoc="0" distT="45720" distB="45720" distL="113030" distR="114935" simplePos="0" locked="0" layoutInCell="0" allowOverlap="1" relativeHeight="73"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1.0</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1.0</w:t>
                      </w:r>
                    </w:p>
                  </w:txbxContent>
                </v:textbox>
                <w10:wrap type="square"/>
              </v:rect>
            </w:pict>
          </mc:Fallback>
        </mc:AlternateContent>
        <mc:AlternateContent>
          <mc:Choice Requires="wps">
            <w:drawing>
              <wp:anchor behindDoc="0" distT="45720" distB="45720" distL="114300" distR="113665" simplePos="0" locked="0" layoutInCell="0" allowOverlap="1" relativeHeight="75"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03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03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77"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Product Functionality</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Product Functionality</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79"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iNXT BrokerVerse OOTB</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iNXT BrokerVerse OOTB</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7842_1338352368">
            <w:r>
              <w:rPr>
                <w:webHidden/>
                <w:rStyle w:val="IndexLink"/>
              </w:rPr>
              <w:t xml:space="preserve"> </w:t>
            </w:r>
            <w:r>
              <w:rPr>
                <w:rStyle w:val="IndexLink"/>
                <w:i w:val="false"/>
                <w:iCs w:val="false"/>
              </w:rPr>
              <w:t>1. Document Control</w:t>
            </w:r>
            <w:r>
              <w:rPr>
                <w:rStyle w:val="IndexLink"/>
              </w:rPr>
              <w:tab/>
              <w:t>4</w:t>
            </w:r>
          </w:hyperlink>
        </w:p>
        <w:p>
          <w:pPr>
            <w:pStyle w:val="TOC1"/>
            <w:tabs>
              <w:tab w:val="clear" w:pos="900"/>
              <w:tab w:val="clear" w:pos="9350"/>
              <w:tab w:val="right" w:pos="9025" w:leader="dot"/>
            </w:tabs>
            <w:rPr/>
          </w:pPr>
          <w:hyperlink w:anchor="__RefHeading___Toc7844_1338352368">
            <w:r>
              <w:rPr>
                <w:webHidden/>
                <w:rStyle w:val="IndexLink"/>
                <w:i w:val="false"/>
                <w:iCs w:val="false"/>
              </w:rPr>
              <w:t>2. Acronyms</w:t>
            </w:r>
            <w:r>
              <w:rPr>
                <w:rStyle w:val="IndexLink"/>
              </w:rPr>
              <w:tab/>
              <w:t>4</w:t>
            </w:r>
          </w:hyperlink>
        </w:p>
        <w:p>
          <w:pPr>
            <w:pStyle w:val="TOC1"/>
            <w:tabs>
              <w:tab w:val="clear" w:pos="900"/>
              <w:tab w:val="clear" w:pos="9350"/>
              <w:tab w:val="right" w:pos="9025" w:leader="dot"/>
            </w:tabs>
            <w:rPr/>
          </w:pPr>
          <w:hyperlink w:anchor="__RefHeading___Toc7846_1338352368">
            <w:r>
              <w:rPr>
                <w:webHidden/>
                <w:rStyle w:val="IndexLink"/>
              </w:rPr>
              <w:t>3. Introduction</w:t>
              <w:tab/>
              <w:t>5</w:t>
            </w:r>
          </w:hyperlink>
        </w:p>
        <w:p>
          <w:pPr>
            <w:pStyle w:val="TOC2"/>
            <w:tabs>
              <w:tab w:val="clear" w:pos="900"/>
              <w:tab w:val="clear" w:pos="9350"/>
              <w:tab w:val="right" w:pos="9025" w:leader="dot"/>
            </w:tabs>
            <w:rPr/>
          </w:pPr>
          <w:hyperlink w:anchor="__RefHeading___Toc7848_1338352368">
            <w:r>
              <w:rPr>
                <w:webHidden/>
                <w:rStyle w:val="IndexLink"/>
              </w:rPr>
              <w:t>3.1 Purpose</w:t>
              <w:tab/>
              <w:t>5</w:t>
            </w:r>
          </w:hyperlink>
        </w:p>
        <w:p>
          <w:pPr>
            <w:pStyle w:val="TOC2"/>
            <w:tabs>
              <w:tab w:val="clear" w:pos="900"/>
              <w:tab w:val="clear" w:pos="9350"/>
              <w:tab w:val="right" w:pos="9025" w:leader="dot"/>
            </w:tabs>
            <w:rPr/>
          </w:pPr>
          <w:hyperlink w:anchor="__RefHeading___Toc7850_1338352368">
            <w:r>
              <w:rPr>
                <w:webHidden/>
                <w:rStyle w:val="IndexLink"/>
              </w:rPr>
              <w:t>3.2 Conventions</w:t>
              <w:tab/>
              <w:t>6</w:t>
            </w:r>
          </w:hyperlink>
        </w:p>
        <w:p>
          <w:pPr>
            <w:pStyle w:val="TOC2"/>
            <w:tabs>
              <w:tab w:val="clear" w:pos="900"/>
              <w:tab w:val="clear" w:pos="9350"/>
              <w:tab w:val="right" w:pos="9025" w:leader="dot"/>
            </w:tabs>
            <w:rPr/>
          </w:pPr>
          <w:hyperlink w:anchor="__RefHeading___Toc7852_1338352368">
            <w:r>
              <w:rPr>
                <w:webHidden/>
                <w:rStyle w:val="IndexLink"/>
              </w:rPr>
              <w:t>3.3 The product at a glance</w:t>
              <w:tab/>
              <w:t>6</w:t>
            </w:r>
          </w:hyperlink>
        </w:p>
        <w:p>
          <w:pPr>
            <w:pStyle w:val="TOC1"/>
            <w:tabs>
              <w:tab w:val="clear" w:pos="900"/>
              <w:tab w:val="clear" w:pos="9350"/>
              <w:tab w:val="right" w:pos="9025" w:leader="dot"/>
            </w:tabs>
            <w:rPr/>
          </w:pPr>
          <w:hyperlink w:anchor="__RefHeading___Toc7854_1338352368">
            <w:r>
              <w:rPr>
                <w:webHidden/>
                <w:rStyle w:val="IndexLink"/>
              </w:rPr>
              <w:t>4. The end-to-end process</w:t>
              <w:tab/>
              <w:t>7</w:t>
            </w:r>
          </w:hyperlink>
        </w:p>
        <w:p>
          <w:pPr>
            <w:pStyle w:val="TOC2"/>
            <w:tabs>
              <w:tab w:val="clear" w:pos="900"/>
              <w:tab w:val="clear" w:pos="9350"/>
              <w:tab w:val="right" w:pos="9025" w:leader="dot"/>
            </w:tabs>
            <w:rPr/>
          </w:pPr>
          <w:hyperlink w:anchor="__RefHeading___Toc7856_1338352368">
            <w:r>
              <w:rPr>
                <w:webHidden/>
                <w:rStyle w:val="IndexLink"/>
              </w:rPr>
              <w:t>4.1 The broking cycle</w:t>
              <w:tab/>
              <w:t>7</w:t>
            </w:r>
          </w:hyperlink>
        </w:p>
        <w:p>
          <w:pPr>
            <w:pStyle w:val="TOC2"/>
            <w:tabs>
              <w:tab w:val="clear" w:pos="900"/>
              <w:tab w:val="clear" w:pos="9350"/>
              <w:tab w:val="right" w:pos="9025" w:leader="dot"/>
            </w:tabs>
            <w:rPr/>
          </w:pPr>
          <w:hyperlink w:anchor="__RefHeading___Toc7858_1338352368">
            <w:r>
              <w:rPr>
                <w:webHidden/>
                <w:rStyle w:val="IndexLink"/>
              </w:rPr>
              <w:t>4.2 Placement journey by line of business</w:t>
              <w:tab/>
              <w:t>9</w:t>
            </w:r>
          </w:hyperlink>
        </w:p>
        <w:p>
          <w:pPr>
            <w:pStyle w:val="TOC2"/>
            <w:tabs>
              <w:tab w:val="clear" w:pos="900"/>
              <w:tab w:val="clear" w:pos="9350"/>
              <w:tab w:val="right" w:pos="9025" w:leader="dot"/>
            </w:tabs>
            <w:rPr/>
          </w:pPr>
          <w:hyperlink w:anchor="__RefHeading___Toc7860_1338352368">
            <w:r>
              <w:rPr>
                <w:webHidden/>
                <w:rStyle w:val="IndexLink"/>
              </w:rPr>
              <w:t>4.3 The money trail</w:t>
              <w:tab/>
              <w:t>9</w:t>
            </w:r>
          </w:hyperlink>
        </w:p>
        <w:p>
          <w:pPr>
            <w:pStyle w:val="TOC1"/>
            <w:tabs>
              <w:tab w:val="clear" w:pos="900"/>
              <w:tab w:val="clear" w:pos="9350"/>
              <w:tab w:val="right" w:pos="9025" w:leader="dot"/>
            </w:tabs>
            <w:rPr/>
          </w:pPr>
          <w:hyperlink w:anchor="__RefHeading___Toc7862_1338352368">
            <w:r>
              <w:rPr>
                <w:webHidden/>
                <w:rStyle w:val="IndexLink"/>
              </w:rPr>
              <w:t>5. Functional modules</w:t>
              <w:tab/>
              <w:t>11</w:t>
            </w:r>
          </w:hyperlink>
        </w:p>
        <w:p>
          <w:pPr>
            <w:pStyle w:val="TOC2"/>
            <w:tabs>
              <w:tab w:val="clear" w:pos="900"/>
              <w:tab w:val="clear" w:pos="9350"/>
              <w:tab w:val="right" w:pos="9025" w:leader="dot"/>
            </w:tabs>
            <w:rPr/>
          </w:pPr>
          <w:hyperlink w:anchor="__RefHeading___Toc7864_1338352368">
            <w:r>
              <w:rPr>
                <w:webHidden/>
                <w:rStyle w:val="IndexLink"/>
              </w:rPr>
              <w:t>5.1 Dashboards</w:t>
              <w:tab/>
              <w:t>11</w:t>
            </w:r>
          </w:hyperlink>
        </w:p>
        <w:p>
          <w:pPr>
            <w:pStyle w:val="TOC2"/>
            <w:tabs>
              <w:tab w:val="clear" w:pos="900"/>
              <w:tab w:val="clear" w:pos="9350"/>
              <w:tab w:val="right" w:pos="9025" w:leader="dot"/>
            </w:tabs>
            <w:rPr/>
          </w:pPr>
          <w:hyperlink w:anchor="__RefHeading___Toc7866_1338352368">
            <w:r>
              <w:rPr>
                <w:webHidden/>
                <w:rStyle w:val="IndexLink"/>
              </w:rPr>
              <w:t>5.2 Prospects and clients</w:t>
              <w:tab/>
              <w:t>12</w:t>
            </w:r>
          </w:hyperlink>
        </w:p>
        <w:p>
          <w:pPr>
            <w:pStyle w:val="TOC2"/>
            <w:tabs>
              <w:tab w:val="clear" w:pos="900"/>
              <w:tab w:val="clear" w:pos="9350"/>
              <w:tab w:val="right" w:pos="9025" w:leader="dot"/>
            </w:tabs>
            <w:rPr/>
          </w:pPr>
          <w:hyperlink w:anchor="__RefHeading___Toc7868_1338352368">
            <w:r>
              <w:rPr>
                <w:webHidden/>
                <w:rStyle w:val="IndexLink"/>
              </w:rPr>
              <w:t>5.3 Quick Quote and Compare Insurers</w:t>
              <w:tab/>
              <w:t>12</w:t>
            </w:r>
          </w:hyperlink>
        </w:p>
        <w:p>
          <w:pPr>
            <w:pStyle w:val="TOC2"/>
            <w:tabs>
              <w:tab w:val="clear" w:pos="900"/>
              <w:tab w:val="clear" w:pos="9350"/>
              <w:tab w:val="right" w:pos="9025" w:leader="dot"/>
            </w:tabs>
            <w:rPr/>
          </w:pPr>
          <w:hyperlink w:anchor="__RefHeading___Toc7870_1338352368">
            <w:r>
              <w:rPr>
                <w:webHidden/>
                <w:rStyle w:val="IndexLink"/>
              </w:rPr>
              <w:t>5.4 Motor quotation and customer approval</w:t>
              <w:tab/>
              <w:t>13</w:t>
            </w:r>
          </w:hyperlink>
        </w:p>
        <w:p>
          <w:pPr>
            <w:pStyle w:val="TOC2"/>
            <w:tabs>
              <w:tab w:val="clear" w:pos="900"/>
              <w:tab w:val="clear" w:pos="9350"/>
              <w:tab w:val="right" w:pos="9025" w:leader="dot"/>
            </w:tabs>
            <w:rPr/>
          </w:pPr>
          <w:hyperlink w:anchor="__RefHeading___Toc7872_1338352368">
            <w:r>
              <w:rPr>
                <w:webHidden/>
                <w:rStyle w:val="IndexLink"/>
              </w:rPr>
              <w:t>5.5 Request for Quotation and placement</w:t>
              <w:tab/>
              <w:t>14</w:t>
            </w:r>
          </w:hyperlink>
        </w:p>
        <w:p>
          <w:pPr>
            <w:pStyle w:val="TOC2"/>
            <w:tabs>
              <w:tab w:val="clear" w:pos="900"/>
              <w:tab w:val="clear" w:pos="9350"/>
              <w:tab w:val="right" w:pos="9025" w:leader="dot"/>
            </w:tabs>
            <w:rPr/>
          </w:pPr>
          <w:hyperlink w:anchor="__RefHeading___Toc7874_1338352368">
            <w:r>
              <w:rPr>
                <w:webHidden/>
                <w:rStyle w:val="IndexLink"/>
              </w:rPr>
              <w:t>5.6 Policy issuance and servicing</w:t>
              <w:tab/>
              <w:t>16</w:t>
            </w:r>
          </w:hyperlink>
        </w:p>
        <w:p>
          <w:pPr>
            <w:pStyle w:val="TOC2"/>
            <w:tabs>
              <w:tab w:val="clear" w:pos="900"/>
              <w:tab w:val="clear" w:pos="9350"/>
              <w:tab w:val="right" w:pos="9025" w:leader="dot"/>
            </w:tabs>
            <w:rPr/>
          </w:pPr>
          <w:hyperlink w:anchor="__RefHeading___Toc7876_1338352368">
            <w:r>
              <w:rPr>
                <w:webHidden/>
                <w:rStyle w:val="IndexLink"/>
              </w:rPr>
              <w:t>5.7 Endorsements and cancellations</w:t>
              <w:tab/>
              <w:t>18</w:t>
            </w:r>
          </w:hyperlink>
        </w:p>
        <w:p>
          <w:pPr>
            <w:pStyle w:val="TOC2"/>
            <w:tabs>
              <w:tab w:val="clear" w:pos="900"/>
              <w:tab w:val="clear" w:pos="9350"/>
              <w:tab w:val="right" w:pos="9025" w:leader="dot"/>
            </w:tabs>
            <w:rPr/>
          </w:pPr>
          <w:hyperlink w:anchor="__RefHeading___Toc7878_1338352368">
            <w:r>
              <w:rPr>
                <w:webHidden/>
                <w:rStyle w:val="IndexLink"/>
              </w:rPr>
              <w:t>5.8 Claims</w:t>
              <w:tab/>
              <w:t>18</w:t>
            </w:r>
          </w:hyperlink>
        </w:p>
        <w:p>
          <w:pPr>
            <w:pStyle w:val="TOC2"/>
            <w:tabs>
              <w:tab w:val="clear" w:pos="900"/>
              <w:tab w:val="clear" w:pos="9350"/>
              <w:tab w:val="right" w:pos="9025" w:leader="dot"/>
            </w:tabs>
            <w:rPr/>
          </w:pPr>
          <w:hyperlink w:anchor="__RefHeading___Toc7880_1338352368">
            <w:r>
              <w:rPr>
                <w:webHidden/>
                <w:rStyle w:val="IndexLink"/>
              </w:rPr>
              <w:t>5.9 Renewals</w:t>
              <w:tab/>
              <w:t>19</w:t>
            </w:r>
          </w:hyperlink>
        </w:p>
        <w:p>
          <w:pPr>
            <w:pStyle w:val="TOC2"/>
            <w:tabs>
              <w:tab w:val="clear" w:pos="900"/>
              <w:tab w:val="clear" w:pos="9350"/>
              <w:tab w:val="right" w:pos="9025" w:leader="dot"/>
            </w:tabs>
            <w:rPr/>
          </w:pPr>
          <w:hyperlink w:anchor="__RefHeading___Toc7882_1338352368">
            <w:r>
              <w:rPr>
                <w:webHidden/>
                <w:rStyle w:val="IndexLink"/>
              </w:rPr>
              <w:t>5.10 Billing, payments and official receipts</w:t>
              <w:tab/>
              <w:t>20</w:t>
            </w:r>
          </w:hyperlink>
        </w:p>
        <w:p>
          <w:pPr>
            <w:pStyle w:val="TOC2"/>
            <w:tabs>
              <w:tab w:val="clear" w:pos="900"/>
              <w:tab w:val="clear" w:pos="9350"/>
              <w:tab w:val="right" w:pos="9025" w:leader="dot"/>
            </w:tabs>
            <w:rPr/>
          </w:pPr>
          <w:hyperlink w:anchor="__RefHeading___Toc7884_1338352368">
            <w:r>
              <w:rPr>
                <w:webHidden/>
                <w:rStyle w:val="IndexLink"/>
              </w:rPr>
              <w:t>5.11 Collections and credit control</w:t>
              <w:tab/>
              <w:t>21</w:t>
            </w:r>
          </w:hyperlink>
        </w:p>
        <w:p>
          <w:pPr>
            <w:pStyle w:val="TOC2"/>
            <w:tabs>
              <w:tab w:val="clear" w:pos="900"/>
              <w:tab w:val="clear" w:pos="9350"/>
              <w:tab w:val="right" w:pos="9025" w:leader="dot"/>
            </w:tabs>
            <w:rPr/>
          </w:pPr>
          <w:hyperlink w:anchor="__RefHeading___Toc7886_1338352368">
            <w:r>
              <w:rPr>
                <w:webHidden/>
                <w:rStyle w:val="IndexLink"/>
              </w:rPr>
              <w:t>5.12 Disbursement and petty cash</w:t>
              <w:tab/>
              <w:t>23</w:t>
            </w:r>
          </w:hyperlink>
        </w:p>
        <w:p>
          <w:pPr>
            <w:pStyle w:val="TOC2"/>
            <w:tabs>
              <w:tab w:val="clear" w:pos="900"/>
              <w:tab w:val="clear" w:pos="9350"/>
              <w:tab w:val="right" w:pos="9025" w:leader="dot"/>
            </w:tabs>
            <w:rPr/>
          </w:pPr>
          <w:hyperlink w:anchor="__RefHeading___Toc7888_1338352368">
            <w:r>
              <w:rPr>
                <w:webHidden/>
                <w:rStyle w:val="IndexLink"/>
              </w:rPr>
              <w:t>5.13 Remittance to insurers and direct bill</w:t>
              <w:tab/>
              <w:t>23</w:t>
            </w:r>
          </w:hyperlink>
        </w:p>
        <w:p>
          <w:pPr>
            <w:pStyle w:val="TOC2"/>
            <w:tabs>
              <w:tab w:val="clear" w:pos="900"/>
              <w:tab w:val="clear" w:pos="9350"/>
              <w:tab w:val="right" w:pos="9025" w:leader="dot"/>
            </w:tabs>
            <w:rPr/>
          </w:pPr>
          <w:hyperlink w:anchor="__RefHeading___Toc7890_1338352368">
            <w:r>
              <w:rPr>
                <w:webHidden/>
                <w:rStyle w:val="IndexLink"/>
              </w:rPr>
              <w:t>5.14 Commission and referrers</w:t>
              <w:tab/>
              <w:t>24</w:t>
            </w:r>
          </w:hyperlink>
        </w:p>
        <w:p>
          <w:pPr>
            <w:pStyle w:val="TOC2"/>
            <w:tabs>
              <w:tab w:val="clear" w:pos="900"/>
              <w:tab w:val="clear" w:pos="9350"/>
              <w:tab w:val="right" w:pos="9025" w:leader="dot"/>
            </w:tabs>
            <w:rPr/>
          </w:pPr>
          <w:hyperlink w:anchor="__RefHeading___Toc7892_1338352368">
            <w:r>
              <w:rPr>
                <w:webHidden/>
                <w:rStyle w:val="IndexLink"/>
              </w:rPr>
              <w:t>5.15 Incentives</w:t>
              <w:tab/>
              <w:t>25</w:t>
            </w:r>
          </w:hyperlink>
        </w:p>
        <w:p>
          <w:pPr>
            <w:pStyle w:val="TOC2"/>
            <w:tabs>
              <w:tab w:val="clear" w:pos="900"/>
              <w:tab w:val="clear" w:pos="9350"/>
              <w:tab w:val="right" w:pos="9025" w:leader="dot"/>
            </w:tabs>
            <w:rPr/>
          </w:pPr>
          <w:hyperlink w:anchor="__RefHeading___Toc7894_1338352368">
            <w:r>
              <w:rPr>
                <w:webHidden/>
                <w:rStyle w:val="IndexLink"/>
              </w:rPr>
              <w:t>5.16 General ledger and journals</w:t>
              <w:tab/>
              <w:t>26</w:t>
            </w:r>
          </w:hyperlink>
        </w:p>
        <w:p>
          <w:pPr>
            <w:pStyle w:val="TOC2"/>
            <w:tabs>
              <w:tab w:val="clear" w:pos="900"/>
              <w:tab w:val="clear" w:pos="9350"/>
              <w:tab w:val="right" w:pos="9025" w:leader="dot"/>
            </w:tabs>
            <w:rPr/>
          </w:pPr>
          <w:hyperlink w:anchor="__RefHeading___Toc7896_1338352368">
            <w:r>
              <w:rPr>
                <w:webHidden/>
                <w:rStyle w:val="IndexLink"/>
              </w:rPr>
              <w:t>5.17 Period end</w:t>
              <w:tab/>
              <w:t>26</w:t>
            </w:r>
          </w:hyperlink>
        </w:p>
        <w:p>
          <w:pPr>
            <w:pStyle w:val="TOC2"/>
            <w:tabs>
              <w:tab w:val="clear" w:pos="900"/>
              <w:tab w:val="clear" w:pos="9350"/>
              <w:tab w:val="right" w:pos="9025" w:leader="dot"/>
            </w:tabs>
            <w:rPr/>
          </w:pPr>
          <w:hyperlink w:anchor="__RefHeading___Toc7898_1338352368">
            <w:r>
              <w:rPr>
                <w:webHidden/>
                <w:rStyle w:val="IndexLink"/>
              </w:rPr>
              <w:t>5.18 Bank reconciliation</w:t>
              <w:tab/>
              <w:t>27</w:t>
            </w:r>
          </w:hyperlink>
        </w:p>
        <w:p>
          <w:pPr>
            <w:pStyle w:val="TOC2"/>
            <w:tabs>
              <w:tab w:val="clear" w:pos="900"/>
              <w:tab w:val="clear" w:pos="9350"/>
              <w:tab w:val="right" w:pos="9025" w:leader="dot"/>
            </w:tabs>
            <w:rPr/>
          </w:pPr>
          <w:hyperlink w:anchor="__RefHeading___Toc7900_1338352368">
            <w:r>
              <w:rPr>
                <w:webHidden/>
                <w:rStyle w:val="IndexLink"/>
              </w:rPr>
              <w:t>5.19 Insurer reconciliation</w:t>
              <w:tab/>
              <w:t>28</w:t>
            </w:r>
          </w:hyperlink>
        </w:p>
        <w:p>
          <w:pPr>
            <w:pStyle w:val="TOC2"/>
            <w:tabs>
              <w:tab w:val="clear" w:pos="900"/>
              <w:tab w:val="clear" w:pos="9350"/>
              <w:tab w:val="right" w:pos="9025" w:leader="dot"/>
            </w:tabs>
            <w:rPr/>
          </w:pPr>
          <w:hyperlink w:anchor="__RefHeading___Toc7902_1338352368">
            <w:r>
              <w:rPr>
                <w:webHidden/>
                <w:rStyle w:val="IndexLink"/>
              </w:rPr>
              <w:t>5.20 BIR tax</w:t>
              <w:tab/>
              <w:t>29</w:t>
            </w:r>
          </w:hyperlink>
        </w:p>
        <w:p>
          <w:pPr>
            <w:pStyle w:val="TOC2"/>
            <w:tabs>
              <w:tab w:val="clear" w:pos="900"/>
              <w:tab w:val="clear" w:pos="9350"/>
              <w:tab w:val="right" w:pos="9025" w:leader="dot"/>
            </w:tabs>
            <w:rPr/>
          </w:pPr>
          <w:hyperlink w:anchor="__RefHeading___Toc7904_1338352368">
            <w:r>
              <w:rPr>
                <w:webHidden/>
                <w:rStyle w:val="IndexLink"/>
              </w:rPr>
              <w:t>5.21 Reinsurance</w:t>
              <w:tab/>
              <w:t>30</w:t>
            </w:r>
          </w:hyperlink>
        </w:p>
        <w:p>
          <w:pPr>
            <w:pStyle w:val="TOC2"/>
            <w:tabs>
              <w:tab w:val="clear" w:pos="900"/>
              <w:tab w:val="clear" w:pos="9350"/>
              <w:tab w:val="right" w:pos="9025" w:leader="dot"/>
            </w:tabs>
            <w:rPr/>
          </w:pPr>
          <w:hyperlink w:anchor="__RefHeading___Toc7906_1338352368">
            <w:r>
              <w:rPr>
                <w:webHidden/>
                <w:rStyle w:val="IndexLink"/>
              </w:rPr>
              <w:t>5.22 Product Configurator</w:t>
              <w:tab/>
              <w:t>31</w:t>
            </w:r>
          </w:hyperlink>
        </w:p>
        <w:p>
          <w:pPr>
            <w:pStyle w:val="TOC2"/>
            <w:tabs>
              <w:tab w:val="clear" w:pos="900"/>
              <w:tab w:val="clear" w:pos="9350"/>
              <w:tab w:val="right" w:pos="9025" w:leader="dot"/>
            </w:tabs>
            <w:rPr/>
          </w:pPr>
          <w:hyperlink w:anchor="__RefHeading___Toc7908_1338352368">
            <w:r>
              <w:rPr>
                <w:webHidden/>
                <w:rStyle w:val="IndexLink"/>
              </w:rPr>
              <w:t>5.23 Reports</w:t>
              <w:tab/>
              <w:t>32</w:t>
            </w:r>
          </w:hyperlink>
        </w:p>
        <w:p>
          <w:pPr>
            <w:pStyle w:val="TOC2"/>
            <w:tabs>
              <w:tab w:val="clear" w:pos="900"/>
              <w:tab w:val="clear" w:pos="9350"/>
              <w:tab w:val="right" w:pos="9025" w:leader="dot"/>
            </w:tabs>
            <w:rPr/>
          </w:pPr>
          <w:hyperlink w:anchor="__RefHeading___Toc7910_1338352368">
            <w:r>
              <w:rPr>
                <w:webHidden/>
                <w:rStyle w:val="IndexLink"/>
              </w:rPr>
              <w:t>5.24 Notifications and e-mail</w:t>
              <w:tab/>
              <w:t>33</w:t>
            </w:r>
          </w:hyperlink>
        </w:p>
        <w:p>
          <w:pPr>
            <w:pStyle w:val="TOC2"/>
            <w:tabs>
              <w:tab w:val="clear" w:pos="900"/>
              <w:tab w:val="clear" w:pos="9350"/>
              <w:tab w:val="right" w:pos="9025" w:leader="dot"/>
            </w:tabs>
            <w:rPr/>
          </w:pPr>
          <w:hyperlink w:anchor="__RefHeading___Toc7912_1338352368">
            <w:r>
              <w:rPr>
                <w:webHidden/>
                <w:rStyle w:val="IndexLink"/>
              </w:rPr>
              <w:t>5.25 Data privacy</w:t>
              <w:tab/>
              <w:t>34</w:t>
            </w:r>
          </w:hyperlink>
        </w:p>
        <w:p>
          <w:pPr>
            <w:pStyle w:val="TOC2"/>
            <w:tabs>
              <w:tab w:val="clear" w:pos="900"/>
              <w:tab w:val="clear" w:pos="9350"/>
              <w:tab w:val="right" w:pos="9025" w:leader="dot"/>
            </w:tabs>
            <w:rPr/>
          </w:pPr>
          <w:hyperlink w:anchor="__RefHeading___Toc7914_1338352368">
            <w:r>
              <w:rPr>
                <w:webHidden/>
                <w:rStyle w:val="IndexLink"/>
              </w:rPr>
              <w:t>5.26 Administration, security and configuration</w:t>
              <w:tab/>
              <w:t>35</w:t>
            </w:r>
          </w:hyperlink>
        </w:p>
        <w:p>
          <w:pPr>
            <w:pStyle w:val="TOC1"/>
            <w:tabs>
              <w:tab w:val="clear" w:pos="900"/>
              <w:tab w:val="clear" w:pos="9350"/>
              <w:tab w:val="right" w:pos="9025" w:leader="dot"/>
            </w:tabs>
            <w:rPr/>
          </w:pPr>
          <w:hyperlink w:anchor="__RefHeading___Toc7916_1338352368">
            <w:r>
              <w:rPr>
                <w:webHidden/>
                <w:rStyle w:val="IndexLink"/>
              </w:rPr>
              <w:t>6. OOTB scope and optional extras</w:t>
              <w:tab/>
              <w:t>37</w:t>
            </w:r>
          </w:hyperlink>
        </w:p>
        <w:p>
          <w:pPr>
            <w:pStyle w:val="TOC2"/>
            <w:tabs>
              <w:tab w:val="clear" w:pos="900"/>
              <w:tab w:val="clear" w:pos="9350"/>
              <w:tab w:val="right" w:pos="9025" w:leader="dot"/>
            </w:tabs>
            <w:rPr/>
          </w:pPr>
          <w:hyperlink w:anchor="__RefHeading___Toc7918_1338352368">
            <w:r>
              <w:rPr>
                <w:webHidden/>
                <w:rStyle w:val="IndexLink"/>
              </w:rPr>
              <w:t>6.1 What the OOTB edition includes</w:t>
              <w:tab/>
              <w:t>37</w:t>
            </w:r>
          </w:hyperlink>
        </w:p>
        <w:p>
          <w:pPr>
            <w:pStyle w:val="TOC2"/>
            <w:tabs>
              <w:tab w:val="clear" w:pos="900"/>
              <w:tab w:val="clear" w:pos="9350"/>
              <w:tab w:val="right" w:pos="9025" w:leader="dot"/>
            </w:tabs>
            <w:rPr/>
          </w:pPr>
          <w:hyperlink w:anchor="__RefHeading___Toc7920_1338352368">
            <w:r>
              <w:rPr>
                <w:webHidden/>
                <w:rStyle w:val="IndexLink"/>
              </w:rPr>
              <w:t>6.2 Optional extras and change requests</w:t>
              <w:tab/>
              <w:t>37</w:t>
            </w:r>
          </w:hyperlink>
        </w:p>
        <w:p>
          <w:pPr>
            <w:pStyle w:val="TOC2"/>
            <w:tabs>
              <w:tab w:val="clear" w:pos="900"/>
              <w:tab w:val="clear" w:pos="9350"/>
              <w:tab w:val="right" w:pos="9025" w:leader="dot"/>
            </w:tabs>
            <w:rPr/>
          </w:pPr>
          <w:hyperlink w:anchor="__RefHeading___Toc7922_1338352368">
            <w:r>
              <w:rPr>
                <w:webHidden/>
                <w:rStyle w:val="IndexLink"/>
              </w:rPr>
              <w:t>6.3 What remains with the broker</w:t>
              <w:tab/>
              <w:t>37</w:t>
            </w:r>
          </w:hyperlink>
        </w:p>
        <w:p>
          <w:pPr>
            <w:pStyle w:val="TOC1"/>
            <w:tabs>
              <w:tab w:val="clear" w:pos="900"/>
              <w:tab w:val="clear" w:pos="9350"/>
              <w:tab w:val="right" w:pos="9025" w:leader="dot"/>
            </w:tabs>
            <w:rPr/>
          </w:pPr>
          <w:hyperlink w:anchor="__RefHeading___Toc7924_1338352368">
            <w:r>
              <w:rPr>
                <w:webHidden/>
                <w:rStyle w:val="IndexLink"/>
              </w:rPr>
              <w:t>7. Non-functional capabilities</w:t>
              <w:tab/>
              <w:t>39</w:t>
            </w:r>
          </w:hyperlink>
        </w:p>
        <w:p>
          <w:pPr>
            <w:pStyle w:val="TOC2"/>
            <w:tabs>
              <w:tab w:val="clear" w:pos="900"/>
              <w:tab w:val="clear" w:pos="9350"/>
              <w:tab w:val="right" w:pos="9025" w:leader="dot"/>
            </w:tabs>
            <w:rPr/>
          </w:pPr>
          <w:hyperlink w:anchor="__RefHeading___Toc7926_1338352368">
            <w:r>
              <w:rPr>
                <w:webHidden/>
                <w:rStyle w:val="IndexLink"/>
              </w:rPr>
              <w:t>7.1 Security</w:t>
              <w:tab/>
              <w:t>39</w:t>
            </w:r>
          </w:hyperlink>
        </w:p>
        <w:p>
          <w:pPr>
            <w:pStyle w:val="TOC2"/>
            <w:tabs>
              <w:tab w:val="clear" w:pos="900"/>
              <w:tab w:val="clear" w:pos="9350"/>
              <w:tab w:val="right" w:pos="9025" w:leader="dot"/>
            </w:tabs>
            <w:rPr/>
          </w:pPr>
          <w:hyperlink w:anchor="__RefHeading___Toc7928_1338352368">
            <w:r>
              <w:rPr>
                <w:webHidden/>
                <w:rStyle w:val="IndexLink"/>
              </w:rPr>
              <w:t>7.2 Privacy</w:t>
              <w:tab/>
              <w:t>39</w:t>
            </w:r>
          </w:hyperlink>
        </w:p>
        <w:p>
          <w:pPr>
            <w:pStyle w:val="TOC2"/>
            <w:tabs>
              <w:tab w:val="clear" w:pos="900"/>
              <w:tab w:val="clear" w:pos="9350"/>
              <w:tab w:val="right" w:pos="9025" w:leader="dot"/>
            </w:tabs>
            <w:rPr/>
          </w:pPr>
          <w:hyperlink w:anchor="__RefHeading___Toc7930_1338352368">
            <w:r>
              <w:rPr>
                <w:webHidden/>
                <w:rStyle w:val="IndexLink"/>
              </w:rPr>
              <w:t>7.3 Availability and recovery</w:t>
              <w:tab/>
              <w:t>39</w:t>
            </w:r>
          </w:hyperlink>
        </w:p>
        <w:p>
          <w:pPr>
            <w:pStyle w:val="TOC2"/>
            <w:tabs>
              <w:tab w:val="clear" w:pos="900"/>
              <w:tab w:val="clear" w:pos="9350"/>
              <w:tab w:val="right" w:pos="9025" w:leader="dot"/>
            </w:tabs>
            <w:rPr/>
          </w:pPr>
          <w:hyperlink w:anchor="__RefHeading___Toc7932_1338352368">
            <w:r>
              <w:rPr>
                <w:webHidden/>
                <w:rStyle w:val="IndexLink"/>
              </w:rPr>
              <w:t>7.4 Performance and capacity</w:t>
              <w:tab/>
              <w:t>39</w:t>
            </w:r>
          </w:hyperlink>
        </w:p>
        <w:p>
          <w:pPr>
            <w:pStyle w:val="TOC2"/>
            <w:tabs>
              <w:tab w:val="clear" w:pos="900"/>
              <w:tab w:val="clear" w:pos="9350"/>
              <w:tab w:val="right" w:pos="9025" w:leader="dot"/>
            </w:tabs>
            <w:rPr/>
          </w:pPr>
          <w:hyperlink w:anchor="__RefHeading___Toc7934_1338352368">
            <w:r>
              <w:rPr>
                <w:webHidden/>
                <w:rStyle w:val="IndexLink"/>
              </w:rPr>
              <w:t>7.5 Audit and traceability</w:t>
              <w:tab/>
              <w:t>40</w:t>
            </w:r>
          </w:hyperlink>
        </w:p>
        <w:p>
          <w:pPr>
            <w:pStyle w:val="TOC2"/>
            <w:tabs>
              <w:tab w:val="clear" w:pos="900"/>
              <w:tab w:val="clear" w:pos="9350"/>
              <w:tab w:val="right" w:pos="9025" w:leader="dot"/>
            </w:tabs>
            <w:rPr/>
          </w:pPr>
          <w:hyperlink w:anchor="__RefHeading___Toc7936_1338352368">
            <w:r>
              <w:rPr>
                <w:webHidden/>
                <w:rStyle w:val="IndexLink"/>
              </w:rPr>
              <w:t>7.6 Usability and localisation</w:t>
              <w:tab/>
              <w:t>40</w:t>
            </w:r>
          </w:hyperlink>
        </w:p>
        <w:p>
          <w:pPr>
            <w:pStyle w:val="TOC2"/>
            <w:tabs>
              <w:tab w:val="clear" w:pos="900"/>
              <w:tab w:val="clear" w:pos="9350"/>
              <w:tab w:val="right" w:pos="9025" w:leader="dot"/>
            </w:tabs>
            <w:rPr/>
          </w:pPr>
          <w:hyperlink w:anchor="__RefHeading___Toc7938_1338352368">
            <w:r>
              <w:rPr>
                <w:webHidden/>
                <w:rStyle w:val="IndexLink"/>
              </w:rPr>
              <w:t>7.7 Maintainability and interfaces</w:t>
              <w:tab/>
              <w:t>40</w:t>
            </w:r>
          </w:hyperlink>
        </w:p>
        <w:p>
          <w:pPr>
            <w:pStyle w:val="TOC1"/>
            <w:tabs>
              <w:tab w:val="clear" w:pos="900"/>
              <w:tab w:val="clear" w:pos="9350"/>
              <w:tab w:val="right" w:pos="9025" w:leader="dot"/>
            </w:tabs>
            <w:rPr/>
          </w:pPr>
          <w:hyperlink w:anchor="__RefHeading___Toc7940_1338352368">
            <w:r>
              <w:rPr>
                <w:webHidden/>
                <w:rStyle w:val="IndexLink"/>
              </w:rPr>
              <w:t>8. Deployment and support</w:t>
              <w:tab/>
              <w:t>41</w:t>
            </w:r>
          </w:hyperlink>
        </w:p>
        <w:p>
          <w:pPr>
            <w:pStyle w:val="TOC2"/>
            <w:tabs>
              <w:tab w:val="clear" w:pos="900"/>
              <w:tab w:val="clear" w:pos="9350"/>
              <w:tab w:val="right" w:pos="9025" w:leader="dot"/>
            </w:tabs>
            <w:rPr/>
          </w:pPr>
          <w:hyperlink w:anchor="__RefHeading___Toc7942_1338352368">
            <w:r>
              <w:rPr>
                <w:webHidden/>
                <w:rStyle w:val="IndexLink"/>
              </w:rPr>
              <w:t>8.1 Deployment options</w:t>
              <w:tab/>
              <w:t>41</w:t>
            </w:r>
          </w:hyperlink>
        </w:p>
        <w:p>
          <w:pPr>
            <w:pStyle w:val="TOC2"/>
            <w:tabs>
              <w:tab w:val="clear" w:pos="900"/>
              <w:tab w:val="clear" w:pos="9350"/>
              <w:tab w:val="right" w:pos="9025" w:leader="dot"/>
            </w:tabs>
            <w:rPr/>
          </w:pPr>
          <w:hyperlink w:anchor="__RefHeading___Toc7944_1338352368">
            <w:r>
              <w:rPr>
                <w:webHidden/>
                <w:rStyle w:val="IndexLink"/>
              </w:rPr>
              <w:t>8.2 Implementation</w:t>
              <w:tab/>
              <w:t>41</w:t>
            </w:r>
          </w:hyperlink>
        </w:p>
        <w:p>
          <w:pPr>
            <w:pStyle w:val="TOC2"/>
            <w:tabs>
              <w:tab w:val="clear" w:pos="900"/>
              <w:tab w:val="clear" w:pos="9350"/>
              <w:tab w:val="right" w:pos="9025" w:leader="dot"/>
            </w:tabs>
            <w:rPr/>
          </w:pPr>
          <w:hyperlink w:anchor="__RefHeading___Toc7946_1338352368">
            <w:r>
              <w:rPr>
                <w:webHidden/>
                <w:rStyle w:val="IndexLink"/>
              </w:rPr>
              <w:t>8.3 Support</w:t>
              <w:tab/>
              <w:t>41</w:t>
            </w:r>
          </w:hyperlink>
        </w:p>
        <w:p>
          <w:pPr>
            <w:pStyle w:val="TOC1"/>
            <w:tabs>
              <w:tab w:val="clear" w:pos="900"/>
              <w:tab w:val="clear" w:pos="9350"/>
              <w:tab w:val="right" w:pos="9025" w:leader="dot"/>
            </w:tabs>
            <w:rPr/>
          </w:pPr>
          <w:hyperlink w:anchor="__RefHeading___Toc7948_1338352368">
            <w:r>
              <w:rPr>
                <w:webHidden/>
                <w:rStyle w:val="IndexLink"/>
              </w:rPr>
              <w:t>9. Feature checklist for vendor comparison</w:t>
              <w:tab/>
              <w:t>42</w:t>
            </w:r>
          </w:hyperlink>
        </w:p>
        <w:p>
          <w:pPr>
            <w:pStyle w:val="TOC1"/>
            <w:tabs>
              <w:tab w:val="clear" w:pos="900"/>
              <w:tab w:val="clear" w:pos="9350"/>
              <w:tab w:val="right" w:pos="9025" w:leader="dot"/>
            </w:tabs>
            <w:rPr/>
          </w:pPr>
          <w:hyperlink w:anchor="__RefHeading___Toc7950_1338352368">
            <w:r>
              <w:rPr>
                <w:webHidden/>
                <w:rStyle w:val="IndexLink"/>
              </w:rPr>
              <w:t>10. Points to note in this release</w:t>
              <w:tab/>
              <w:t>44</w:t>
            </w:r>
          </w:hyperlink>
        </w:p>
        <w:p>
          <w:pPr>
            <w:pStyle w:val="TOC1"/>
            <w:tabs>
              <w:tab w:val="clear" w:pos="900"/>
              <w:tab w:val="clear" w:pos="9350"/>
              <w:tab w:val="right" w:pos="9025" w:leader="dot"/>
            </w:tabs>
            <w:rPr/>
          </w:pPr>
          <w:hyperlink w:anchor="__RefHeading___Toc7952_1338352368">
            <w:r>
              <w:rPr>
                <w:webHidden/>
                <w:rStyle w:val="IndexLink"/>
                <w:i w:val="false"/>
                <w:iCs w:val="false"/>
              </w:rPr>
              <w:t>11. Document Sign-Off</w:t>
            </w:r>
            <w:r>
              <w:rPr>
                <w:rStyle w:val="IndexLink"/>
              </w:rPr>
              <w:tab/>
              <w:t>45</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7842_1338352368"/>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03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1.0</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Initial issue</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7844_1338352368"/>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8"/>
        <w:gridCol w:w="6746"/>
      </w:tblGrid>
      <w:tr>
        <w:trPr>
          <w:trHeight w:val="440"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OOTB</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Out of the box</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IC</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Insurance Commission</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BIR</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Bureau of Internal Revenue</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NPC</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National Privacy Commission</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DPA</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Data Privacy Act of 2012 (RA 10173)</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CTPL</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Compulsory Third Party Liability</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APPA</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Auto Passenger Personal Accident</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LTO</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Land Transportation Office</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DST</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Documentary stamp tax</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LGT</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Local government tax</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FST</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Fire service tax</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VAT</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Value-added tax</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EWT</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Expanded withholding tax</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CWT</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Creditable withholding tax</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ATC</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Alphanumeric tax code</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SAWT</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Summary Alphalist of Withholding Taxes</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QAP</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Quarterly Alphalist of Payees</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SLSP</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Summary List of Sales and Purchases</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IAR</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Industrial All Risks</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KYC</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Know your customer</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RFQ</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Request for quotation</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OR</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Official receipt</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PV</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Payment voucher</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JV</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Journal voucher</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GL</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General ledger</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DSR</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Data subject request</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SoD</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Segregation of duties</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TOTP</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Time-based one-time password</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UAT</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User acceptance test</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SIT</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System integration test</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API</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Application programming interface</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RPO</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Recovery point objective</w:t>
            </w:r>
          </w:p>
        </w:tc>
      </w:tr>
      <w:tr>
        <w:trPr>
          <w:trHeight w:val="449" w:hRule="atLeast"/>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RTO</w:t>
            </w:r>
          </w:p>
        </w:tc>
        <w:tc>
          <w:tcPr>
            <w:tcW w:w="674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Recovery time objective</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7846_1338352368"/>
      <w:bookmarkEnd w:id="6"/>
      <w:r>
        <w:rPr>
          <w:rFonts w:eastAsia="Segoe UI" w:cs="Segoe UI" w:ascii="Segoe UI" w:hAnsi="Segoe UI"/>
          <w:b/>
          <w:color w:val="0F4761"/>
          <w:sz w:val="32"/>
        </w:rPr>
        <w:t>3.  Introduction</w:t>
      </w:r>
    </w:p>
    <w:p>
      <w:pPr>
        <w:pStyle w:val="Heading2"/>
        <w:rPr/>
      </w:pPr>
      <w:bookmarkStart w:id="7" w:name="__RefHeading___Toc7848_1338352368"/>
      <w:bookmarkEnd w:id="7"/>
      <w:r>
        <w:rPr>
          <w:rFonts w:eastAsia="Segoe UI" w:cs="Segoe UI"/>
          <w:b/>
          <w:color w:val="0F4761"/>
          <w:sz w:val="26"/>
        </w:rPr>
        <w:t>3.1  Purpose</w:t>
      </w:r>
    </w:p>
    <w:p>
      <w:pPr>
        <w:pStyle w:val="Normal"/>
        <w:spacing w:lineRule="auto" w:line="276" w:before="0" w:after="120"/>
        <w:rPr/>
      </w:pPr>
      <w:r>
        <w:rPr>
          <w:rFonts w:eastAsia="Segoe UI" w:cs="Segoe UI" w:ascii="Segoe UI" w:hAnsi="Segoe UI"/>
          <w:color w:val="101820"/>
          <w:sz w:val="21"/>
        </w:rPr>
        <w:t>This document describes what iNXT BrokerVerse OOTB does, module by module, for a Philippine non-life insurance broker. It is written for the broker's management, process owners, finance, compliance and IT teams after the product presentation, as a reference for the evaluation and for the comparison with other vendors.</w:t>
      </w:r>
    </w:p>
    <w:p>
      <w:pPr>
        <w:pStyle w:val="Normal"/>
        <w:spacing w:lineRule="auto" w:line="276" w:before="0" w:after="120"/>
        <w:rPr/>
      </w:pPr>
      <w:r>
        <w:rPr>
          <w:rFonts w:eastAsia="Segoe UI" w:cs="Segoe UI" w:ascii="Segoe UI" w:hAnsi="Segoe UI"/>
          <w:color w:val="101820"/>
          <w:sz w:val="21"/>
        </w:rPr>
        <w:t>For each module it gives what the module does, its key features, the Philippine specifics, the personas who use it, the key reports, the approvals and controls, and the integrations. Later chapters describe the end-to-end process, the scope of the OOTB edition against optional extras, the non-functional capabilities, the deployment and support model, and a feature checklist the broker can use to compare vendors.</w:t>
      </w:r>
    </w:p>
    <w:p>
      <w:pPr>
        <w:pStyle w:val="Heading2"/>
        <w:rPr/>
      </w:pPr>
      <w:bookmarkStart w:id="8" w:name="__RefHeading___Toc7850_1338352368"/>
      <w:bookmarkEnd w:id="8"/>
      <w:r>
        <w:rPr>
          <w:rFonts w:eastAsia="Segoe UI" w:cs="Segoe UI"/>
          <w:b/>
          <w:color w:val="0F4761"/>
          <w:sz w:val="26"/>
        </w:rPr>
        <w:t>3.2  Conventions</w:t>
      </w:r>
    </w:p>
    <w:p>
      <w:pPr>
        <w:pStyle w:val="Normal"/>
        <w:numPr>
          <w:ilvl w:val="0"/>
          <w:numId w:val="1"/>
        </w:numPr>
        <w:spacing w:before="0" w:after="60"/>
        <w:rPr/>
      </w:pPr>
      <w:r>
        <w:rPr>
          <w:rFonts w:eastAsia="Segoe UI" w:cs="Segoe UI" w:ascii="Segoe UI" w:hAnsi="Segoe UI"/>
          <w:color w:val="101820"/>
          <w:sz w:val="21"/>
        </w:rPr>
        <w:t>Menu paths are written as on screen, for example Accounts &gt; Bank Reconciliation &gt; Reconciliation Workspace.</w:t>
      </w:r>
    </w:p>
    <w:p>
      <w:pPr>
        <w:pStyle w:val="Normal"/>
        <w:numPr>
          <w:ilvl w:val="0"/>
          <w:numId w:val="1"/>
        </w:numPr>
        <w:spacing w:before="0" w:after="60"/>
        <w:rPr/>
      </w:pPr>
      <w:r>
        <w:rPr>
          <w:rFonts w:eastAsia="Segoe UI" w:cs="Segoe UI" w:ascii="Segoe UI" w:hAnsi="Segoe UI"/>
          <w:color w:val="101820"/>
          <w:sz w:val="21"/>
        </w:rPr>
        <w:t xml:space="preserve">Settings are named by their key in Master &gt; Configuration, for example </w:t>
      </w:r>
      <w:r>
        <w:rPr>
          <w:rFonts w:eastAsia="Consolas" w:cs="Consolas" w:ascii="Consolas" w:hAnsi="Consolas"/>
          <w:color w:val="101820"/>
          <w:sz w:val="19"/>
        </w:rPr>
        <w:t>claims.sla_days</w:t>
      </w:r>
      <w:r>
        <w:rPr>
          <w:rFonts w:eastAsia="Segoe UI" w:cs="Segoe UI" w:ascii="Segoe UI" w:hAnsi="Segoe UI"/>
          <w:color w:val="101820"/>
          <w:sz w:val="21"/>
        </w:rPr>
        <w:t>. The value given is the delivered value; the broker can change it.</w:t>
      </w:r>
    </w:p>
    <w:p>
      <w:pPr>
        <w:pStyle w:val="Normal"/>
        <w:numPr>
          <w:ilvl w:val="0"/>
          <w:numId w:val="1"/>
        </w:numPr>
        <w:spacing w:before="0" w:after="60"/>
        <w:rPr/>
      </w:pPr>
      <w:r>
        <w:rPr>
          <w:rFonts w:eastAsia="Segoe UI" w:cs="Segoe UI" w:ascii="Segoe UI" w:hAnsi="Segoe UI"/>
          <w:color w:val="101820"/>
          <w:sz w:val="21"/>
        </w:rPr>
        <w:t>Money is in Philippine pesos (PHP). The business time zone is Asia/Manila.</w:t>
      </w:r>
    </w:p>
    <w:p>
      <w:pPr>
        <w:pStyle w:val="Normal"/>
        <w:numPr>
          <w:ilvl w:val="0"/>
          <w:numId w:val="1"/>
        </w:numPr>
        <w:spacing w:before="0" w:after="60"/>
        <w:rPr/>
      </w:pPr>
      <w:r>
        <w:rPr>
          <w:rFonts w:eastAsia="Segoe UI" w:cs="Segoe UI" w:ascii="Segoe UI" w:hAnsi="Segoe UI"/>
          <w:b/>
          <w:color w:val="101820"/>
          <w:sz w:val="21"/>
        </w:rPr>
        <w:t>Recommended</w:t>
      </w:r>
      <w:r>
        <w:rPr>
          <w:rFonts w:eastAsia="Segoe UI" w:cs="Segoe UI" w:ascii="Segoe UI" w:hAnsi="Segoe UI"/>
          <w:color w:val="101820"/>
          <w:sz w:val="21"/>
        </w:rPr>
        <w:t xml:space="preserve"> marks advice from iorta TechNXT that is not built into the product.</w:t>
      </w:r>
    </w:p>
    <w:p>
      <w:pPr>
        <w:pStyle w:val="Normal"/>
        <w:numPr>
          <w:ilvl w:val="0"/>
          <w:numId w:val="1"/>
        </w:numPr>
        <w:spacing w:before="0" w:after="60"/>
        <w:rPr/>
      </w:pPr>
      <w:r>
        <w:rPr>
          <w:rFonts w:eastAsia="Segoe UI" w:cs="Segoe UI" w:ascii="Segoe UI" w:hAnsi="Segoe UI"/>
          <w:color w:val="101820"/>
          <w:sz w:val="21"/>
        </w:rPr>
        <w:t>The figures in this document come from the product (code, configuration and screens) and from the release test of 03 and 04 October 2026. The data privacy registers, the e-mailing of receipts and invoices with PDF attachments, and approval notifications for every maker-checker flow were added after that test cycle.</w:t>
      </w:r>
    </w:p>
    <w:p>
      <w:pPr>
        <w:pStyle w:val="Heading2"/>
        <w:rPr/>
      </w:pPr>
      <w:bookmarkStart w:id="9" w:name="__RefHeading___Toc7852_1338352368"/>
      <w:bookmarkEnd w:id="9"/>
      <w:r>
        <w:rPr>
          <w:rFonts w:eastAsia="Segoe UI" w:cs="Segoe UI"/>
          <w:b/>
          <w:color w:val="0F4761"/>
          <w:sz w:val="26"/>
        </w:rPr>
        <w:t>3.3  The product at a glance</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BrokerVerse OOTB</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Scope</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Full broking cycle and broker accounting: prospects to renewals, billing to month-end close, BIR working papers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 roles: System Administrator, Sales &amp; Marketing, Processing Team, Operations, Claims, Accounting, Accounting Manager</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173 menu screens checked per role in the release test</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39 catalogue reports in Excel, CSV and PDF, plus dashboards and document outputs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APIs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854 registered API routes, documented in OpenAPI, a Postman collection and an Excel touchpoint list</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Scheduled jobs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16 jobs in Asia/Manila time in the tested release, plus the overdue data subject request reminder of the data privacy module</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Number series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52 document number series, counters only move forward</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Release test</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497 test cases (480 passed, 8 failed, 3 blocked, 6 not run); 634 automated business rule tests; a full UAT cycle of 371 business steps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Technology</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React 18 web application, Node.js 22 API, PostgreSQL 16 database</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 documentation</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 manual of 199 pages for the seven roles, seven role decks</w:t>
            </w:r>
          </w:p>
        </w:tc>
      </w:tr>
    </w:tbl>
    <w:p>
      <w:pPr>
        <w:pStyle w:val="Normal"/>
        <w:spacing w:before="0" w:after="80"/>
        <w:rPr/>
      </w:pPr>
      <w:r>
        <w:rPr/>
      </w:r>
      <w:r>
        <w:br w:type="page"/>
      </w:r>
    </w:p>
    <w:p>
      <w:pPr>
        <w:pStyle w:val="Heading1"/>
        <w:rPr/>
      </w:pPr>
      <w:bookmarkStart w:id="10" w:name="__RefHeading___Toc7854_1338352368"/>
      <w:bookmarkEnd w:id="10"/>
      <w:r>
        <w:rPr>
          <w:rFonts w:eastAsia="Segoe UI" w:cs="Segoe UI" w:ascii="Segoe UI" w:hAnsi="Segoe UI"/>
          <w:b/>
          <w:color w:val="0F4761"/>
          <w:sz w:val="32"/>
        </w:rPr>
        <w:t>4.  The end-to-end process</w:t>
      </w:r>
    </w:p>
    <w:p>
      <w:pPr>
        <w:pStyle w:val="Heading2"/>
        <w:rPr/>
      </w:pPr>
      <w:bookmarkStart w:id="11" w:name="__RefHeading___Toc7856_1338352368"/>
      <w:bookmarkEnd w:id="11"/>
      <w:r>
        <w:rPr>
          <w:rFonts w:eastAsia="Segoe UI" w:cs="Segoe UI"/>
          <w:b/>
          <w:color w:val="0F4761"/>
          <w:sz w:val="26"/>
        </w:rPr>
        <w:t>4.1  The broking cycle</w:t>
      </w:r>
    </w:p>
    <w:p>
      <w:pPr>
        <w:pStyle w:val="Normal"/>
        <w:spacing w:lineRule="auto" w:line="276" w:before="0" w:after="120"/>
        <w:rPr/>
      </w:pPr>
      <w:r>
        <w:rPr>
          <w:rFonts w:eastAsia="Segoe UI" w:cs="Segoe UI" w:ascii="Segoe UI" w:hAnsi="Segoe UI"/>
          <w:color w:val="101820"/>
          <w:sz w:val="21"/>
        </w:rPr>
        <w:t>Every piece of business passes through the same steps. Each step is done on its own screen, usually by a different team, and each leaves a numbered document behind.</w:t>
      </w:r>
    </w:p>
    <w:p>
      <w:pPr>
        <w:pStyle w:val="Normal"/>
        <w:jc w:val="center"/>
        <w:rPr/>
      </w:pPr>
      <w:r>
        <w:rPr/>
        <w:drawing>
          <wp:inline distT="0" distB="0" distL="0" distR="0">
            <wp:extent cx="5760085" cy="7741920"/>
            <wp:effectExtent l="0" t="0" r="0" b="0"/>
            <wp:docPr id="8" name="Picture 21212881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121288188" descr=""/>
                    <pic:cNvPicPr>
                      <a:picLocks noChangeAspect="1" noChangeArrowheads="1"/>
                    </pic:cNvPicPr>
                  </pic:nvPicPr>
                  <pic:blipFill>
                    <a:blip r:embed="rId4"/>
                    <a:stretch>
                      <a:fillRect/>
                    </a:stretch>
                  </pic:blipFill>
                  <pic:spPr bwMode="auto">
                    <a:xfrm>
                      <a:off x="0" y="0"/>
                      <a:ext cx="5760085" cy="7741920"/>
                    </a:xfrm>
                    <a:prstGeom prst="rect">
                      <a:avLst/>
                    </a:prstGeom>
                  </pic:spPr>
                </pic:pic>
              </a:graphicData>
            </a:graphic>
          </wp:inline>
        </w:drawing>
      </w:r>
    </w:p>
    <w:p>
      <w:pPr>
        <w:pStyle w:val="Normal"/>
        <w:jc w:val="center"/>
        <w:rPr/>
      </w:pPr>
      <w:r>
        <w:rPr>
          <w:rFonts w:eastAsia="Segoe UI" w:cs="Segoe UI" w:ascii="Segoe UI" w:hAnsi="Segoe UI"/>
          <w:i/>
          <w:color w:val="555F6D"/>
          <w:sz w:val="18"/>
        </w:rPr>
        <w:t>End-to-end process: sales and placement, policy and money, servicing and finance close</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3"/>
        <w:gridCol w:w="1927"/>
        <w:gridCol w:w="4310"/>
        <w:gridCol w:w="2324"/>
      </w:tblGrid>
      <w:tr>
        <w:trPr>
          <w:tblHeader w:val="true"/>
        </w:trPr>
        <w:tc>
          <w:tcPr>
            <w:tcW w:w="45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t>
            </w:r>
          </w:p>
        </w:tc>
        <w:tc>
          <w:tcPr>
            <w:tcW w:w="192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Step</w:t>
            </w:r>
          </w:p>
        </w:tc>
        <w:tc>
          <w:tcPr>
            <w:tcW w:w="431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What happens</w:t>
            </w:r>
          </w:p>
        </w:tc>
        <w:tc>
          <w:tcPr>
            <w:tcW w:w="232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Who</w:t>
            </w:r>
          </w:p>
        </w:tc>
      </w:tr>
      <w:tr>
        <w:trPr/>
        <w:tc>
          <w:tcPr>
            <w:tcW w:w="4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c>
          <w:tcPr>
            <w:tcW w:w="1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Prospect</w:t>
            </w:r>
          </w:p>
        </w:tc>
        <w:tc>
          <w:tcPr>
            <w:tcW w:w="43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prospect is recorded with contact details and address (LD-)</w:t>
            </w:r>
          </w:p>
        </w:tc>
        <w:tc>
          <w:tcPr>
            <w:tcW w:w="23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Operations</w:t>
            </w:r>
          </w:p>
        </w:tc>
      </w:tr>
      <w:tr>
        <w:trPr/>
        <w:tc>
          <w:tcPr>
            <w:tcW w:w="4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c>
          <w:tcPr>
            <w:tcW w:w="1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Quick Quote or Request for Quotation</w:t>
            </w:r>
          </w:p>
        </w:tc>
        <w:tc>
          <w:tcPr>
            <w:tcW w:w="43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Packaged products are quoted from insurer rate tables; other risks go to several insurers on a broker slip (BS-, OFR-)</w:t>
            </w:r>
          </w:p>
        </w:tc>
        <w:tc>
          <w:tcPr>
            <w:tcW w:w="23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Processing Team</w:t>
            </w:r>
          </w:p>
        </w:tc>
      </w:tr>
      <w:tr>
        <w:trPr/>
        <w:tc>
          <w:tcPr>
            <w:tcW w:w="4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c>
          <w:tcPr>
            <w:tcW w:w="1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w:t>
            </w:r>
          </w:p>
        </w:tc>
        <w:tc>
          <w:tcPr>
            <w:tcW w:w="43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chosen terms are priced for the client with taxes and commission; the client accepts online (QT-)</w:t>
            </w:r>
          </w:p>
        </w:tc>
        <w:tc>
          <w:tcPr>
            <w:tcW w:w="23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Processing Team</w:t>
            </w:r>
          </w:p>
        </w:tc>
      </w:tr>
      <w:tr>
        <w:trPr/>
        <w:tc>
          <w:tcPr>
            <w:tcW w:w="4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c>
          <w:tcPr>
            <w:tcW w:w="1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Placement Slip</w:t>
            </w:r>
          </w:p>
        </w:tc>
        <w:tc>
          <w:tcPr>
            <w:tcW w:w="43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firm order goes to the lead insurer and co-insurers; each confirms its share (PS-)</w:t>
            </w:r>
          </w:p>
        </w:tc>
        <w:tc>
          <w:tcPr>
            <w:tcW w:w="23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Processing Team</w:t>
            </w:r>
          </w:p>
        </w:tc>
      </w:tr>
      <w:tr>
        <w:trPr/>
        <w:tc>
          <w:tcPr>
            <w:tcW w:w="4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c>
          <w:tcPr>
            <w:tcW w:w="1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issue</w:t>
            </w:r>
          </w:p>
        </w:tc>
        <w:tc>
          <w:tcPr>
            <w:tcW w:w="43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policy is issued with its participants, the client is created and the premium is billed (POL-, CL-, INV-)</w:t>
            </w:r>
          </w:p>
        </w:tc>
        <w:tc>
          <w:tcPr>
            <w:tcW w:w="23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Processing Team</w:t>
            </w:r>
          </w:p>
        </w:tc>
      </w:tr>
      <w:tr>
        <w:trPr/>
        <w:tc>
          <w:tcPr>
            <w:tcW w:w="4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c>
          <w:tcPr>
            <w:tcW w:w="1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 capture</w:t>
            </w:r>
          </w:p>
        </w:tc>
        <w:tc>
          <w:tcPr>
            <w:tcW w:w="43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client's payment is recorded for Accounting to verify</w:t>
            </w:r>
          </w:p>
        </w:tc>
        <w:tc>
          <w:tcPr>
            <w:tcW w:w="23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Sales &amp; Marketing, Processing Team</w:t>
            </w:r>
          </w:p>
        </w:tc>
      </w:tr>
      <w:tr>
        <w:trPr/>
        <w:tc>
          <w:tcPr>
            <w:tcW w:w="4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w:t>
            </w:r>
          </w:p>
        </w:tc>
        <w:tc>
          <w:tcPr>
            <w:tcW w:w="1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Official receipt</w:t>
            </w:r>
          </w:p>
        </w:tc>
        <w:tc>
          <w:tcPr>
            <w:tcW w:w="43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posts the official receipt against the open bill (OR-)</w:t>
            </w:r>
          </w:p>
        </w:tc>
        <w:tc>
          <w:tcPr>
            <w:tcW w:w="23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w:t>
            </w:r>
          </w:p>
        </w:tc>
      </w:tr>
      <w:tr>
        <w:trPr/>
        <w:tc>
          <w:tcPr>
            <w:tcW w:w="4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w:t>
            </w:r>
          </w:p>
        </w:tc>
        <w:tc>
          <w:tcPr>
            <w:tcW w:w="1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w:t>
            </w:r>
          </w:p>
        </w:tc>
        <w:tc>
          <w:tcPr>
            <w:tcW w:w="43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Referrer commission becomes payable when the premium is collected and is paid less withholding tax (PV-)</w:t>
            </w:r>
          </w:p>
        </w:tc>
        <w:tc>
          <w:tcPr>
            <w:tcW w:w="23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maker and checker</w:t>
            </w:r>
          </w:p>
        </w:tc>
      </w:tr>
      <w:tr>
        <w:trPr/>
        <w:tc>
          <w:tcPr>
            <w:tcW w:w="4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w:t>
            </w:r>
          </w:p>
        </w:tc>
        <w:tc>
          <w:tcPr>
            <w:tcW w:w="1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w:t>
            </w:r>
          </w:p>
        </w:tc>
        <w:tc>
          <w:tcPr>
            <w:tcW w:w="43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Collected premium, net of commission, is remitted to each insurer by its share (REM-, SET-, PV-)</w:t>
            </w:r>
          </w:p>
        </w:tc>
        <w:tc>
          <w:tcPr>
            <w:tcW w:w="23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maker and checker</w:t>
            </w:r>
          </w:p>
        </w:tc>
      </w:tr>
      <w:tr>
        <w:trPr/>
        <w:tc>
          <w:tcPr>
            <w:tcW w:w="4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w:t>
            </w:r>
          </w:p>
        </w:tc>
        <w:tc>
          <w:tcPr>
            <w:tcW w:w="1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Endorsement</w:t>
            </w:r>
          </w:p>
        </w:tc>
        <w:tc>
          <w:tcPr>
            <w:tcW w:w="43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change to the policy is recorded and additional or return premium is billed (END-)</w:t>
            </w:r>
          </w:p>
        </w:tc>
        <w:tc>
          <w:tcPr>
            <w:tcW w:w="23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Processing Team</w:t>
            </w:r>
          </w:p>
        </w:tc>
      </w:tr>
      <w:tr>
        <w:trPr/>
        <w:tc>
          <w:tcPr>
            <w:tcW w:w="4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11</w:t>
            </w:r>
          </w:p>
        </w:tc>
        <w:tc>
          <w:tcPr>
            <w:tcW w:w="1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w:t>
            </w:r>
          </w:p>
        </w:tc>
        <w:tc>
          <w:tcPr>
            <w:tcW w:w="43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loss is registered, followed with the insurer and settled (CLM-)</w:t>
            </w:r>
          </w:p>
        </w:tc>
        <w:tc>
          <w:tcPr>
            <w:tcW w:w="23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w:t>
            </w:r>
          </w:p>
        </w:tc>
      </w:tr>
      <w:tr>
        <w:trPr/>
        <w:tc>
          <w:tcPr>
            <w:tcW w:w="4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w:t>
            </w:r>
          </w:p>
        </w:tc>
        <w:tc>
          <w:tcPr>
            <w:tcW w:w="1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w:t>
            </w:r>
          </w:p>
        </w:tc>
        <w:tc>
          <w:tcPr>
            <w:tcW w:w="43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Policies enter the pipeline 90 days before expiry; notices at 60, 30 and 15 days</w:t>
            </w:r>
          </w:p>
        </w:tc>
        <w:tc>
          <w:tcPr>
            <w:tcW w:w="23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Sales &amp; Marketing, Processing Team</w:t>
            </w:r>
          </w:p>
        </w:tc>
      </w:tr>
      <w:tr>
        <w:trPr/>
        <w:tc>
          <w:tcPr>
            <w:tcW w:w="4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13</w:t>
            </w:r>
          </w:p>
        </w:tc>
        <w:tc>
          <w:tcPr>
            <w:tcW w:w="1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Month-end</w:t>
            </w:r>
          </w:p>
        </w:tc>
        <w:tc>
          <w:tcPr>
            <w:tcW w:w="43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and insurer reconciliation, month-end close, BIR reports (BRC-, MEC-, CWT-)</w:t>
            </w:r>
          </w:p>
        </w:tc>
        <w:tc>
          <w:tcPr>
            <w:tcW w:w="23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Accounting Manager</w:t>
            </w:r>
          </w:p>
        </w:tc>
      </w:tr>
    </w:tbl>
    <w:p>
      <w:pPr>
        <w:pStyle w:val="Normal"/>
        <w:spacing w:before="0" w:after="80"/>
        <w:rPr/>
      </w:pPr>
      <w:r>
        <w:rPr/>
      </w:r>
    </w:p>
    <w:p>
      <w:pPr>
        <w:pStyle w:val="Heading2"/>
        <w:rPr/>
      </w:pPr>
      <w:bookmarkStart w:id="12" w:name="__RefHeading___Toc7858_1338352368"/>
      <w:bookmarkEnd w:id="12"/>
      <w:r>
        <w:rPr>
          <w:rFonts w:eastAsia="Segoe UI" w:cs="Segoe UI"/>
          <w:b/>
          <w:color w:val="0F4761"/>
          <w:sz w:val="26"/>
        </w:rPr>
        <w:t>4.2  Placement journey by line of business</w:t>
      </w:r>
    </w:p>
    <w:p>
      <w:pPr>
        <w:pStyle w:val="Normal"/>
        <w:spacing w:lineRule="auto" w:line="276" w:before="0" w:after="120"/>
        <w:rPr/>
      </w:pPr>
      <w:r>
        <w:rPr>
          <w:rFonts w:eastAsia="Segoe UI" w:cs="Segoe UI" w:ascii="Segoe UI" w:hAnsi="Segoe UI"/>
          <w:color w:val="101820"/>
          <w:sz w:val="21"/>
        </w:rPr>
        <w:t xml:space="preserve">Not every line uses every step. The journey of each line is set in </w:t>
      </w:r>
      <w:r>
        <w:rPr>
          <w:rFonts w:eastAsia="Consolas" w:cs="Consolas" w:ascii="Consolas" w:hAnsi="Consolas"/>
          <w:color w:val="101820"/>
          <w:sz w:val="19"/>
        </w:rPr>
        <w:t>placement.journey</w:t>
      </w:r>
      <w:r>
        <w:rPr>
          <w:rFonts w:eastAsia="Segoe UI" w:cs="Segoe UI" w:ascii="Segoe UI" w:hAnsi="Segoe UI"/>
          <w:color w:val="101820"/>
          <w:sz w:val="21"/>
        </w:rPr>
        <w:t xml:space="preserve"> (Master &gt; Configuration, Placement). The screens show the journey of each record as a progress bar and refuse a step the journey does not allow.</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664"/>
        <w:gridCol w:w="1588"/>
        <w:gridCol w:w="1587"/>
        <w:gridCol w:w="1588"/>
        <w:gridCol w:w="1588"/>
      </w:tblGrid>
      <w:tr>
        <w:trPr>
          <w:tblHeader w:val="true"/>
        </w:trPr>
        <w:tc>
          <w:tcPr>
            <w:tcW w:w="266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Line of business</w:t>
            </w:r>
          </w:p>
        </w:tc>
        <w:tc>
          <w:tcPr>
            <w:tcW w:w="158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Request for Quotation</w:t>
            </w:r>
          </w:p>
        </w:tc>
        <w:tc>
          <w:tcPr>
            <w:tcW w:w="158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Quotation Slip</w:t>
            </w:r>
          </w:p>
        </w:tc>
        <w:tc>
          <w:tcPr>
            <w:tcW w:w="158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Placement Slip</w:t>
            </w:r>
          </w:p>
        </w:tc>
        <w:tc>
          <w:tcPr>
            <w:tcW w:w="158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Record Issued Policy</w:t>
            </w:r>
          </w:p>
        </w:tc>
      </w:tr>
      <w:tr>
        <w:trPr/>
        <w:tc>
          <w:tcPr>
            <w:tcW w:w="26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Motor</w:t>
            </w:r>
          </w:p>
        </w:tc>
        <w:tc>
          <w:tcPr>
            <w:tcW w:w="15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Optional</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Required</w:t>
            </w:r>
          </w:p>
        </w:tc>
        <w:tc>
          <w:tcPr>
            <w:tcW w:w="15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Optional</w:t>
            </w:r>
          </w:p>
        </w:tc>
        <w:tc>
          <w:tcPr>
            <w:tcW w:w="15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Optional</w:t>
            </w:r>
          </w:p>
        </w:tc>
      </w:tr>
      <w:tr>
        <w:trPr/>
        <w:tc>
          <w:tcPr>
            <w:tcW w:w="26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Fire, IAR, Marine, Casualty, Engineering</w:t>
            </w:r>
          </w:p>
        </w:tc>
        <w:tc>
          <w:tcPr>
            <w:tcW w:w="15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Optional</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Optional</w:t>
            </w:r>
          </w:p>
        </w:tc>
        <w:tc>
          <w:tcPr>
            <w:tcW w:w="15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Required</w:t>
            </w:r>
          </w:p>
        </w:tc>
        <w:tc>
          <w:tcPr>
            <w:tcW w:w="15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Optional</w:t>
            </w:r>
          </w:p>
        </w:tc>
      </w:tr>
      <w:tr>
        <w:trPr/>
        <w:tc>
          <w:tcPr>
            <w:tcW w:w="26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Other lines (default)</w:t>
            </w:r>
          </w:p>
        </w:tc>
        <w:tc>
          <w:tcPr>
            <w:tcW w:w="15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Optional</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Optional</w:t>
            </w:r>
          </w:p>
        </w:tc>
        <w:tc>
          <w:tcPr>
            <w:tcW w:w="15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Optional</w:t>
            </w:r>
          </w:p>
        </w:tc>
        <w:tc>
          <w:tcPr>
            <w:tcW w:w="15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Optional</w:t>
            </w:r>
          </w:p>
        </w:tc>
      </w:tr>
    </w:tbl>
    <w:p>
      <w:pPr>
        <w:pStyle w:val="Normal"/>
        <w:spacing w:before="0" w:after="80"/>
        <w:rPr/>
      </w:pPr>
      <w:r>
        <w:rPr/>
      </w:r>
    </w:p>
    <w:p>
      <w:pPr>
        <w:pStyle w:val="Heading2"/>
        <w:rPr/>
      </w:pPr>
      <w:bookmarkStart w:id="13" w:name="__RefHeading___Toc7860_1338352368"/>
      <w:bookmarkEnd w:id="13"/>
      <w:r>
        <w:rPr>
          <w:rFonts w:eastAsia="Segoe UI" w:cs="Segoe UI"/>
          <w:b/>
          <w:color w:val="0F4761"/>
          <w:sz w:val="26"/>
        </w:rPr>
        <w:t>4.3  The money trail</w:t>
      </w:r>
    </w:p>
    <w:p>
      <w:pPr>
        <w:pStyle w:val="Normal"/>
        <w:spacing w:lineRule="auto" w:line="276" w:before="0" w:after="120"/>
        <w:rPr/>
      </w:pPr>
      <w:r>
        <w:rPr>
          <w:rFonts w:eastAsia="Segoe UI" w:cs="Segoe UI" w:ascii="Segoe UI" w:hAnsi="Segoe UI"/>
          <w:color w:val="101820"/>
          <w:sz w:val="21"/>
        </w:rPr>
        <w:t>Every business event posts a balanced journal through its posting rule. On a co-insured policy each payable and commission line carries its insurer, so remittance, reports and claim recoveries split by share.</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494"/>
        <w:gridCol w:w="6520"/>
      </w:tblGrid>
      <w:tr>
        <w:trPr>
          <w:tblHeader w:val="true"/>
        </w:trPr>
        <w:tc>
          <w:tcPr>
            <w:tcW w:w="249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Event</w:t>
            </w:r>
          </w:p>
        </w:tc>
        <w:tc>
          <w:tcPr>
            <w:tcW w:w="652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Journal (summary)</w:t>
            </w:r>
          </w:p>
        </w:tc>
      </w:tr>
      <w:tr>
        <w:trPr/>
        <w:tc>
          <w:tcPr>
            <w:tcW w:w="24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issued, broker billed</w:t>
            </w:r>
          </w:p>
        </w:tc>
        <w:tc>
          <w:tcPr>
            <w:tcW w:w="65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Dr Premiums Receivable; Cr Premiums Payable to Insurers (per insurer), premium VAT, DST and LGT due to insurers, Brokerage Commission Income (per insurer)</w:t>
            </w:r>
          </w:p>
        </w:tc>
      </w:tr>
      <w:tr>
        <w:trPr/>
        <w:tc>
          <w:tcPr>
            <w:tcW w:w="24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Official receipt</w:t>
            </w:r>
          </w:p>
        </w:tc>
        <w:tc>
          <w:tcPr>
            <w:tcW w:w="65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Dr Cash in Bank; Cr Premiums Receivable</w:t>
            </w:r>
          </w:p>
        </w:tc>
      </w:tr>
      <w:tr>
        <w:trPr/>
        <w:tc>
          <w:tcPr>
            <w:tcW w:w="24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to insurer</w:t>
            </w:r>
          </w:p>
        </w:tc>
        <w:tc>
          <w:tcPr>
            <w:tcW w:w="65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Dr Premiums Payable to Insurers; Cr Cash in Bank</w:t>
            </w:r>
          </w:p>
        </w:tc>
      </w:tr>
      <w:tr>
        <w:trPr/>
        <w:tc>
          <w:tcPr>
            <w:tcW w:w="24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issued, direct bill</w:t>
            </w:r>
          </w:p>
        </w:tc>
        <w:tc>
          <w:tcPr>
            <w:tcW w:w="65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Dr Commission Receivable - Insurers (Direct Bill); Cr Brokerage Commission Income, Output VAT Payable</w:t>
            </w:r>
          </w:p>
        </w:tc>
      </w:tr>
      <w:tr>
        <w:trPr/>
        <w:tc>
          <w:tcPr>
            <w:tcW w:w="24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Direct bill commission collected</w:t>
            </w:r>
          </w:p>
        </w:tc>
        <w:tc>
          <w:tcPr>
            <w:tcW w:w="65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Dr Cash in Bank, Creditable Withholding Tax (BIR 2307); Cr Commission Receivable - Insurers</w:t>
            </w:r>
          </w:p>
        </w:tc>
      </w:tr>
    </w:tbl>
    <w:p>
      <w:pPr>
        <w:pStyle w:val="Normal"/>
        <w:spacing w:before="0" w:after="80"/>
        <w:rPr/>
      </w:pPr>
      <w:r>
        <w:rPr/>
      </w:r>
      <w:r>
        <w:br w:type="page"/>
      </w:r>
    </w:p>
    <w:p>
      <w:pPr>
        <w:pStyle w:val="Heading1"/>
        <w:rPr/>
      </w:pPr>
      <w:bookmarkStart w:id="14" w:name="__RefHeading___Toc7862_1338352368"/>
      <w:bookmarkEnd w:id="14"/>
      <w:r>
        <w:rPr>
          <w:rFonts w:eastAsia="Segoe UI" w:cs="Segoe UI" w:ascii="Segoe UI" w:hAnsi="Segoe UI"/>
          <w:b/>
          <w:color w:val="0F4761"/>
          <w:sz w:val="32"/>
        </w:rPr>
        <w:t>5.  Functional modules</w:t>
      </w:r>
    </w:p>
    <w:p>
      <w:pPr>
        <w:pStyle w:val="Heading2"/>
        <w:rPr/>
      </w:pPr>
      <w:bookmarkStart w:id="15" w:name="__RefHeading___Toc7864_1338352368"/>
      <w:bookmarkEnd w:id="15"/>
      <w:r>
        <w:rPr>
          <w:rFonts w:eastAsia="Segoe UI" w:cs="Segoe UI"/>
          <w:b/>
          <w:color w:val="0F4761"/>
          <w:sz w:val="26"/>
        </w:rPr>
        <w:t>5.1  Dashboards</w:t>
      </w:r>
    </w:p>
    <w:p>
      <w:pPr>
        <w:pStyle w:val="Normal"/>
        <w:spacing w:lineRule="auto" w:line="276" w:before="0" w:after="120"/>
        <w:rPr/>
      </w:pPr>
      <w:r>
        <w:rPr>
          <w:rFonts w:eastAsia="Segoe UI" w:cs="Segoe UI" w:ascii="Segoe UI" w:hAnsi="Segoe UI"/>
          <w:b/>
          <w:color w:val="101820"/>
          <w:sz w:val="21"/>
        </w:rPr>
        <w:t>What it does.</w:t>
      </w:r>
      <w:r>
        <w:rPr>
          <w:rFonts w:eastAsia="Segoe UI" w:cs="Segoe UI" w:ascii="Segoe UI" w:hAnsi="Segoe UI"/>
          <w:color w:val="101820"/>
          <w:sz w:val="21"/>
        </w:rPr>
        <w:t xml:space="preserve"> Shows live figures from policies, bills, claims and commission lines, updated as soon as a transaction is saved.</w:t>
      </w:r>
    </w:p>
    <w:p>
      <w:pPr>
        <w:pStyle w:val="Normal"/>
        <w:numPr>
          <w:ilvl w:val="0"/>
          <w:numId w:val="1"/>
        </w:numPr>
        <w:spacing w:before="0" w:after="60"/>
        <w:rPr/>
      </w:pPr>
      <w:r>
        <w:rPr>
          <w:rFonts w:eastAsia="Segoe UI" w:cs="Segoe UI" w:ascii="Segoe UI" w:hAnsi="Segoe UI"/>
          <w:color w:val="101820"/>
          <w:sz w:val="21"/>
        </w:rPr>
        <w:t xml:space="preserve">Executive Dashboard: Total Revenue, Active Policies, New Business, Claims Rate, Retention Rate, Premium Receivable (Clients) and Commission Receivable (Insurers, Direct Bill), against targets in </w:t>
      </w:r>
      <w:r>
        <w:rPr>
          <w:rFonts w:eastAsia="Consolas" w:cs="Consolas" w:ascii="Consolas" w:hAnsi="Consolas"/>
          <w:color w:val="101820"/>
          <w:sz w:val="19"/>
        </w:rPr>
        <w:t>dashboard.targets</w:t>
      </w:r>
      <w:r>
        <w:rPr>
          <w:rFonts w:eastAsia="Segoe UI" w:cs="Segoe UI" w:ascii="Segoe UI" w:hAnsi="Segoe UI"/>
          <w:color w:val="101820"/>
          <w:sz w:val="21"/>
        </w:rPr>
        <w:t>; trends by product line, region, product and agent; export of the Production Register.</w:t>
      </w:r>
    </w:p>
    <w:p>
      <w:pPr>
        <w:pStyle w:val="Normal"/>
        <w:numPr>
          <w:ilvl w:val="0"/>
          <w:numId w:val="1"/>
        </w:numPr>
        <w:spacing w:before="0" w:after="60"/>
        <w:rPr/>
      </w:pPr>
      <w:r>
        <w:rPr>
          <w:rFonts w:eastAsia="Segoe UI" w:cs="Segoe UI" w:ascii="Segoe UI" w:hAnsi="Segoe UI"/>
          <w:color w:val="101820"/>
          <w:sz w:val="21"/>
        </w:rPr>
        <w:t>Sales Dashboard: prospects, quotations, conversion, policies issued, premium and open pipeline of the sales team or one account executive.</w:t>
      </w:r>
    </w:p>
    <w:p>
      <w:pPr>
        <w:pStyle w:val="Normal"/>
        <w:numPr>
          <w:ilvl w:val="0"/>
          <w:numId w:val="1"/>
        </w:numPr>
        <w:spacing w:before="0" w:after="60"/>
        <w:rPr/>
      </w:pPr>
      <w:r>
        <w:rPr>
          <w:rFonts w:eastAsia="Segoe UI" w:cs="Segoe UI" w:ascii="Segoe UI" w:hAnsi="Segoe UI"/>
          <w:color w:val="101820"/>
          <w:sz w:val="21"/>
        </w:rPr>
        <w:t>Processing Dashboard (Processing Workbench): submissions received this week and older, average cycle time, data-quality alerts, workload by assignment group; high priority from PHP 5,000,000 sum insured.</w:t>
      </w:r>
    </w:p>
    <w:p>
      <w:pPr>
        <w:pStyle w:val="Normal"/>
        <w:numPr>
          <w:ilvl w:val="0"/>
          <w:numId w:val="1"/>
        </w:numPr>
        <w:spacing w:before="0" w:after="60"/>
        <w:rPr/>
      </w:pPr>
      <w:r>
        <w:rPr>
          <w:rFonts w:eastAsia="Segoe UI" w:cs="Segoe UI" w:ascii="Segoe UI" w:hAnsi="Segoe UI"/>
          <w:color w:val="101820"/>
          <w:sz w:val="21"/>
        </w:rPr>
        <w:t xml:space="preserve">Claims Dashboard: open, overdue (past </w:t>
      </w:r>
      <w:r>
        <w:rPr>
          <w:rFonts w:eastAsia="Consolas" w:cs="Consolas" w:ascii="Consolas" w:hAnsi="Consolas"/>
          <w:color w:val="101820"/>
          <w:sz w:val="19"/>
        </w:rPr>
        <w:t>claims.sla_days</w:t>
      </w:r>
      <w:r>
        <w:rPr>
          <w:rFonts w:eastAsia="Segoe UI" w:cs="Segoe UI" w:ascii="Segoe UI" w:hAnsi="Segoe UI"/>
          <w:color w:val="101820"/>
          <w:sz w:val="21"/>
        </w:rPr>
        <w:t>, 20 days) and today's claims, highest line and location, recent claims, export.</w:t>
      </w:r>
    </w:p>
    <w:p>
      <w:pPr>
        <w:pStyle w:val="Normal"/>
        <w:numPr>
          <w:ilvl w:val="0"/>
          <w:numId w:val="1"/>
        </w:numPr>
        <w:spacing w:before="0" w:after="60"/>
        <w:rPr/>
      </w:pPr>
      <w:r>
        <w:rPr>
          <w:rFonts w:eastAsia="Segoe UI" w:cs="Segoe UI" w:ascii="Segoe UI" w:hAnsi="Segoe UI"/>
          <w:color w:val="101820"/>
          <w:sz w:val="21"/>
        </w:rPr>
        <w:t>Commission Dashboard: brokerage income, comsub, net margin, outstanding payable and withholding tax, in Accounting and Management views.</w:t>
      </w:r>
    </w:p>
    <w:p>
      <w:pPr>
        <w:pStyle w:val="Normal"/>
        <w:jc w:val="center"/>
        <w:rPr/>
      </w:pPr>
      <w:r>
        <w:rPr/>
        <w:drawing>
          <wp:inline distT="0" distB="0" distL="0" distR="0">
            <wp:extent cx="5760085" cy="4469130"/>
            <wp:effectExtent l="0" t="0" r="0" b="0"/>
            <wp:docPr id="9" name="Picture 21212881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121288189" descr=""/>
                    <pic:cNvPicPr>
                      <a:picLocks noChangeAspect="1" noChangeArrowheads="1"/>
                    </pic:cNvPicPr>
                  </pic:nvPicPr>
                  <pic:blipFill>
                    <a:blip r:embed="rId5"/>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Executive Dashboard</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Aspect</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Philippine specifics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figures; calendar periods in Philippine time</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role sees the Executive Dashboard except Claims; Sales, Processing and Claims have their own</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Key reports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Production Register export; claims data export</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Figures limited by role; scoped roles see only their own records (</w:t>
            </w:r>
            <w:r>
              <w:rPr>
                <w:rFonts w:eastAsia="Consolas" w:cs="Consolas" w:ascii="Consolas" w:hAnsi="Consolas"/>
                <w:color w:val="101820"/>
                <w:kern w:val="0"/>
                <w:sz w:val="16"/>
                <w:szCs w:val="24"/>
                <w:lang w:val="en-US" w:eastAsia="ja-JP" w:bidi="ar-SA"/>
              </w:rPr>
              <w:t>security.scoped_roles</w:t>
            </w:r>
            <w:r>
              <w:rPr>
                <w:rFonts w:eastAsia="Segoe UI" w:cs="Segoe UI" w:ascii="Segoe UI" w:hAnsi="Segoe UI"/>
                <w:color w:val="101820"/>
                <w:kern w:val="0"/>
                <w:sz w:val="18"/>
                <w:szCs w:val="24"/>
                <w:lang w:val="en-US" w:eastAsia="ja-JP" w:bidi="ar-SA"/>
              </w:rPr>
              <w:t>)</w:t>
            </w:r>
          </w:p>
        </w:tc>
      </w:tr>
    </w:tbl>
    <w:p>
      <w:pPr>
        <w:pStyle w:val="Normal"/>
        <w:spacing w:before="0" w:after="80"/>
        <w:rPr/>
      </w:pPr>
      <w:r>
        <w:rPr/>
      </w:r>
    </w:p>
    <w:p>
      <w:pPr>
        <w:pStyle w:val="Heading2"/>
        <w:rPr/>
      </w:pPr>
      <w:bookmarkStart w:id="16" w:name="__RefHeading___Toc7866_1338352368"/>
      <w:bookmarkEnd w:id="16"/>
      <w:r>
        <w:rPr>
          <w:rFonts w:eastAsia="Segoe UI" w:cs="Segoe UI"/>
          <w:b/>
          <w:color w:val="0F4761"/>
          <w:sz w:val="26"/>
        </w:rPr>
        <w:t>5.2  Prospects and clients</w:t>
      </w:r>
    </w:p>
    <w:p>
      <w:pPr>
        <w:pStyle w:val="Normal"/>
        <w:spacing w:lineRule="auto" w:line="276" w:before="0" w:after="120"/>
        <w:rPr/>
      </w:pPr>
      <w:r>
        <w:rPr>
          <w:rFonts w:eastAsia="Segoe UI" w:cs="Segoe UI" w:ascii="Segoe UI" w:hAnsi="Segoe UI"/>
          <w:b/>
          <w:color w:val="101820"/>
          <w:sz w:val="21"/>
        </w:rPr>
        <w:t>What it does.</w:t>
      </w:r>
      <w:r>
        <w:rPr>
          <w:rFonts w:eastAsia="Segoe UI" w:cs="Segoe UI" w:ascii="Segoe UI" w:hAnsi="Segoe UI"/>
          <w:color w:val="101820"/>
          <w:sz w:val="21"/>
        </w:rPr>
        <w:t xml:space="preserve"> Records prospects (leads), turns them into clients when the first policy is issued, and shows each client's policies, claims, renewals and endorsements in one view.</w:t>
      </w:r>
    </w:p>
    <w:p>
      <w:pPr>
        <w:pStyle w:val="Normal"/>
        <w:numPr>
          <w:ilvl w:val="0"/>
          <w:numId w:val="1"/>
        </w:numPr>
        <w:spacing w:before="0" w:after="60"/>
        <w:rPr/>
      </w:pPr>
      <w:r>
        <w:rPr>
          <w:rFonts w:eastAsia="Segoe UI" w:cs="Segoe UI" w:ascii="Segoe UI" w:hAnsi="Segoe UI"/>
          <w:color w:val="101820"/>
          <w:sz w:val="21"/>
        </w:rPr>
        <w:t>Prospects for Motor, Fire and Allied Perils, Industrial All Risks and Employee Benefit, retail or corporate; corporate prospects require company name and TIN.</w:t>
      </w:r>
    </w:p>
    <w:p>
      <w:pPr>
        <w:pStyle w:val="Normal"/>
        <w:numPr>
          <w:ilvl w:val="0"/>
          <w:numId w:val="1"/>
        </w:numPr>
        <w:spacing w:before="0" w:after="60"/>
        <w:rPr/>
      </w:pPr>
      <w:r>
        <w:rPr>
          <w:rFonts w:eastAsia="Segoe UI" w:cs="Segoe UI" w:ascii="Segoe UI" w:hAnsi="Segoe UI"/>
          <w:color w:val="101820"/>
          <w:sz w:val="21"/>
        </w:rPr>
        <w:t>Bulk upload of prospects from a template (up to 1,000 rows per file) with row-level error report.</w:t>
      </w:r>
    </w:p>
    <w:p>
      <w:pPr>
        <w:pStyle w:val="Normal"/>
        <w:numPr>
          <w:ilvl w:val="0"/>
          <w:numId w:val="1"/>
        </w:numPr>
        <w:spacing w:before="0" w:after="60"/>
        <w:rPr/>
      </w:pPr>
      <w:r>
        <w:rPr>
          <w:rFonts w:eastAsia="Segoe UI" w:cs="Segoe UI" w:ascii="Segoe UI" w:hAnsi="Segoe UI"/>
          <w:color w:val="101820"/>
          <w:sz w:val="21"/>
        </w:rPr>
        <w:t>Lead statuses New, Contacted, Qualified, QuoteGenerated, Converted, Lost.</w:t>
      </w:r>
    </w:p>
    <w:p>
      <w:pPr>
        <w:pStyle w:val="Normal"/>
        <w:numPr>
          <w:ilvl w:val="0"/>
          <w:numId w:val="1"/>
        </w:numPr>
        <w:spacing w:before="0" w:after="60"/>
        <w:rPr/>
      </w:pPr>
      <w:r>
        <w:rPr>
          <w:rFonts w:eastAsia="Segoe UI" w:cs="Segoe UI" w:ascii="Segoe UI" w:hAnsi="Segoe UI"/>
          <w:color w:val="101820"/>
          <w:sz w:val="21"/>
        </w:rPr>
        <w:t>Client code CL- created at first policy issue; client view with Policy, Claim, Renewal and Endorsement tabs.</w:t>
      </w:r>
    </w:p>
    <w:p>
      <w:pPr>
        <w:pStyle w:val="Normal"/>
        <w:numPr>
          <w:ilvl w:val="0"/>
          <w:numId w:val="1"/>
        </w:numPr>
        <w:spacing w:before="0" w:after="60"/>
        <w:rPr/>
      </w:pPr>
      <w:r>
        <w:rPr>
          <w:rFonts w:eastAsia="Segoe UI" w:cs="Segoe UI" w:ascii="Segoe UI" w:hAnsi="Segoe UI"/>
          <w:color w:val="101820"/>
          <w:sz w:val="21"/>
        </w:rPr>
        <w:t>Consent per purpose recorded on the prospect and client screens (see Data privacy).</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Aspect</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Philippine specifics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Philippine mobile number formats, 4-digit ZIP code, province, city and barangay address, TIN</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Operations; Processing Team views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Key reports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Lead Conversion Funnel; lead list by category</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Changes to client details on an issued policy go through a Personal Details Change endorsement; audit trail on every change</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Bulk upload (XLSX or CSV)</w:t>
            </w:r>
          </w:p>
        </w:tc>
      </w:tr>
    </w:tbl>
    <w:p>
      <w:pPr>
        <w:pStyle w:val="Normal"/>
        <w:spacing w:before="0" w:after="80"/>
        <w:rPr/>
      </w:pPr>
      <w:r>
        <w:rPr/>
      </w:r>
    </w:p>
    <w:p>
      <w:pPr>
        <w:pStyle w:val="Heading2"/>
        <w:rPr/>
      </w:pPr>
      <w:bookmarkStart w:id="17" w:name="__RefHeading___Toc7868_1338352368"/>
      <w:bookmarkEnd w:id="17"/>
      <w:r>
        <w:rPr>
          <w:rFonts w:eastAsia="Segoe UI" w:cs="Segoe UI"/>
          <w:b/>
          <w:color w:val="0F4761"/>
          <w:sz w:val="26"/>
        </w:rPr>
        <w:t>5.3  Quick Quote and Compare Insurers</w:t>
      </w:r>
    </w:p>
    <w:p>
      <w:pPr>
        <w:pStyle w:val="Normal"/>
        <w:spacing w:lineRule="auto" w:line="276" w:before="0" w:after="120"/>
        <w:rPr/>
      </w:pPr>
      <w:r>
        <w:rPr>
          <w:rFonts w:eastAsia="Segoe UI" w:cs="Segoe UI" w:ascii="Segoe UI" w:hAnsi="Segoe UI"/>
          <w:b/>
          <w:color w:val="101820"/>
          <w:sz w:val="21"/>
        </w:rPr>
        <w:t>What it does.</w:t>
      </w:r>
      <w:r>
        <w:rPr>
          <w:rFonts w:eastAsia="Segoe UI" w:cs="Segoe UI" w:ascii="Segoe UI" w:hAnsi="Segoe UI"/>
          <w:color w:val="101820"/>
          <w:sz w:val="21"/>
        </w:rPr>
        <w:t xml:space="preserve"> Quotes packaged products on the spot from each insurer's rate table, and compares the premiums of several insurers side by side. Non-package risks go to the insurers through a Request for Quotation.</w:t>
      </w:r>
    </w:p>
    <w:p>
      <w:pPr>
        <w:pStyle w:val="Normal"/>
        <w:numPr>
          <w:ilvl w:val="0"/>
          <w:numId w:val="1"/>
        </w:numPr>
        <w:spacing w:before="0" w:after="60"/>
        <w:rPr/>
      </w:pPr>
      <w:r>
        <w:rPr>
          <w:rFonts w:eastAsia="Segoe UI" w:cs="Segoe UI" w:ascii="Segoe UI" w:hAnsi="Segoe UI"/>
          <w:color w:val="101820"/>
          <w:sz w:val="21"/>
        </w:rPr>
        <w:t>Packaged products delivered with the sample set-up include Burglary and Robbery, CTPL, Group Personal Accident, Householder, Micro-insurance, Motor Vehicle, Personal Accident and Travel.</w:t>
      </w:r>
    </w:p>
    <w:p>
      <w:pPr>
        <w:pStyle w:val="Normal"/>
        <w:numPr>
          <w:ilvl w:val="0"/>
          <w:numId w:val="1"/>
        </w:numPr>
        <w:spacing w:before="0" w:after="60"/>
        <w:rPr/>
      </w:pPr>
      <w:r>
        <w:rPr>
          <w:rFonts w:eastAsia="Segoe UI" w:cs="Segoe UI" w:ascii="Segoe UI" w:hAnsi="Segoe UI"/>
          <w:color w:val="101820"/>
          <w:sz w:val="21"/>
        </w:rPr>
        <w:t>Package Bundles and Insurer Rate Tables (rate basis, minimum premium, deductible, commission) in Master &gt; Finance.</w:t>
      </w:r>
    </w:p>
    <w:p>
      <w:pPr>
        <w:pStyle w:val="Normal"/>
        <w:numPr>
          <w:ilvl w:val="0"/>
          <w:numId w:val="1"/>
        </w:numPr>
        <w:spacing w:before="0" w:after="60"/>
        <w:rPr/>
      </w:pPr>
      <w:r>
        <w:rPr>
          <w:rFonts w:eastAsia="Segoe UI" w:cs="Segoe UI" w:ascii="Segoe UI" w:hAnsi="Segoe UI"/>
          <w:color w:val="101820"/>
          <w:sz w:val="21"/>
        </w:rPr>
        <w:t>Premium taxes and LGU rates applied per product (Master &gt; Finance &gt; Premium Taxes &amp; LGU Rates).</w:t>
      </w:r>
    </w:p>
    <w:p>
      <w:pPr>
        <w:pStyle w:val="Normal"/>
        <w:numPr>
          <w:ilvl w:val="0"/>
          <w:numId w:val="1"/>
        </w:numPr>
        <w:spacing w:before="0" w:after="60"/>
        <w:rPr/>
      </w:pPr>
      <w:r>
        <w:rPr>
          <w:rFonts w:eastAsia="Segoe UI" w:cs="Segoe UI" w:ascii="Segoe UI" w:hAnsi="Segoe UI"/>
          <w:color w:val="101820"/>
          <w:sz w:val="21"/>
        </w:rPr>
        <w:t>Payment links for a package quotation; a paid link creates the official receipt and can issue the package policy.</w:t>
      </w:r>
    </w:p>
    <w:p>
      <w:pPr>
        <w:pStyle w:val="Normal"/>
        <w:jc w:val="center"/>
        <w:rPr/>
      </w:pPr>
      <w:r>
        <w:rPr/>
        <w:drawing>
          <wp:inline distT="0" distB="0" distL="0" distR="0">
            <wp:extent cx="5760085" cy="4086860"/>
            <wp:effectExtent l="0" t="0" r="0" b="0"/>
            <wp:docPr id="10" name="Picture 21212881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121288190" descr=""/>
                    <pic:cNvPicPr>
                      <a:picLocks noChangeAspect="1" noChangeArrowheads="1"/>
                    </pic:cNvPicPr>
                  </pic:nvPicPr>
                  <pic:blipFill>
                    <a:blip r:embed="rId6"/>
                    <a:stretch>
                      <a:fillRect/>
                    </a:stretch>
                  </pic:blipFill>
                  <pic:spPr bwMode="auto">
                    <a:xfrm>
                      <a:off x="0" y="0"/>
                      <a:ext cx="5760085" cy="4086860"/>
                    </a:xfrm>
                    <a:prstGeom prst="rect">
                      <a:avLst/>
                    </a:prstGeom>
                  </pic:spPr>
                </pic:pic>
              </a:graphicData>
            </a:graphic>
          </wp:inline>
        </w:drawing>
      </w:r>
    </w:p>
    <w:p>
      <w:pPr>
        <w:pStyle w:val="Normal"/>
        <w:jc w:val="center"/>
        <w:rPr/>
      </w:pPr>
      <w:r>
        <w:rPr>
          <w:rFonts w:eastAsia="Segoe UI" w:cs="Segoe UI" w:ascii="Segoe UI" w:hAnsi="Segoe UI"/>
          <w:i/>
          <w:color w:val="555F6D"/>
          <w:sz w:val="18"/>
        </w:rPr>
        <w:t>Quick Quote of packaged products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Aspect</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Philippine specifics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DST counted per PHP 4.00 unit with the fraction rounded up where package pricing is set that way; LGT per city or municipality</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Operations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Key reports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Production Register, Premium by Product / Month / Insurer</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 is never printed on the package quotation or insurer comparison sent to the client</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PayMongo and Dragonpay payment links (sandbox provider for training and UAT)</w:t>
            </w:r>
          </w:p>
        </w:tc>
      </w:tr>
    </w:tbl>
    <w:p>
      <w:pPr>
        <w:pStyle w:val="Normal"/>
        <w:spacing w:before="0" w:after="80"/>
        <w:rPr/>
      </w:pPr>
      <w:r>
        <w:rPr/>
      </w:r>
    </w:p>
    <w:p>
      <w:pPr>
        <w:pStyle w:val="Heading2"/>
        <w:rPr/>
      </w:pPr>
      <w:bookmarkStart w:id="18" w:name="__RefHeading___Toc7870_1338352368"/>
      <w:bookmarkEnd w:id="18"/>
      <w:r>
        <w:rPr>
          <w:rFonts w:eastAsia="Segoe UI" w:cs="Segoe UI"/>
          <w:b/>
          <w:color w:val="0F4761"/>
          <w:sz w:val="26"/>
        </w:rPr>
        <w:t>5.4  Motor quotation and customer approval</w:t>
      </w:r>
    </w:p>
    <w:p>
      <w:pPr>
        <w:pStyle w:val="Normal"/>
        <w:spacing w:lineRule="auto" w:line="276" w:before="0" w:after="120"/>
        <w:rPr/>
      </w:pPr>
      <w:r>
        <w:rPr>
          <w:rFonts w:eastAsia="Segoe UI" w:cs="Segoe UI" w:ascii="Segoe UI" w:hAnsi="Segoe UI"/>
          <w:b/>
          <w:color w:val="101820"/>
          <w:sz w:val="21"/>
        </w:rPr>
        <w:t>What it does.</w:t>
      </w:r>
      <w:r>
        <w:rPr>
          <w:rFonts w:eastAsia="Segoe UI" w:cs="Segoe UI" w:ascii="Segoe UI" w:hAnsi="Segoe UI"/>
          <w:color w:val="101820"/>
          <w:sz w:val="21"/>
        </w:rPr>
        <w:t xml:space="preserve"> Prices a motor risk in five steps, sends the quotation to the client for online approval and turns the accepted quotation into a policy.</w:t>
      </w:r>
    </w:p>
    <w:p>
      <w:pPr>
        <w:pStyle w:val="Normal"/>
        <w:numPr>
          <w:ilvl w:val="0"/>
          <w:numId w:val="1"/>
        </w:numPr>
        <w:spacing w:before="0" w:after="60"/>
        <w:rPr/>
      </w:pPr>
      <w:r>
        <w:rPr>
          <w:rFonts w:eastAsia="Segoe UI" w:cs="Segoe UI" w:ascii="Segoe UI" w:hAnsi="Segoe UI"/>
          <w:color w:val="101820"/>
          <w:sz w:val="21"/>
        </w:rPr>
        <w:t>Steps: policy and vehicle details, plan recommendations (CTPL, Basic, Comprehensive), coverage with Calculate, accessories and policy limits, order summary with discount, referrer and signatory.</w:t>
      </w:r>
    </w:p>
    <w:p>
      <w:pPr>
        <w:pStyle w:val="Normal"/>
        <w:numPr>
          <w:ilvl w:val="0"/>
          <w:numId w:val="1"/>
        </w:numPr>
        <w:spacing w:before="0" w:after="60"/>
        <w:rPr/>
      </w:pPr>
      <w:r>
        <w:rPr>
          <w:rFonts w:eastAsia="Segoe UI" w:cs="Segoe UI" w:ascii="Segoe UI" w:hAnsi="Segoe UI"/>
          <w:color w:val="101820"/>
          <w:sz w:val="21"/>
        </w:rPr>
        <w:t>Own damage, acts of nature, roadside assistance, personal accident, excess bodily injury and property damage, Auto Passenger PA per seat, accessories.</w:t>
      </w:r>
    </w:p>
    <w:p>
      <w:pPr>
        <w:pStyle w:val="Normal"/>
        <w:numPr>
          <w:ilvl w:val="0"/>
          <w:numId w:val="1"/>
        </w:numPr>
        <w:spacing w:before="0" w:after="60"/>
        <w:rPr/>
      </w:pPr>
      <w:r>
        <w:rPr>
          <w:rFonts w:eastAsia="Segoe UI" w:cs="Segoe UI" w:ascii="Segoe UI" w:hAnsi="Segoe UI"/>
          <w:color w:val="101820"/>
          <w:sz w:val="21"/>
        </w:rPr>
        <w:t>Co-insurance on the quotation, with shares totalling 100% and one lead.</w:t>
      </w:r>
    </w:p>
    <w:p>
      <w:pPr>
        <w:pStyle w:val="Normal"/>
        <w:numPr>
          <w:ilvl w:val="0"/>
          <w:numId w:val="1"/>
        </w:numPr>
        <w:spacing w:before="0" w:after="60"/>
        <w:rPr/>
      </w:pPr>
      <w:r>
        <w:rPr>
          <w:rFonts w:eastAsia="Segoe UI" w:cs="Segoe UI" w:ascii="Segoe UI" w:hAnsi="Segoe UI"/>
          <w:color w:val="101820"/>
          <w:sz w:val="21"/>
        </w:rPr>
        <w:t xml:space="preserve">Brokerage rate from the Commission Rate Matrix, then the insurer default, then </w:t>
      </w:r>
      <w:r>
        <w:rPr>
          <w:rFonts w:eastAsia="Consolas" w:cs="Consolas" w:ascii="Consolas" w:hAnsi="Consolas"/>
          <w:color w:val="101820"/>
          <w:sz w:val="19"/>
        </w:rPr>
        <w:t>commission.default_rate</w:t>
      </w:r>
      <w:r>
        <w:rPr>
          <w:rFonts w:eastAsia="Segoe UI" w:cs="Segoe UI" w:ascii="Segoe UI" w:hAnsi="Segoe UI"/>
          <w:color w:val="101820"/>
          <w:sz w:val="21"/>
        </w:rPr>
        <w:t xml:space="preserve"> (15%); comsub for the referrer chain; discount up to 30% taken from the broker's commission.</w:t>
      </w:r>
    </w:p>
    <w:p>
      <w:pPr>
        <w:pStyle w:val="Normal"/>
        <w:numPr>
          <w:ilvl w:val="0"/>
          <w:numId w:val="1"/>
        </w:numPr>
        <w:spacing w:before="0" w:after="60"/>
        <w:rPr/>
      </w:pPr>
      <w:r>
        <w:rPr>
          <w:rFonts w:eastAsia="Segoe UI" w:cs="Segoe UI" w:ascii="Segoe UI" w:hAnsi="Segoe UI"/>
          <w:color w:val="101820"/>
          <w:sz w:val="21"/>
        </w:rPr>
        <w:t>Send for Customer Approval e-mails a signed link valid for 168 hours; the client approves without signing in. Share by download, e-mail, WhatsApp, Send to Insurer or copied link.</w:t>
      </w:r>
    </w:p>
    <w:p>
      <w:pPr>
        <w:pStyle w:val="Normal"/>
        <w:numPr>
          <w:ilvl w:val="0"/>
          <w:numId w:val="1"/>
        </w:numPr>
        <w:spacing w:before="0" w:after="60"/>
        <w:rPr/>
      </w:pPr>
      <w:r>
        <w:rPr>
          <w:rFonts w:eastAsia="Segoe UI" w:cs="Segoe UI" w:ascii="Segoe UI" w:hAnsi="Segoe UI"/>
          <w:color w:val="101820"/>
          <w:sz w:val="21"/>
        </w:rPr>
        <w:t>Quotation validity 30 days (</w:t>
      </w:r>
      <w:r>
        <w:rPr>
          <w:rFonts w:eastAsia="Consolas" w:cs="Consolas" w:ascii="Consolas" w:hAnsi="Consolas"/>
          <w:color w:val="101820"/>
          <w:sz w:val="19"/>
        </w:rPr>
        <w:t>limits.quote_validity_days</w:t>
      </w:r>
      <w:r>
        <w:rPr>
          <w:rFonts w:eastAsia="Segoe UI" w:cs="Segoe UI" w:ascii="Segoe UI" w:hAnsi="Segoe UI"/>
          <w:color w:val="101820"/>
          <w:sz w:val="21"/>
        </w:rPr>
        <w:t>); the Quotation expiry job runs daily.</w:t>
      </w:r>
    </w:p>
    <w:p>
      <w:pPr>
        <w:pStyle w:val="Normal"/>
        <w:numPr>
          <w:ilvl w:val="0"/>
          <w:numId w:val="1"/>
        </w:numPr>
        <w:spacing w:before="0" w:after="60"/>
        <w:rPr/>
      </w:pPr>
      <w:r>
        <w:rPr>
          <w:rFonts w:eastAsia="Segoe UI" w:cs="Segoe UI" w:ascii="Segoe UI" w:hAnsi="Segoe UI"/>
          <w:color w:val="101820"/>
          <w:sz w:val="21"/>
        </w:rPr>
        <w:t>Audit Trail tab with every field change.</w:t>
      </w:r>
    </w:p>
    <w:p>
      <w:pPr>
        <w:pStyle w:val="Normal"/>
        <w:jc w:val="center"/>
        <w:rPr/>
      </w:pPr>
      <w:r>
        <w:rPr/>
        <w:drawing>
          <wp:inline distT="0" distB="0" distL="0" distR="0">
            <wp:extent cx="5760085" cy="4469130"/>
            <wp:effectExtent l="0" t="0" r="0" b="0"/>
            <wp:docPr id="11" name="Picture 21212881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121288191" descr=""/>
                    <pic:cNvPicPr>
                      <a:picLocks noChangeAspect="1" noChangeArrowheads="1"/>
                    </pic:cNvPicPr>
                  </pic:nvPicPr>
                  <pic:blipFill>
                    <a:blip r:embed="rId7"/>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Quotation list</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Aspect</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Philippine specifics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Vehicle class per Insurance Commission tariff; CTPL 1-year and 3-year amounts, inclusive of taxes and never discounted; VAT 12%, DST 12.5%, LGT 0.75% on the net premium</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Operations prepare; Processing Team is notified (</w:t>
            </w:r>
            <w:r>
              <w:rPr>
                <w:rFonts w:eastAsia="Consolas" w:cs="Consolas" w:ascii="Consolas" w:hAnsi="Consolas"/>
                <w:color w:val="101820"/>
                <w:kern w:val="0"/>
                <w:sz w:val="16"/>
                <w:szCs w:val="24"/>
                <w:lang w:val="en-US" w:eastAsia="ja-JP" w:bidi="ar-SA"/>
              </w:rPr>
              <w:t>quotations.approval_notify_roles</w:t>
            </w:r>
            <w:r>
              <w:rPr>
                <w:rFonts w:eastAsia="Segoe UI" w:cs="Segoe UI" w:ascii="Segoe UI" w:hAnsi="Segoe UI"/>
                <w:color w:val="101820"/>
                <w:kern w:val="0"/>
                <w:sz w:val="18"/>
                <w:szCs w:val="24"/>
                <w:lang w:val="en-US" w:eastAsia="ja-JP" w:bidi="ar-SA"/>
              </w:rPr>
              <w:t>)</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Key reports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Production Register, New Business vs Renewals, Lead Conversion Funnel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server prices every quotation again from the configured rates; a premium changed in the browser is refused. A quotation cannot be approved by its creator (</w:t>
            </w:r>
            <w:r>
              <w:rPr>
                <w:rFonts w:eastAsia="Consolas" w:cs="Consolas" w:ascii="Consolas" w:hAnsi="Consolas"/>
                <w:color w:val="101820"/>
                <w:kern w:val="0"/>
                <w:sz w:val="16"/>
                <w:szCs w:val="24"/>
                <w:lang w:val="en-US" w:eastAsia="ja-JP" w:bidi="ar-SA"/>
              </w:rPr>
              <w:t>workflow.quote_maker_checker</w:t>
            </w:r>
            <w:r>
              <w:rPr>
                <w:rFonts w:eastAsia="Segoe UI" w:cs="Segoe UI" w:ascii="Segoe UI" w:hAnsi="Segoe UI"/>
                <w:color w:val="101820"/>
                <w:kern w:val="0"/>
                <w:sz w:val="18"/>
                <w:szCs w:val="24"/>
                <w:lang w:val="en-US" w:eastAsia="ja-JP" w:bidi="ar-SA"/>
              </w:rPr>
              <w:t>)</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(approval link, share); public approval page</w:t>
            </w:r>
          </w:p>
        </w:tc>
      </w:tr>
    </w:tbl>
    <w:p>
      <w:pPr>
        <w:pStyle w:val="Normal"/>
        <w:spacing w:before="0" w:after="80"/>
        <w:rPr/>
      </w:pPr>
      <w:r>
        <w:rPr/>
      </w:r>
    </w:p>
    <w:p>
      <w:pPr>
        <w:pStyle w:val="Heading2"/>
        <w:rPr/>
      </w:pPr>
      <w:bookmarkStart w:id="19" w:name="__RefHeading___Toc7872_1338352368"/>
      <w:bookmarkEnd w:id="19"/>
      <w:r>
        <w:rPr>
          <w:rFonts w:eastAsia="Segoe UI" w:cs="Segoe UI"/>
          <w:b/>
          <w:color w:val="0F4761"/>
          <w:sz w:val="26"/>
        </w:rPr>
        <w:t>5.5  Request for Quotation and placement</w:t>
      </w:r>
    </w:p>
    <w:p>
      <w:pPr>
        <w:pStyle w:val="Normal"/>
        <w:spacing w:lineRule="auto" w:line="276" w:before="0" w:after="120"/>
        <w:rPr/>
      </w:pPr>
      <w:r>
        <w:rPr>
          <w:rFonts w:eastAsia="Segoe UI" w:cs="Segoe UI" w:ascii="Segoe UI" w:hAnsi="Segoe UI"/>
          <w:b/>
          <w:color w:val="101820"/>
          <w:sz w:val="21"/>
        </w:rPr>
        <w:t>What it does.</w:t>
      </w:r>
      <w:r>
        <w:rPr>
          <w:rFonts w:eastAsia="Segoe UI" w:cs="Segoe UI" w:ascii="Segoe UI" w:hAnsi="Segoe UI"/>
          <w:color w:val="101820"/>
          <w:sz w:val="21"/>
        </w:rPr>
        <w:t xml:space="preserve"> Presents a risk to several insurers, records their offers and declines, compares them, and binds the cover with a firm order to the lead insurer and co-insurers.</w:t>
      </w:r>
    </w:p>
    <w:p>
      <w:pPr>
        <w:pStyle w:val="Normal"/>
        <w:numPr>
          <w:ilvl w:val="0"/>
          <w:numId w:val="1"/>
        </w:numPr>
        <w:spacing w:before="0" w:after="60"/>
        <w:rPr/>
      </w:pPr>
      <w:r>
        <w:rPr>
          <w:rFonts w:eastAsia="Segoe UI" w:cs="Segoe UI" w:ascii="Segoe UI" w:hAnsi="Segoe UI"/>
          <w:color w:val="101820"/>
          <w:sz w:val="21"/>
        </w:rPr>
        <w:t>Request for Quotation (broker slip): customer and risk, risk details as items and values, requested covers with sums insured and deductibles, insurers approached, response due date, remarks. Submitting creates one offer record per insurer and e-mails each insurer's placement address.</w:t>
      </w:r>
    </w:p>
    <w:p>
      <w:pPr>
        <w:pStyle w:val="Normal"/>
        <w:numPr>
          <w:ilvl w:val="0"/>
          <w:numId w:val="1"/>
        </w:numPr>
        <w:spacing w:before="0" w:after="60"/>
        <w:rPr/>
      </w:pPr>
      <w:r>
        <w:rPr>
          <w:rFonts w:eastAsia="Segoe UI" w:cs="Segoe UI" w:ascii="Segoe UI" w:hAnsi="Segoe UI"/>
          <w:color w:val="101820"/>
          <w:sz w:val="21"/>
        </w:rPr>
        <w:t>Offers recorded as Offered, Declined or Pending, with net premium, rate, line offered, taxes, validity, deductibles, special terms and the insurer's reference and offer letter.</w:t>
      </w:r>
    </w:p>
    <w:p>
      <w:pPr>
        <w:pStyle w:val="Normal"/>
        <w:numPr>
          <w:ilvl w:val="0"/>
          <w:numId w:val="1"/>
        </w:numPr>
        <w:spacing w:before="0" w:after="60"/>
        <w:rPr/>
      </w:pPr>
      <w:r>
        <w:rPr>
          <w:rFonts w:eastAsia="Segoe UI" w:cs="Segoe UI" w:ascii="Segoe UI" w:hAnsi="Segoe UI"/>
          <w:color w:val="101820"/>
          <w:sz w:val="21"/>
        </w:rPr>
        <w:t>Compare offers ranks by gross premium, marks the best offer, shows the market capacity, and lets the user select offers, the lead insurer and the shares.</w:t>
      </w:r>
    </w:p>
    <w:p>
      <w:pPr>
        <w:pStyle w:val="Normal"/>
        <w:numPr>
          <w:ilvl w:val="0"/>
          <w:numId w:val="1"/>
        </w:numPr>
        <w:spacing w:before="0" w:after="60"/>
        <w:rPr/>
      </w:pPr>
      <w:r>
        <w:rPr>
          <w:rFonts w:eastAsia="Segoe UI" w:cs="Segoe UI" w:ascii="Segoe UI" w:hAnsi="Segoe UI"/>
          <w:color w:val="101820"/>
          <w:sz w:val="21"/>
        </w:rPr>
        <w:t>Placement Slip from a broker slip, from an accepted quotation, as a direct placement, or with Record Issued Policy for a policy the insurer already issued.</w:t>
      </w:r>
    </w:p>
    <w:p>
      <w:pPr>
        <w:pStyle w:val="Normal"/>
        <w:numPr>
          <w:ilvl w:val="0"/>
          <w:numId w:val="1"/>
        </w:numPr>
        <w:spacing w:before="0" w:after="60"/>
        <w:rPr/>
      </w:pPr>
      <w:r>
        <w:rPr>
          <w:rFonts w:eastAsia="Segoe UI" w:cs="Segoe UI" w:ascii="Segoe UI" w:hAnsi="Segoe UI"/>
          <w:color w:val="101820"/>
          <w:sz w:val="21"/>
        </w:rPr>
        <w:t>Send to insurer(s) e-mails each participant a slip showing its own share; Confirm records the insurer's policy or certificate number; a decline prompts a change of participants.</w:t>
      </w:r>
    </w:p>
    <w:p>
      <w:pPr>
        <w:pStyle w:val="Normal"/>
        <w:numPr>
          <w:ilvl w:val="0"/>
          <w:numId w:val="1"/>
        </w:numPr>
        <w:spacing w:before="0" w:after="60"/>
        <w:rPr/>
      </w:pPr>
      <w:r>
        <w:rPr>
          <w:rFonts w:eastAsia="Segoe UI" w:cs="Segoe UI" w:ascii="Segoe UI" w:hAnsi="Segoe UI"/>
          <w:color w:val="101820"/>
          <w:sz w:val="21"/>
        </w:rPr>
        <w:t>Slip PDFs for the whole market or for one insurer.</w:t>
      </w:r>
    </w:p>
    <w:p>
      <w:pPr>
        <w:pStyle w:val="Normal"/>
        <w:jc w:val="center"/>
        <w:rPr/>
      </w:pPr>
      <w:r>
        <w:rPr/>
        <w:drawing>
          <wp:inline distT="0" distB="0" distL="0" distR="0">
            <wp:extent cx="5760085" cy="4116070"/>
            <wp:effectExtent l="0" t="0" r="0" b="0"/>
            <wp:docPr id="12" name="Picture 21212881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121288192" descr=""/>
                    <pic:cNvPicPr>
                      <a:picLocks noChangeAspect="1" noChangeArrowheads="1"/>
                    </pic:cNvPicPr>
                  </pic:nvPicPr>
                  <pic:blipFill>
                    <a:blip r:embed="rId8"/>
                    <a:stretch>
                      <a:fillRect/>
                    </a:stretch>
                  </pic:blipFill>
                  <pic:spPr bwMode="auto">
                    <a:xfrm>
                      <a:off x="0" y="0"/>
                      <a:ext cx="5760085" cy="4116070"/>
                    </a:xfrm>
                    <a:prstGeom prst="rect">
                      <a:avLst/>
                    </a:prstGeom>
                  </pic:spPr>
                </pic:pic>
              </a:graphicData>
            </a:graphic>
          </wp:inline>
        </w:drawing>
      </w:r>
    </w:p>
    <w:p>
      <w:pPr>
        <w:pStyle w:val="Normal"/>
        <w:jc w:val="center"/>
        <w:rPr/>
      </w:pPr>
      <w:r>
        <w:rPr>
          <w:rFonts w:eastAsia="Segoe UI" w:cs="Segoe UI" w:ascii="Segoe UI" w:hAnsi="Segoe UI"/>
          <w:i/>
          <w:color w:val="555F6D"/>
          <w:sz w:val="18"/>
        </w:rPr>
        <w:t>Request for Quotation: Compare offers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Aspect</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Philippine specifics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Co-insurance common in the Philippine market; taxes split per participant</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Processing Team; Sales &amp; Marketing and Operations follow their accounts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Key reports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Placement Pipeline, Market Response (hit ratio per insurer), Co-insurance Register</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Shares must total exactly 100% with one lead; a line that requires a Placement Slip cannot be issued until every participant has confirmed</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to insurers (broker slip, placement slip); PDF, no insurer API</w:t>
            </w:r>
          </w:p>
        </w:tc>
      </w:tr>
    </w:tbl>
    <w:p>
      <w:pPr>
        <w:pStyle w:val="Normal"/>
        <w:spacing w:before="0" w:after="80"/>
        <w:rPr/>
      </w:pPr>
      <w:r>
        <w:rPr/>
      </w:r>
    </w:p>
    <w:p>
      <w:pPr>
        <w:pStyle w:val="Heading2"/>
        <w:rPr/>
      </w:pPr>
      <w:bookmarkStart w:id="20" w:name="__RefHeading___Toc7874_1338352368"/>
      <w:bookmarkEnd w:id="20"/>
      <w:r>
        <w:rPr>
          <w:rFonts w:eastAsia="Segoe UI" w:cs="Segoe UI"/>
          <w:b/>
          <w:color w:val="0F4761"/>
          <w:sz w:val="26"/>
        </w:rPr>
        <w:t>5.6  Policy issuance and servicing</w:t>
      </w:r>
    </w:p>
    <w:p>
      <w:pPr>
        <w:pStyle w:val="Normal"/>
        <w:spacing w:lineRule="auto" w:line="276" w:before="0" w:after="120"/>
        <w:rPr/>
      </w:pPr>
      <w:r>
        <w:rPr>
          <w:rFonts w:eastAsia="Segoe UI" w:cs="Segoe UI" w:ascii="Segoe UI" w:hAnsi="Segoe UI"/>
          <w:b/>
          <w:color w:val="101820"/>
          <w:sz w:val="21"/>
        </w:rPr>
        <w:t>What it does.</w:t>
      </w:r>
      <w:r>
        <w:rPr>
          <w:rFonts w:eastAsia="Segoe UI" w:cs="Segoe UI" w:ascii="Segoe UI" w:hAnsi="Segoe UI"/>
          <w:color w:val="101820"/>
          <w:sz w:val="21"/>
        </w:rPr>
        <w:t xml:space="preserve"> Issues the policy with its participants, creates the client, bills the premium or books the direct-bill commission, and holds the policy record for servicing.</w:t>
      </w:r>
    </w:p>
    <w:p>
      <w:pPr>
        <w:pStyle w:val="Normal"/>
        <w:numPr>
          <w:ilvl w:val="0"/>
          <w:numId w:val="1"/>
        </w:numPr>
        <w:spacing w:before="0" w:after="60"/>
        <w:rPr/>
      </w:pPr>
      <w:r>
        <w:rPr>
          <w:rFonts w:eastAsia="Segoe UI" w:cs="Segoe UI" w:ascii="Segoe UI" w:hAnsi="Segoe UI"/>
          <w:color w:val="101820"/>
          <w:sz w:val="21"/>
        </w:rPr>
        <w:t>Issue from a bound Placement Slip, convert an accepted motor quotation, or Record Issued Policy.</w:t>
      </w:r>
    </w:p>
    <w:p>
      <w:pPr>
        <w:pStyle w:val="Normal"/>
        <w:numPr>
          <w:ilvl w:val="0"/>
          <w:numId w:val="1"/>
        </w:numPr>
        <w:spacing w:before="0" w:after="60"/>
        <w:rPr/>
      </w:pPr>
      <w:r>
        <w:rPr>
          <w:rFonts w:eastAsia="Segoe UI" w:cs="Segoe UI" w:ascii="Segoe UI" w:hAnsi="Segoe UI"/>
          <w:color w:val="101820"/>
          <w:sz w:val="21"/>
        </w:rPr>
        <w:t>Motor issue captures government ID type, number and image, chassis, motor and plate or MV file number, mortgagee, CTPL certificate number and authentication code, and five vehicle photos.</w:t>
      </w:r>
    </w:p>
    <w:p>
      <w:pPr>
        <w:pStyle w:val="Normal"/>
        <w:numPr>
          <w:ilvl w:val="0"/>
          <w:numId w:val="1"/>
        </w:numPr>
        <w:spacing w:before="0" w:after="60"/>
        <w:rPr/>
      </w:pPr>
      <w:r>
        <w:rPr>
          <w:rFonts w:eastAsia="Segoe UI" w:cs="Segoe UI" w:ascii="Segoe UI" w:hAnsi="Segoe UI"/>
          <w:color w:val="101820"/>
          <w:sz w:val="21"/>
        </w:rPr>
        <w:t xml:space="preserve">Billing mode per policy: broker billed or direct bill; default from the insurer, else </w:t>
      </w:r>
      <w:r>
        <w:rPr>
          <w:rFonts w:eastAsia="Consolas" w:cs="Consolas" w:ascii="Consolas" w:hAnsi="Consolas"/>
          <w:color w:val="101820"/>
          <w:sz w:val="19"/>
        </w:rPr>
        <w:t>direct_bill.default_billing_mode</w:t>
      </w:r>
      <w:r>
        <w:rPr>
          <w:rFonts w:eastAsia="Segoe UI" w:cs="Segoe UI" w:ascii="Segoe UI" w:hAnsi="Segoe UI"/>
          <w:color w:val="101820"/>
          <w:sz w:val="21"/>
        </w:rPr>
        <w:t>.</w:t>
      </w:r>
    </w:p>
    <w:p>
      <w:pPr>
        <w:pStyle w:val="Normal"/>
        <w:numPr>
          <w:ilvl w:val="0"/>
          <w:numId w:val="1"/>
        </w:numPr>
        <w:spacing w:before="0" w:after="60"/>
        <w:rPr/>
      </w:pPr>
      <w:r>
        <w:rPr>
          <w:rFonts w:eastAsia="Segoe UI" w:cs="Segoe UI" w:ascii="Segoe UI" w:hAnsi="Segoe UI"/>
          <w:color w:val="101820"/>
          <w:sz w:val="21"/>
        </w:rPr>
        <w:t>Policy details with coverage, premium breakdown, participants, endorsements, payment status, documents, policy invoice and Premium Accounting Entries.</w:t>
      </w:r>
    </w:p>
    <w:p>
      <w:pPr>
        <w:pStyle w:val="Normal"/>
        <w:numPr>
          <w:ilvl w:val="0"/>
          <w:numId w:val="1"/>
        </w:numPr>
        <w:spacing w:before="0" w:after="60"/>
        <w:rPr/>
      </w:pPr>
      <w:r>
        <w:rPr>
          <w:rFonts w:eastAsia="Segoe UI" w:cs="Segoe UI" w:ascii="Segoe UI" w:hAnsi="Segoe UI"/>
          <w:color w:val="101820"/>
          <w:sz w:val="21"/>
        </w:rPr>
        <w:t>Policy statuses Active, Expired, Renewed, Lapsed, Cancelled; payment statuses Pending, Reviewing, Partial, Completed, Refunded.</w:t>
      </w:r>
    </w:p>
    <w:p>
      <w:pPr>
        <w:pStyle w:val="Normal"/>
        <w:numPr>
          <w:ilvl w:val="0"/>
          <w:numId w:val="1"/>
        </w:numPr>
        <w:spacing w:before="0" w:after="60"/>
        <w:rPr/>
      </w:pPr>
      <w:r>
        <w:rPr>
          <w:rFonts w:eastAsia="Segoe UI" w:cs="Segoe UI" w:ascii="Segoe UI" w:hAnsi="Segoe UI"/>
          <w:color w:val="101820"/>
          <w:sz w:val="21"/>
        </w:rPr>
        <w:t>Bulk upload for new business, or for the in-force book at go-live without bills or journals.</w:t>
      </w:r>
    </w:p>
    <w:p>
      <w:pPr>
        <w:pStyle w:val="Normal"/>
        <w:numPr>
          <w:ilvl w:val="0"/>
          <w:numId w:val="1"/>
        </w:numPr>
        <w:spacing w:before="0" w:after="60"/>
        <w:rPr/>
      </w:pPr>
      <w:r>
        <w:rPr>
          <w:rFonts w:eastAsia="Segoe UI" w:cs="Segoe UI" w:ascii="Segoe UI" w:hAnsi="Segoe UI"/>
          <w:color w:val="101820"/>
          <w:sz w:val="21"/>
        </w:rPr>
        <w:t>Policy issued e-mail to the client with the policy schedule attached.</w:t>
      </w:r>
    </w:p>
    <w:p>
      <w:pPr>
        <w:pStyle w:val="Normal"/>
        <w:jc w:val="center"/>
        <w:rPr/>
      </w:pPr>
      <w:r>
        <w:rPr/>
        <w:drawing>
          <wp:inline distT="0" distB="0" distL="0" distR="0">
            <wp:extent cx="5760085" cy="6455410"/>
            <wp:effectExtent l="0" t="0" r="0" b="0"/>
            <wp:docPr id="13" name="Picture 21212881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121288193" descr=""/>
                    <pic:cNvPicPr>
                      <a:picLocks noChangeAspect="1" noChangeArrowheads="1"/>
                    </pic:cNvPicPr>
                  </pic:nvPicPr>
                  <pic:blipFill>
                    <a:blip r:embed="rId9"/>
                    <a:stretch>
                      <a:fillRect/>
                    </a:stretch>
                  </pic:blipFill>
                  <pic:spPr bwMode="auto">
                    <a:xfrm>
                      <a:off x="0" y="0"/>
                      <a:ext cx="5760085" cy="6455410"/>
                    </a:xfrm>
                    <a:prstGeom prst="rect">
                      <a:avLst/>
                    </a:prstGeom>
                  </pic:spPr>
                </pic:pic>
              </a:graphicData>
            </a:graphic>
          </wp:inline>
        </w:drawing>
      </w:r>
    </w:p>
    <w:p>
      <w:pPr>
        <w:pStyle w:val="Normal"/>
        <w:jc w:val="center"/>
        <w:rPr/>
      </w:pPr>
      <w:r>
        <w:rPr>
          <w:rFonts w:eastAsia="Segoe UI" w:cs="Segoe UI" w:ascii="Segoe UI" w:hAnsi="Segoe UI"/>
          <w:i/>
          <w:color w:val="555F6D"/>
          <w:sz w:val="18"/>
        </w:rPr>
        <w:t>Policy details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Aspect</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Philippine specifics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KYC IDs accepted: PhilSys ID, UMID, passport, driver's licence, PRC, SSS, GSIS, TIN, postal, voter's and senior citizen ID (</w:t>
            </w:r>
            <w:r>
              <w:rPr>
                <w:rFonts w:eastAsia="Consolas" w:cs="Consolas" w:ascii="Consolas" w:hAnsi="Consolas"/>
                <w:color w:val="101820"/>
                <w:kern w:val="0"/>
                <w:sz w:val="16"/>
                <w:szCs w:val="24"/>
                <w:lang w:val="en-US" w:eastAsia="ja-JP" w:bidi="ar-SA"/>
              </w:rPr>
              <w:t>policy.kyc_id_types</w:t>
            </w:r>
            <w:r>
              <w:rPr>
                <w:rFonts w:eastAsia="Segoe UI" w:cs="Segoe UI" w:ascii="Segoe UI" w:hAnsi="Segoe UI"/>
                <w:color w:val="101820"/>
                <w:kern w:val="0"/>
                <w:sz w:val="18"/>
                <w:szCs w:val="24"/>
                <w:lang w:val="en-US" w:eastAsia="ja-JP" w:bidi="ar-SA"/>
              </w:rPr>
              <w:t>); LTO MV file number</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Processing Team issues; Operations and Sales &amp; Marketing service</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Key reports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Production Register, Co-insurance Register, Premium by Product / Month / Insurer</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Motor issue refused without the fields in </w:t>
            </w:r>
            <w:r>
              <w:rPr>
                <w:rFonts w:eastAsia="Consolas" w:cs="Consolas" w:ascii="Consolas" w:hAnsi="Consolas"/>
                <w:color w:val="101820"/>
                <w:kern w:val="0"/>
                <w:sz w:val="16"/>
                <w:szCs w:val="24"/>
                <w:lang w:val="en-US" w:eastAsia="ja-JP" w:bidi="ar-SA"/>
              </w:rPr>
              <w:t>policy.kyc_required_fields</w:t>
            </w:r>
            <w:r>
              <w:rPr>
                <w:rFonts w:eastAsia="Segoe UI" w:cs="Segoe UI" w:ascii="Segoe UI" w:hAnsi="Segoe UI"/>
                <w:color w:val="101820"/>
                <w:kern w:val="0"/>
                <w:sz w:val="18"/>
                <w:szCs w:val="24"/>
                <w:lang w:val="en-US" w:eastAsia="ja-JP" w:bidi="ar-SA"/>
              </w:rPr>
              <w:t>; client credit limit checked at issue with an exception notice</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Bulk upload template; insurer policy document upload (PDF or image, 10 MB)</w:t>
            </w:r>
          </w:p>
        </w:tc>
      </w:tr>
    </w:tbl>
    <w:p>
      <w:pPr>
        <w:pStyle w:val="Normal"/>
        <w:spacing w:before="0" w:after="80"/>
        <w:rPr/>
      </w:pPr>
      <w:r>
        <w:rPr/>
      </w:r>
    </w:p>
    <w:p>
      <w:pPr>
        <w:pStyle w:val="Heading2"/>
        <w:rPr/>
      </w:pPr>
      <w:bookmarkStart w:id="21" w:name="__RefHeading___Toc7876_1338352368"/>
      <w:bookmarkEnd w:id="21"/>
      <w:r>
        <w:rPr>
          <w:rFonts w:eastAsia="Segoe UI" w:cs="Segoe UI"/>
          <w:b/>
          <w:color w:val="0F4761"/>
          <w:sz w:val="26"/>
        </w:rPr>
        <w:t>5.7  Endorsements and cancellations</w:t>
      </w:r>
    </w:p>
    <w:p>
      <w:pPr>
        <w:pStyle w:val="Normal"/>
        <w:spacing w:lineRule="auto" w:line="276" w:before="0" w:after="120"/>
        <w:rPr/>
      </w:pPr>
      <w:r>
        <w:rPr>
          <w:rFonts w:eastAsia="Segoe UI" w:cs="Segoe UI" w:ascii="Segoe UI" w:hAnsi="Segoe UI"/>
          <w:b/>
          <w:color w:val="101820"/>
          <w:sz w:val="21"/>
        </w:rPr>
        <w:t>What it does.</w:t>
      </w:r>
      <w:r>
        <w:rPr>
          <w:rFonts w:eastAsia="Segoe UI" w:cs="Segoe UI" w:ascii="Segoe UI" w:hAnsi="Segoe UI"/>
          <w:color w:val="101820"/>
          <w:sz w:val="21"/>
        </w:rPr>
        <w:t xml:space="preserve"> Records changes to an issued policy, sends them to the insurer, and bills additional premium or credits return premium.</w:t>
      </w:r>
    </w:p>
    <w:p>
      <w:pPr>
        <w:pStyle w:val="Normal"/>
        <w:numPr>
          <w:ilvl w:val="0"/>
          <w:numId w:val="1"/>
        </w:numPr>
        <w:spacing w:before="0" w:after="60"/>
        <w:rPr/>
      </w:pPr>
      <w:r>
        <w:rPr>
          <w:rFonts w:eastAsia="Segoe UI" w:cs="Segoe UI" w:ascii="Segoe UI" w:hAnsi="Segoe UI"/>
          <w:color w:val="101820"/>
          <w:sz w:val="21"/>
        </w:rPr>
        <w:t>Motor: Personal Details Change, Motor Details Change, Coverage Change, Policy Extend, Policy Cancel.</w:t>
      </w:r>
    </w:p>
    <w:p>
      <w:pPr>
        <w:pStyle w:val="Normal"/>
        <w:numPr>
          <w:ilvl w:val="0"/>
          <w:numId w:val="1"/>
        </w:numPr>
        <w:spacing w:before="0" w:after="60"/>
        <w:rPr/>
      </w:pPr>
      <w:r>
        <w:rPr>
          <w:rFonts w:eastAsia="Segoe UI" w:cs="Segoe UI" w:ascii="Segoe UI" w:hAnsi="Segoe UI"/>
          <w:color w:val="101820"/>
          <w:sz w:val="21"/>
        </w:rPr>
        <w:t>Fire and Allied Perils: Regular / Premium Change; Policy Cancellation full, partial, pro-rata or pro-rata partial.</w:t>
      </w:r>
    </w:p>
    <w:p>
      <w:pPr>
        <w:pStyle w:val="Normal"/>
        <w:numPr>
          <w:ilvl w:val="0"/>
          <w:numId w:val="1"/>
        </w:numPr>
        <w:spacing w:before="0" w:after="60"/>
        <w:rPr/>
      </w:pPr>
      <w:r>
        <w:rPr>
          <w:rFonts w:eastAsia="Segoe UI" w:cs="Segoe UI" w:ascii="Segoe UI" w:hAnsi="Segoe UI"/>
          <w:color w:val="101820"/>
          <w:sz w:val="21"/>
        </w:rPr>
        <w:t>Coverage changes priced again with the configured rates; CTPL stays as issued.</w:t>
      </w:r>
    </w:p>
    <w:p>
      <w:pPr>
        <w:pStyle w:val="Normal"/>
        <w:numPr>
          <w:ilvl w:val="0"/>
          <w:numId w:val="1"/>
        </w:numPr>
        <w:spacing w:before="0" w:after="60"/>
        <w:rPr/>
      </w:pPr>
      <w:r>
        <w:rPr>
          <w:rFonts w:eastAsia="Segoe UI" w:cs="Segoe UI" w:ascii="Segoe UI" w:hAnsi="Segoe UI"/>
          <w:color w:val="101820"/>
          <w:sz w:val="21"/>
        </w:rPr>
        <w:t>Completion with the insurer's endorsement document; the change is applied to the policy and the client.</w:t>
      </w:r>
    </w:p>
    <w:p>
      <w:pPr>
        <w:pStyle w:val="Normal"/>
        <w:numPr>
          <w:ilvl w:val="0"/>
          <w:numId w:val="1"/>
        </w:numPr>
        <w:spacing w:before="0" w:after="60"/>
        <w:rPr/>
      </w:pPr>
      <w:r>
        <w:rPr>
          <w:rFonts w:eastAsia="Segoe UI" w:cs="Segoe UI" w:ascii="Segoe UI" w:hAnsi="Segoe UI"/>
          <w:color w:val="101820"/>
          <w:sz w:val="21"/>
        </w:rPr>
        <w:t>Return premium on premium already remitted is booked as a refund due from each insurer and netted on its next remittance; commission clawed back on the returned part.</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Aspect</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Philippine specifics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Taxes follow the premium: return premium gives negative VAT, DST and LGT</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raises; Processing Team completes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Key reports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Production Register; client view Endorsement tab</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Endorsement not offered for expired, lapsed, cancelled or renewed policies, or while payment is pending; numbered END-</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to the client on completion or cancellation</w:t>
            </w:r>
          </w:p>
        </w:tc>
      </w:tr>
    </w:tbl>
    <w:p>
      <w:pPr>
        <w:pStyle w:val="Normal"/>
        <w:spacing w:before="0" w:after="80"/>
        <w:rPr/>
      </w:pPr>
      <w:r>
        <w:rPr/>
      </w:r>
    </w:p>
    <w:p>
      <w:pPr>
        <w:pStyle w:val="Heading2"/>
        <w:rPr/>
      </w:pPr>
      <w:bookmarkStart w:id="22" w:name="__RefHeading___Toc7878_1338352368"/>
      <w:bookmarkEnd w:id="22"/>
      <w:r>
        <w:rPr>
          <w:rFonts w:eastAsia="Segoe UI" w:cs="Segoe UI"/>
          <w:b/>
          <w:color w:val="0F4761"/>
          <w:sz w:val="26"/>
        </w:rPr>
        <w:t>5.8  Claims</w:t>
      </w:r>
    </w:p>
    <w:p>
      <w:pPr>
        <w:pStyle w:val="Normal"/>
        <w:spacing w:lineRule="auto" w:line="276" w:before="0" w:after="120"/>
        <w:rPr/>
      </w:pPr>
      <w:r>
        <w:rPr>
          <w:rFonts w:eastAsia="Segoe UI" w:cs="Segoe UI" w:ascii="Segoe UI" w:hAnsi="Segoe UI"/>
          <w:b/>
          <w:color w:val="101820"/>
          <w:sz w:val="21"/>
        </w:rPr>
        <w:t>What it does.</w:t>
      </w:r>
      <w:r>
        <w:rPr>
          <w:rFonts w:eastAsia="Segoe UI" w:cs="Segoe UI" w:ascii="Segoe UI" w:hAnsi="Segoe UI"/>
          <w:color w:val="101820"/>
          <w:sz w:val="21"/>
        </w:rPr>
        <w:t xml:space="preserve"> Registers a loss under a policy, notifies the insurer, follows the adjuster and settles the claim with a second approver.</w:t>
      </w:r>
    </w:p>
    <w:p>
      <w:pPr>
        <w:pStyle w:val="Normal"/>
        <w:numPr>
          <w:ilvl w:val="0"/>
          <w:numId w:val="1"/>
        </w:numPr>
        <w:spacing w:before="0" w:after="60"/>
        <w:rPr/>
      </w:pPr>
      <w:r>
        <w:rPr>
          <w:rFonts w:eastAsia="Segoe UI" w:cs="Segoe UI" w:ascii="Segoe UI" w:hAnsi="Segoe UI"/>
          <w:color w:val="101820"/>
          <w:sz w:val="21"/>
        </w:rPr>
        <w:t>Registration with incident, driver and third-party details and documents; the Preliminary Loss Advice is e-mailed to the insurer's claims address.</w:t>
      </w:r>
    </w:p>
    <w:p>
      <w:pPr>
        <w:pStyle w:val="Normal"/>
        <w:numPr>
          <w:ilvl w:val="0"/>
          <w:numId w:val="1"/>
        </w:numPr>
        <w:spacing w:before="0" w:after="60"/>
        <w:rPr/>
      </w:pPr>
      <w:r>
        <w:rPr>
          <w:rFonts w:eastAsia="Segoe UI" w:cs="Segoe UI" w:ascii="Segoe UI" w:hAnsi="Segoe UI"/>
          <w:color w:val="101820"/>
          <w:sz w:val="21"/>
        </w:rPr>
        <w:t>Adjuster details and the insurer's claim number; statuses Pending, Processing, Pending Approval, Approved, Settled, Closed, Rejected.</w:t>
      </w:r>
    </w:p>
    <w:p>
      <w:pPr>
        <w:pStyle w:val="Normal"/>
        <w:numPr>
          <w:ilvl w:val="0"/>
          <w:numId w:val="1"/>
        </w:numPr>
        <w:spacing w:before="0" w:after="60"/>
        <w:rPr/>
      </w:pPr>
      <w:r>
        <w:rPr>
          <w:rFonts w:eastAsia="Segoe UI" w:cs="Segoe UI" w:ascii="Segoe UI" w:hAnsi="Segoe UI"/>
          <w:color w:val="101820"/>
          <w:sz w:val="21"/>
        </w:rPr>
        <w:t>Settlement by cash, card or cheque with documents; approval by a second Claims user; claim settled on approval (</w:t>
      </w:r>
      <w:r>
        <w:rPr>
          <w:rFonts w:eastAsia="Consolas" w:cs="Consolas" w:ascii="Consolas" w:hAnsi="Consolas"/>
          <w:color w:val="101820"/>
          <w:sz w:val="19"/>
        </w:rPr>
        <w:t>claims.auto_settle_on_approval</w:t>
      </w:r>
      <w:r>
        <w:rPr>
          <w:rFonts w:eastAsia="Segoe UI" w:cs="Segoe UI" w:ascii="Segoe UI" w:hAnsi="Segoe UI"/>
          <w:color w:val="101820"/>
          <w:sz w:val="21"/>
        </w:rPr>
        <w:t>).</w:t>
      </w:r>
    </w:p>
    <w:p>
      <w:pPr>
        <w:pStyle w:val="Normal"/>
        <w:numPr>
          <w:ilvl w:val="0"/>
          <w:numId w:val="1"/>
        </w:numPr>
        <w:spacing w:before="0" w:after="60"/>
        <w:rPr/>
      </w:pPr>
      <w:r>
        <w:rPr>
          <w:rFonts w:eastAsia="Segoe UI" w:cs="Segoe UI" w:ascii="Segoe UI" w:hAnsi="Segoe UI"/>
          <w:color w:val="101820"/>
          <w:sz w:val="21"/>
        </w:rPr>
        <w:t>Co-insured policies show each insurer's share of the claim and the settlement.</w:t>
      </w:r>
    </w:p>
    <w:p>
      <w:pPr>
        <w:pStyle w:val="Normal"/>
        <w:numPr>
          <w:ilvl w:val="0"/>
          <w:numId w:val="1"/>
        </w:numPr>
        <w:spacing w:before="0" w:after="60"/>
        <w:rPr/>
      </w:pPr>
      <w:r>
        <w:rPr>
          <w:rFonts w:eastAsia="Segoe UI" w:cs="Segoe UI" w:ascii="Segoe UI" w:hAnsi="Segoe UI"/>
          <w:color w:val="101820"/>
          <w:sz w:val="21"/>
        </w:rPr>
        <w:t>Claims paid through the broker: funds received from each insurer and payment to the claimant, each posted with its journal.</w:t>
      </w:r>
    </w:p>
    <w:p>
      <w:pPr>
        <w:pStyle w:val="Normal"/>
        <w:numPr>
          <w:ilvl w:val="0"/>
          <w:numId w:val="1"/>
        </w:numPr>
        <w:spacing w:before="0" w:after="60"/>
        <w:rPr/>
      </w:pPr>
      <w:r>
        <w:rPr>
          <w:rFonts w:eastAsia="Segoe UI" w:cs="Segoe UI" w:ascii="Segoe UI" w:hAnsi="Segoe UI"/>
          <w:color w:val="101820"/>
          <w:sz w:val="21"/>
        </w:rPr>
        <w:t>Claim letters on the letterhead: Acknowledgment letter, Claims Discharge Voucher, Claims Data sheet and FIR.</w:t>
      </w:r>
    </w:p>
    <w:p>
      <w:pPr>
        <w:pStyle w:val="Normal"/>
        <w:numPr>
          <w:ilvl w:val="0"/>
          <w:numId w:val="1"/>
        </w:numPr>
        <w:spacing w:before="0" w:after="60"/>
        <w:rPr/>
      </w:pPr>
      <w:r>
        <w:rPr>
          <w:rFonts w:eastAsia="Segoe UI" w:cs="Segoe UI" w:ascii="Segoe UI" w:hAnsi="Segoe UI"/>
          <w:color w:val="101820"/>
          <w:sz w:val="21"/>
        </w:rPr>
        <w:t>Claim Audit Trail and field change history.</w:t>
      </w:r>
    </w:p>
    <w:p>
      <w:pPr>
        <w:pStyle w:val="Normal"/>
        <w:jc w:val="center"/>
        <w:rPr/>
      </w:pPr>
      <w:r>
        <w:rPr/>
        <w:drawing>
          <wp:inline distT="0" distB="0" distL="0" distR="0">
            <wp:extent cx="5760085" cy="4469130"/>
            <wp:effectExtent l="0" t="0" r="0" b="0"/>
            <wp:docPr id="14" name="Picture 212128819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121288194" descr=""/>
                    <pic:cNvPicPr>
                      <a:picLocks noChangeAspect="1" noChangeArrowheads="1"/>
                    </pic:cNvPicPr>
                  </pic:nvPicPr>
                  <pic:blipFill>
                    <a:blip r:embed="rId10"/>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Claims Dashboard</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Aspect</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 Accounting records the cash of claims paid through the broker</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Key reports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 Position, Claims Ageing; Claims Dashboard export</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 refused outside the policy period, for a future loss date, and while premium is unpaid (</w:t>
            </w:r>
            <w:r>
              <w:rPr>
                <w:rFonts w:eastAsia="Consolas" w:cs="Consolas" w:ascii="Consolas" w:hAnsi="Consolas"/>
                <w:color w:val="101820"/>
                <w:kern w:val="0"/>
                <w:sz w:val="16"/>
                <w:szCs w:val="24"/>
                <w:lang w:val="en-US" w:eastAsia="ja-JP" w:bidi="ar-SA"/>
              </w:rPr>
              <w:t>claims.block_unpaid_premium</w:t>
            </w:r>
            <w:r>
              <w:rPr>
                <w:rFonts w:eastAsia="Segoe UI" w:cs="Segoe UI" w:ascii="Segoe UI" w:hAnsi="Segoe UI"/>
                <w:color w:val="101820"/>
                <w:kern w:val="0"/>
                <w:sz w:val="18"/>
                <w:szCs w:val="24"/>
                <w:lang w:val="en-US" w:eastAsia="ja-JP" w:bidi="ar-SA"/>
              </w:rPr>
              <w:t>); settlement maker-checker (</w:t>
            </w:r>
            <w:r>
              <w:rPr>
                <w:rFonts w:eastAsia="Consolas" w:cs="Consolas" w:ascii="Consolas" w:hAnsi="Consolas"/>
                <w:color w:val="101820"/>
                <w:kern w:val="0"/>
                <w:sz w:val="16"/>
                <w:szCs w:val="24"/>
                <w:lang w:val="en-US" w:eastAsia="ja-JP" w:bidi="ar-SA"/>
              </w:rPr>
              <w:t>claims.settlement_maker_checker</w:t>
            </w:r>
            <w:r>
              <w:rPr>
                <w:rFonts w:eastAsia="Segoe UI" w:cs="Segoe UI" w:ascii="Segoe UI" w:hAnsi="Segoe UI"/>
                <w:color w:val="101820"/>
                <w:kern w:val="0"/>
                <w:sz w:val="18"/>
                <w:szCs w:val="24"/>
                <w:lang w:val="en-US" w:eastAsia="ja-JP" w:bidi="ar-SA"/>
              </w:rPr>
              <w:t>); handling time 20 days (</w:t>
            </w:r>
            <w:r>
              <w:rPr>
                <w:rFonts w:eastAsia="Consolas" w:cs="Consolas" w:ascii="Consolas" w:hAnsi="Consolas"/>
                <w:color w:val="101820"/>
                <w:kern w:val="0"/>
                <w:sz w:val="16"/>
                <w:szCs w:val="24"/>
                <w:lang w:val="en-US" w:eastAsia="ja-JP" w:bidi="ar-SA"/>
              </w:rPr>
              <w:t>claims.sla_days</w:t>
            </w:r>
            <w:r>
              <w:rPr>
                <w:rFonts w:eastAsia="Segoe UI" w:cs="Segoe UI" w:ascii="Segoe UI" w:hAnsi="Segoe UI"/>
                <w:color w:val="101820"/>
                <w:kern w:val="0"/>
                <w:sz w:val="18"/>
                <w:szCs w:val="24"/>
                <w:lang w:val="en-US" w:eastAsia="ja-JP" w:bidi="ar-SA"/>
              </w:rPr>
              <w:t>)</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to insurer; reinsurance recovery (see Reinsurance)</w:t>
            </w:r>
          </w:p>
        </w:tc>
      </w:tr>
    </w:tbl>
    <w:p>
      <w:pPr>
        <w:pStyle w:val="Normal"/>
        <w:spacing w:before="0" w:after="80"/>
        <w:rPr/>
      </w:pPr>
      <w:r>
        <w:rPr/>
      </w:r>
    </w:p>
    <w:p>
      <w:pPr>
        <w:pStyle w:val="Heading2"/>
        <w:rPr/>
      </w:pPr>
      <w:bookmarkStart w:id="23" w:name="__RefHeading___Toc7880_1338352368"/>
      <w:bookmarkEnd w:id="23"/>
      <w:r>
        <w:rPr>
          <w:rFonts w:eastAsia="Segoe UI" w:cs="Segoe UI"/>
          <w:b/>
          <w:color w:val="0F4761"/>
          <w:sz w:val="26"/>
        </w:rPr>
        <w:t>5.9  Renewals</w:t>
      </w:r>
    </w:p>
    <w:p>
      <w:pPr>
        <w:pStyle w:val="Normal"/>
        <w:spacing w:lineRule="auto" w:line="276" w:before="0" w:after="120"/>
        <w:rPr/>
      </w:pPr>
      <w:r>
        <w:rPr>
          <w:rFonts w:eastAsia="Segoe UI" w:cs="Segoe UI" w:ascii="Segoe UI" w:hAnsi="Segoe UI"/>
          <w:b/>
          <w:color w:val="101820"/>
          <w:sz w:val="21"/>
        </w:rPr>
        <w:t>What it does.</w:t>
      </w:r>
      <w:r>
        <w:rPr>
          <w:rFonts w:eastAsia="Segoe UI" w:cs="Segoe UI" w:ascii="Segoe UI" w:hAnsi="Segoe UI"/>
          <w:color w:val="101820"/>
          <w:sz w:val="21"/>
        </w:rPr>
        <w:t xml:space="preserve"> Puts every policy into a renewal pipeline before expiry, sends notices, supports negotiation and turns the accepted renewal quotation into the next term.</w:t>
      </w:r>
    </w:p>
    <w:p>
      <w:pPr>
        <w:pStyle w:val="Normal"/>
        <w:numPr>
          <w:ilvl w:val="0"/>
          <w:numId w:val="1"/>
        </w:numPr>
        <w:spacing w:before="0" w:after="60"/>
        <w:rPr/>
      </w:pPr>
      <w:r>
        <w:rPr>
          <w:rFonts w:eastAsia="Segoe UI" w:cs="Segoe UI" w:ascii="Segoe UI" w:hAnsi="Segoe UI"/>
          <w:color w:val="101820"/>
          <w:sz w:val="21"/>
        </w:rPr>
        <w:t>Pipeline 90 days before expiry (</w:t>
      </w:r>
      <w:r>
        <w:rPr>
          <w:rFonts w:eastAsia="Consolas" w:cs="Consolas" w:ascii="Consolas" w:hAnsi="Consolas"/>
          <w:color w:val="101820"/>
          <w:sz w:val="19"/>
        </w:rPr>
        <w:t>renewals.pipeline_days</w:t>
      </w:r>
      <w:r>
        <w:rPr>
          <w:rFonts w:eastAsia="Segoe UI" w:cs="Segoe UI" w:ascii="Segoe UI" w:hAnsi="Segoe UI"/>
          <w:color w:val="101820"/>
          <w:sz w:val="21"/>
        </w:rPr>
        <w:t>); notices at 60, 30 and 15 days (</w:t>
      </w:r>
      <w:r>
        <w:rPr>
          <w:rFonts w:eastAsia="Consolas" w:cs="Consolas" w:ascii="Consolas" w:hAnsi="Consolas"/>
          <w:color w:val="101820"/>
          <w:sz w:val="19"/>
        </w:rPr>
        <w:t>limits.renewal_notice_days</w:t>
      </w:r>
      <w:r>
        <w:rPr>
          <w:rFonts w:eastAsia="Segoe UI" w:cs="Segoe UI" w:ascii="Segoe UI" w:hAnsi="Segoe UI"/>
          <w:color w:val="101820"/>
          <w:sz w:val="21"/>
        </w:rPr>
        <w:t>); lapse 30 days after expiry (</w:t>
      </w:r>
      <w:r>
        <w:rPr>
          <w:rFonts w:eastAsia="Consolas" w:cs="Consolas" w:ascii="Consolas" w:hAnsi="Consolas"/>
          <w:color w:val="101820"/>
          <w:sz w:val="19"/>
        </w:rPr>
        <w:t>renewals.grace_period_days</w:t>
      </w:r>
      <w:r>
        <w:rPr>
          <w:rFonts w:eastAsia="Segoe UI" w:cs="Segoe UI" w:ascii="Segoe UI" w:hAnsi="Segoe UI"/>
          <w:color w:val="101820"/>
          <w:sz w:val="21"/>
        </w:rPr>
        <w:t>).</w:t>
      </w:r>
    </w:p>
    <w:p>
      <w:pPr>
        <w:pStyle w:val="Normal"/>
        <w:numPr>
          <w:ilvl w:val="0"/>
          <w:numId w:val="1"/>
        </w:numPr>
        <w:spacing w:before="0" w:after="60"/>
        <w:rPr/>
      </w:pPr>
      <w:r>
        <w:rPr>
          <w:rFonts w:eastAsia="Segoe UI" w:cs="Segoe UI" w:ascii="Segoe UI" w:hAnsi="Segoe UI"/>
          <w:color w:val="101820"/>
          <w:sz w:val="21"/>
        </w:rPr>
        <w:t>Renewal Policy, Renewal Batch (up to 500 policies), Renewal Queue, Retention Analytics, At-Risk Policies, Negotiations, Lapse Management with win-back campaigns, Performance.</w:t>
      </w:r>
    </w:p>
    <w:p>
      <w:pPr>
        <w:pStyle w:val="Normal"/>
        <w:numPr>
          <w:ilvl w:val="0"/>
          <w:numId w:val="1"/>
        </w:numPr>
        <w:spacing w:before="0" w:after="60"/>
        <w:rPr/>
      </w:pPr>
      <w:r>
        <w:rPr>
          <w:rFonts w:eastAsia="Segoe UI" w:cs="Segoe UI" w:ascii="Segoe UI" w:hAnsi="Segoe UI"/>
          <w:color w:val="101820"/>
          <w:sz w:val="21"/>
        </w:rPr>
        <w:t>At-risk score from claims in the term, unpaid premium, expiry within 30 days, premium increase, no contact and first renewal (</w:t>
      </w:r>
      <w:r>
        <w:rPr>
          <w:rFonts w:eastAsia="Consolas" w:cs="Consolas" w:ascii="Consolas" w:hAnsi="Consolas"/>
          <w:color w:val="101820"/>
          <w:sz w:val="19"/>
        </w:rPr>
        <w:t>renewals.risk_weights</w:t>
      </w:r>
      <w:r>
        <w:rPr>
          <w:rFonts w:eastAsia="Segoe UI" w:cs="Segoe UI" w:ascii="Segoe UI" w:hAnsi="Segoe UI"/>
          <w:color w:val="101820"/>
          <w:sz w:val="21"/>
        </w:rPr>
        <w:t>), with recommended actions.</w:t>
      </w:r>
    </w:p>
    <w:p>
      <w:pPr>
        <w:pStyle w:val="Normal"/>
        <w:numPr>
          <w:ilvl w:val="0"/>
          <w:numId w:val="1"/>
        </w:numPr>
        <w:spacing w:before="0" w:after="60"/>
        <w:rPr/>
      </w:pPr>
      <w:r>
        <w:rPr>
          <w:rFonts w:eastAsia="Segoe UI" w:cs="Segoe UI" w:ascii="Segoe UI" w:hAnsi="Segoe UI"/>
          <w:color w:val="101820"/>
          <w:sz w:val="21"/>
        </w:rPr>
        <w:t>Renewal issues the new term, marks the old policy Renewed, bills the premium and accrues commission to the original referrer.</w:t>
      </w:r>
    </w:p>
    <w:p>
      <w:pPr>
        <w:pStyle w:val="Normal"/>
        <w:jc w:val="center"/>
        <w:rPr/>
      </w:pPr>
      <w:r>
        <w:rPr/>
        <w:drawing>
          <wp:inline distT="0" distB="0" distL="0" distR="0">
            <wp:extent cx="5760085" cy="4469130"/>
            <wp:effectExtent l="0" t="0" r="0" b="0"/>
            <wp:docPr id="15" name="Picture 212128819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121288195" descr=""/>
                    <pic:cNvPicPr>
                      <a:picLocks noChangeAspect="1" noChangeArrowheads="1"/>
                    </pic:cNvPicPr>
                  </pic:nvPicPr>
                  <pic:blipFill>
                    <a:blip r:embed="rId11"/>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Renewal Queue</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Aspect</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and Sales &amp; Marketing work renewals; Processing Team approves renewal terms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Key reports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 Retention (retained, lost, pending, retention rate); Retention Analytics; Performance</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 terms maker-checker (</w:t>
            </w:r>
            <w:r>
              <w:rPr>
                <w:rFonts w:eastAsia="Consolas" w:cs="Consolas" w:ascii="Consolas" w:hAnsi="Consolas"/>
                <w:color w:val="101820"/>
                <w:kern w:val="0"/>
                <w:sz w:val="16"/>
                <w:szCs w:val="24"/>
                <w:lang w:val="en-US" w:eastAsia="ja-JP" w:bidi="ar-SA"/>
              </w:rPr>
              <w:t>renewals.maker_checker</w:t>
            </w:r>
            <w:r>
              <w:rPr>
                <w:rFonts w:eastAsia="Segoe UI" w:cs="Segoe UI" w:ascii="Segoe UI" w:hAnsi="Segoe UI"/>
                <w:color w:val="101820"/>
                <w:kern w:val="0"/>
                <w:sz w:val="18"/>
                <w:szCs w:val="24"/>
                <w:lang w:val="en-US" w:eastAsia="ja-JP" w:bidi="ar-SA"/>
              </w:rPr>
              <w:t>); optional placement journey for renewals (</w:t>
            </w:r>
            <w:r>
              <w:rPr>
                <w:rFonts w:eastAsia="Consolas" w:cs="Consolas" w:ascii="Consolas" w:hAnsi="Consolas"/>
                <w:color w:val="101820"/>
                <w:kern w:val="0"/>
                <w:sz w:val="16"/>
                <w:szCs w:val="24"/>
                <w:lang w:val="en-US" w:eastAsia="ja-JP" w:bidi="ar-SA"/>
              </w:rPr>
              <w:t>placement.journey_applies_to_renewals</w:t>
            </w:r>
            <w:r>
              <w:rPr>
                <w:rFonts w:eastAsia="Segoe UI" w:cs="Segoe UI" w:ascii="Segoe UI" w:hAnsi="Segoe UI"/>
                <w:color w:val="101820"/>
                <w:kern w:val="0"/>
                <w:sz w:val="18"/>
                <w:szCs w:val="24"/>
                <w:lang w:val="en-US" w:eastAsia="ja-JP" w:bidi="ar-SA"/>
              </w:rPr>
              <w:t>)</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 notices and reminders by e-mail through the renewal notice queue</w:t>
            </w:r>
          </w:p>
        </w:tc>
      </w:tr>
    </w:tbl>
    <w:p>
      <w:pPr>
        <w:pStyle w:val="Normal"/>
        <w:spacing w:before="0" w:after="80"/>
        <w:rPr/>
      </w:pPr>
      <w:r>
        <w:rPr/>
      </w:r>
    </w:p>
    <w:p>
      <w:pPr>
        <w:pStyle w:val="Heading2"/>
        <w:rPr/>
      </w:pPr>
      <w:bookmarkStart w:id="24" w:name="__RefHeading___Toc7882_1338352368"/>
      <w:bookmarkEnd w:id="24"/>
      <w:r>
        <w:rPr>
          <w:rFonts w:eastAsia="Segoe UI" w:cs="Segoe UI"/>
          <w:b/>
          <w:color w:val="0F4761"/>
          <w:sz w:val="26"/>
        </w:rPr>
        <w:t>5.10  Billing, payments and official receipts</w:t>
      </w:r>
    </w:p>
    <w:p>
      <w:pPr>
        <w:pStyle w:val="Normal"/>
        <w:spacing w:lineRule="auto" w:line="276" w:before="0" w:after="120"/>
        <w:rPr/>
      </w:pPr>
      <w:r>
        <w:rPr>
          <w:rFonts w:eastAsia="Segoe UI" w:cs="Segoe UI" w:ascii="Segoe UI" w:hAnsi="Segoe UI"/>
          <w:b/>
          <w:color w:val="101820"/>
          <w:sz w:val="21"/>
        </w:rPr>
        <w:t>What it does.</w:t>
      </w:r>
      <w:r>
        <w:rPr>
          <w:rFonts w:eastAsia="Segoe UI" w:cs="Segoe UI" w:ascii="Segoe UI" w:hAnsi="Segoe UI"/>
          <w:color w:val="101820"/>
          <w:sz w:val="21"/>
        </w:rPr>
        <w:t xml:space="preserve"> Bills the premium, records how the client paid, and posts the official receipt.</w:t>
      </w:r>
    </w:p>
    <w:p>
      <w:pPr>
        <w:pStyle w:val="Normal"/>
        <w:numPr>
          <w:ilvl w:val="0"/>
          <w:numId w:val="1"/>
        </w:numPr>
        <w:spacing w:before="0" w:after="60"/>
        <w:rPr/>
      </w:pPr>
      <w:r>
        <w:rPr>
          <w:rFonts w:eastAsia="Segoe UI" w:cs="Segoe UI" w:ascii="Segoe UI" w:hAnsi="Segoe UI"/>
          <w:color w:val="101820"/>
          <w:sz w:val="21"/>
        </w:rPr>
        <w:t>Premium bill (INV-) on policy issue, endorsement and renewal; policy invoice printable and e-mailed to the client with the PDF attached (E-mail invoice on the collection detail).</w:t>
      </w:r>
    </w:p>
    <w:p>
      <w:pPr>
        <w:pStyle w:val="Normal"/>
        <w:numPr>
          <w:ilvl w:val="0"/>
          <w:numId w:val="1"/>
        </w:numPr>
        <w:spacing w:before="0" w:after="60"/>
        <w:rPr/>
      </w:pPr>
      <w:r>
        <w:rPr>
          <w:rFonts w:eastAsia="Segoe UI" w:cs="Segoe UI" w:ascii="Segoe UI" w:hAnsi="Segoe UI"/>
          <w:color w:val="101820"/>
          <w:sz w:val="21"/>
        </w:rPr>
        <w:t>Payment capture by Operations, Sales &amp; Marketing or the Processing Team: pay later, bank transfer, cheque, online payment or cash, with reference and proof; Accounting is notified to verify.</w:t>
      </w:r>
    </w:p>
    <w:p>
      <w:pPr>
        <w:pStyle w:val="Normal"/>
        <w:numPr>
          <w:ilvl w:val="0"/>
          <w:numId w:val="1"/>
        </w:numPr>
        <w:spacing w:before="0" w:after="60"/>
        <w:rPr/>
      </w:pPr>
      <w:r>
        <w:rPr>
          <w:rFonts w:eastAsia="Segoe UI" w:cs="Segoe UI" w:ascii="Segoe UI" w:hAnsi="Segoe UI"/>
          <w:color w:val="101820"/>
          <w:sz w:val="21"/>
        </w:rPr>
        <w:t>Official receipts from the Official Receipt series, posted only by Accounting, against open bills; partial payments; returned cheques cancel the receipt and reopen the bill.</w:t>
      </w:r>
    </w:p>
    <w:p>
      <w:pPr>
        <w:pStyle w:val="Normal"/>
        <w:numPr>
          <w:ilvl w:val="0"/>
          <w:numId w:val="1"/>
        </w:numPr>
        <w:spacing w:before="0" w:after="60"/>
        <w:rPr/>
      </w:pPr>
      <w:r>
        <w:rPr>
          <w:rFonts w:eastAsia="Segoe UI" w:cs="Segoe UI" w:ascii="Segoe UI" w:hAnsi="Segoe UI"/>
          <w:color w:val="101820"/>
          <w:sz w:val="21"/>
        </w:rPr>
        <w:t>E-mail receipt on the receipt view sends the official receipt PDF to the client (</w:t>
      </w:r>
      <w:r>
        <w:rPr>
          <w:rFonts w:eastAsia="Consolas" w:cs="Consolas" w:ascii="Consolas" w:hAnsi="Consolas"/>
          <w:color w:val="101820"/>
          <w:sz w:val="19"/>
        </w:rPr>
        <w:t>receipts.email_on_record</w:t>
      </w:r>
      <w:r>
        <w:rPr>
          <w:rFonts w:eastAsia="Segoe UI" w:cs="Segoe UI" w:ascii="Segoe UI" w:hAnsi="Segoe UI"/>
          <w:color w:val="101820"/>
          <w:sz w:val="21"/>
        </w:rPr>
        <w:t xml:space="preserve"> switches automatic sending on).</w:t>
      </w:r>
    </w:p>
    <w:p>
      <w:pPr>
        <w:pStyle w:val="Normal"/>
        <w:numPr>
          <w:ilvl w:val="0"/>
          <w:numId w:val="1"/>
        </w:numPr>
        <w:spacing w:before="0" w:after="60"/>
        <w:rPr/>
      </w:pPr>
      <w:r>
        <w:rPr>
          <w:rFonts w:eastAsia="Segoe UI" w:cs="Segoe UI" w:ascii="Segoe UI" w:hAnsi="Segoe UI"/>
          <w:color w:val="101820"/>
          <w:sz w:val="21"/>
        </w:rPr>
        <w:t>Bulk Print on the letterhead; bulk upload of receipts (up to 1,000 rows).</w:t>
      </w:r>
    </w:p>
    <w:p>
      <w:pPr>
        <w:pStyle w:val="Normal"/>
        <w:numPr>
          <w:ilvl w:val="0"/>
          <w:numId w:val="1"/>
        </w:numPr>
        <w:spacing w:before="0" w:after="60"/>
        <w:rPr/>
      </w:pPr>
      <w:r>
        <w:rPr>
          <w:rFonts w:eastAsia="Segoe UI" w:cs="Segoe UI" w:ascii="Segoe UI" w:hAnsi="Segoe UI"/>
          <w:color w:val="101820"/>
          <w:sz w:val="21"/>
        </w:rPr>
        <w:t>Payment links (PL-) for a quotation, a package quotation or a policy's open premium.</w:t>
      </w:r>
    </w:p>
    <w:p>
      <w:pPr>
        <w:pStyle w:val="Normal"/>
        <w:jc w:val="center"/>
        <w:rPr/>
      </w:pPr>
      <w:r>
        <w:rPr/>
        <w:drawing>
          <wp:inline distT="0" distB="0" distL="0" distR="0">
            <wp:extent cx="5760085" cy="4245610"/>
            <wp:effectExtent l="0" t="0" r="0" b="0"/>
            <wp:docPr id="16" name="Picture 212128819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121288196" descr=""/>
                    <pic:cNvPicPr>
                      <a:picLocks noChangeAspect="1" noChangeArrowheads="1"/>
                    </pic:cNvPicPr>
                  </pic:nvPicPr>
                  <pic:blipFill>
                    <a:blip r:embed="rId12"/>
                    <a:stretch>
                      <a:fillRect/>
                    </a:stretch>
                  </pic:blipFill>
                  <pic:spPr bwMode="auto">
                    <a:xfrm>
                      <a:off x="0" y="0"/>
                      <a:ext cx="5760085" cy="4245610"/>
                    </a:xfrm>
                    <a:prstGeom prst="rect">
                      <a:avLst/>
                    </a:prstGeom>
                  </pic:spPr>
                </pic:pic>
              </a:graphicData>
            </a:graphic>
          </wp:inline>
        </w:drawing>
      </w:r>
    </w:p>
    <w:p>
      <w:pPr>
        <w:pStyle w:val="Normal"/>
        <w:jc w:val="center"/>
        <w:rPr/>
      </w:pPr>
      <w:r>
        <w:rPr>
          <w:rFonts w:eastAsia="Segoe UI" w:cs="Segoe UI" w:ascii="Segoe UI" w:hAnsi="Segoe UI"/>
          <w:i/>
          <w:color w:val="555F6D"/>
          <w:sz w:val="18"/>
        </w:rPr>
        <w:t>Accounts &gt; Receipts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Aspect</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Philippine specifics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OR numbering can continue the old system's numbering to match the BIR registration; letterhead with TIN</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posts; Operations, Sales &amp; Marketing and Processing Team capture payments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Key reports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Receipts Register, SOA / Premium Receivable, Collection Report</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Receipt amount cannot exceed the bill balance; receipts cancelled with a reason, never deleted</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PayMongo (Checkout Session), Dragonpay (Payment Switch), sandbox provider; signed and idempotent webhooks; e-mail with PDF attachment</w:t>
            </w:r>
          </w:p>
        </w:tc>
      </w:tr>
    </w:tbl>
    <w:p>
      <w:pPr>
        <w:pStyle w:val="Normal"/>
        <w:spacing w:before="0" w:after="80"/>
        <w:rPr/>
      </w:pPr>
      <w:r>
        <w:rPr/>
      </w:r>
    </w:p>
    <w:p>
      <w:pPr>
        <w:pStyle w:val="Heading2"/>
        <w:rPr/>
      </w:pPr>
      <w:bookmarkStart w:id="25" w:name="__RefHeading___Toc7884_1338352368"/>
      <w:bookmarkEnd w:id="25"/>
      <w:r>
        <w:rPr>
          <w:rFonts w:eastAsia="Segoe UI" w:cs="Segoe UI"/>
          <w:b/>
          <w:color w:val="0F4761"/>
          <w:sz w:val="26"/>
        </w:rPr>
        <w:t>5.11  Collections and credit control</w:t>
      </w:r>
    </w:p>
    <w:p>
      <w:pPr>
        <w:pStyle w:val="Normal"/>
        <w:spacing w:lineRule="auto" w:line="276" w:before="0" w:after="120"/>
        <w:rPr/>
      </w:pPr>
      <w:r>
        <w:rPr>
          <w:rFonts w:eastAsia="Segoe UI" w:cs="Segoe UI" w:ascii="Segoe UI" w:hAnsi="Segoe UI"/>
          <w:b/>
          <w:color w:val="101820"/>
          <w:sz w:val="21"/>
        </w:rPr>
        <w:t>What it does.</w:t>
      </w:r>
      <w:r>
        <w:rPr>
          <w:rFonts w:eastAsia="Segoe UI" w:cs="Segoe UI" w:ascii="Segoe UI" w:hAnsi="Segoe UI"/>
          <w:color w:val="101820"/>
          <w:sz w:val="21"/>
        </w:rPr>
        <w:t xml:space="preserve"> Follows up unpaid premium by age and manages credit risk on broker-billed business.</w:t>
      </w:r>
    </w:p>
    <w:p>
      <w:pPr>
        <w:pStyle w:val="Normal"/>
        <w:numPr>
          <w:ilvl w:val="0"/>
          <w:numId w:val="1"/>
        </w:numPr>
        <w:spacing w:before="0" w:after="60"/>
        <w:rPr/>
      </w:pPr>
      <w:r>
        <w:rPr>
          <w:rFonts w:eastAsia="Segoe UI" w:cs="Segoe UI" w:ascii="Segoe UI" w:hAnsi="Segoe UI"/>
          <w:color w:val="101820"/>
          <w:sz w:val="21"/>
        </w:rPr>
        <w:t xml:space="preserve">Collections list with ageing buckets (current, 1-30, 31-60, 61-90, over 90 days), due date from the insurer's Premium Payment Warranty days, else </w:t>
      </w:r>
      <w:r>
        <w:rPr>
          <w:rFonts w:eastAsia="Consolas" w:cs="Consolas" w:ascii="Consolas" w:hAnsi="Consolas"/>
          <w:color w:val="101820"/>
          <w:sz w:val="19"/>
        </w:rPr>
        <w:t>collections.default_credit_days</w:t>
      </w:r>
      <w:r>
        <w:rPr>
          <w:rFonts w:eastAsia="Segoe UI" w:cs="Segoe UI" w:ascii="Segoe UI" w:hAnsi="Segoe UI"/>
          <w:color w:val="101820"/>
          <w:sz w:val="21"/>
        </w:rPr>
        <w:t xml:space="preserve"> (30).</w:t>
      </w:r>
    </w:p>
    <w:p>
      <w:pPr>
        <w:pStyle w:val="Normal"/>
        <w:numPr>
          <w:ilvl w:val="0"/>
          <w:numId w:val="1"/>
        </w:numPr>
        <w:spacing w:before="0" w:after="60"/>
        <w:rPr/>
      </w:pPr>
      <w:r>
        <w:rPr>
          <w:rFonts w:eastAsia="Segoe UI" w:cs="Segoe UI" w:ascii="Segoe UI" w:hAnsi="Segoe UI"/>
          <w:color w:val="101820"/>
          <w:sz w:val="21"/>
        </w:rPr>
        <w:t>Collection reminders e-mailed 7 days before the due date and every 7 days after (daily job); Send Payment Reminders Now.</w:t>
      </w:r>
    </w:p>
    <w:p>
      <w:pPr>
        <w:pStyle w:val="Normal"/>
        <w:numPr>
          <w:ilvl w:val="0"/>
          <w:numId w:val="1"/>
        </w:numPr>
        <w:spacing w:before="0" w:after="60"/>
        <w:rPr/>
      </w:pPr>
      <w:r>
        <w:rPr>
          <w:rFonts w:eastAsia="Segoe UI" w:cs="Segoe UI" w:ascii="Segoe UI" w:hAnsi="Segoe UI"/>
          <w:color w:val="101820"/>
          <w:sz w:val="21"/>
        </w:rPr>
        <w:t>Collection items with assignments, commitments, escalation and a log of calls, e-mails and visits.</w:t>
      </w:r>
    </w:p>
    <w:p>
      <w:pPr>
        <w:pStyle w:val="Normal"/>
        <w:numPr>
          <w:ilvl w:val="0"/>
          <w:numId w:val="1"/>
        </w:numPr>
        <w:spacing w:before="0" w:after="60"/>
        <w:rPr/>
      </w:pPr>
      <w:r>
        <w:rPr>
          <w:rFonts w:eastAsia="Segoe UI" w:cs="Segoe UI" w:ascii="Segoe UI" w:hAnsi="Segoe UI"/>
          <w:color w:val="101820"/>
          <w:sz w:val="21"/>
        </w:rPr>
        <w:t>Credit Control: Instalment Plans (split a bill into instalments without changing the ledger), Premium Warranty Monitor (reminders, extension requests approved by the Accounting Manager, cancellation requests that create a draft cancellation endorsement), Client Credit Limits, Remittance Ageing.</w:t>
      </w:r>
    </w:p>
    <w:p>
      <w:pPr>
        <w:pStyle w:val="Normal"/>
        <w:numPr>
          <w:ilvl w:val="0"/>
          <w:numId w:val="1"/>
        </w:numPr>
        <w:spacing w:before="0" w:after="60"/>
        <w:rPr/>
      </w:pPr>
      <w:r>
        <w:rPr>
          <w:rFonts w:eastAsia="Segoe UI" w:cs="Segoe UI" w:ascii="Segoe UI" w:hAnsi="Segoe UI"/>
          <w:color w:val="101820"/>
          <w:sz w:val="21"/>
        </w:rPr>
        <w:t>Import open items at go-live from the old system's ageing.</w:t>
      </w:r>
    </w:p>
    <w:p>
      <w:pPr>
        <w:pStyle w:val="Normal"/>
        <w:jc w:val="center"/>
        <w:rPr/>
      </w:pPr>
      <w:r>
        <w:rPr/>
        <w:drawing>
          <wp:inline distT="0" distB="0" distL="0" distR="0">
            <wp:extent cx="5760085" cy="4469130"/>
            <wp:effectExtent l="0" t="0" r="0" b="0"/>
            <wp:docPr id="17" name="Picture 212128819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121288197" descr=""/>
                    <pic:cNvPicPr>
                      <a:picLocks noChangeAspect="1" noChangeArrowheads="1"/>
                    </pic:cNvPicPr>
                  </pic:nvPicPr>
                  <pic:blipFill>
                    <a:blip r:embed="rId13"/>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Premium Warranty Monitor</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Aspect</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Philippine specifics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Premium payment warranty per insurer, reflecting the broker's credit terms with each insurer</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Accounting Manager</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Key reports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Receivables Ageing, SOA / Premium Receivable, Collection Report, Remittance Ageing</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Warranty extensions need approve:credit-control; nothing is cancelled automatically; credit limit exceptions reported to collections users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reminders</w:t>
            </w:r>
          </w:p>
        </w:tc>
      </w:tr>
    </w:tbl>
    <w:p>
      <w:pPr>
        <w:pStyle w:val="Normal"/>
        <w:spacing w:before="0" w:after="80"/>
        <w:rPr/>
      </w:pPr>
      <w:r>
        <w:rPr/>
      </w:r>
    </w:p>
    <w:p>
      <w:pPr>
        <w:pStyle w:val="Heading2"/>
        <w:rPr/>
      </w:pPr>
      <w:bookmarkStart w:id="26" w:name="__RefHeading___Toc7886_1338352368"/>
      <w:bookmarkEnd w:id="26"/>
      <w:r>
        <w:rPr>
          <w:rFonts w:eastAsia="Segoe UI" w:cs="Segoe UI"/>
          <w:b/>
          <w:color w:val="0F4761"/>
          <w:sz w:val="26"/>
        </w:rPr>
        <w:t>5.12  Disbursement and petty cash</w:t>
      </w:r>
    </w:p>
    <w:p>
      <w:pPr>
        <w:pStyle w:val="Normal"/>
        <w:spacing w:lineRule="auto" w:line="276" w:before="0" w:after="120"/>
        <w:rPr/>
      </w:pPr>
      <w:r>
        <w:rPr>
          <w:rFonts w:eastAsia="Segoe UI" w:cs="Segoe UI" w:ascii="Segoe UI" w:hAnsi="Segoe UI"/>
          <w:b/>
          <w:color w:val="101820"/>
          <w:sz w:val="21"/>
        </w:rPr>
        <w:t>What it does.</w:t>
      </w:r>
      <w:r>
        <w:rPr>
          <w:rFonts w:eastAsia="Segoe UI" w:cs="Segoe UI" w:ascii="Segoe UI" w:hAnsi="Segoe UI"/>
          <w:color w:val="101820"/>
          <w:sz w:val="21"/>
        </w:rPr>
        <w:t xml:space="preserve"> Pays insurers, referrers, clients and suppliers by payment voucher and cheque, and runs petty cash funds.</w:t>
      </w:r>
    </w:p>
    <w:p>
      <w:pPr>
        <w:pStyle w:val="Normal"/>
        <w:numPr>
          <w:ilvl w:val="0"/>
          <w:numId w:val="1"/>
        </w:numPr>
        <w:spacing w:before="0" w:after="60"/>
        <w:rPr/>
      </w:pPr>
      <w:r>
        <w:rPr>
          <w:rFonts w:eastAsia="Segoe UI" w:cs="Segoe UI" w:ascii="Segoe UI" w:hAnsi="Segoe UI"/>
          <w:color w:val="101820"/>
          <w:sz w:val="21"/>
        </w:rPr>
        <w:t>Payment vouchers (PV-) by payee type (Customer, Insurer, Agent/Referrer, Supplier) against selected payables; bank account and cheque book; statuses Draft, For approval, Approved, Paid, Cancelled.</w:t>
      </w:r>
    </w:p>
    <w:p>
      <w:pPr>
        <w:pStyle w:val="Normal"/>
        <w:numPr>
          <w:ilvl w:val="0"/>
          <w:numId w:val="1"/>
        </w:numPr>
        <w:spacing w:before="0" w:after="60"/>
        <w:rPr/>
      </w:pPr>
      <w:r>
        <w:rPr>
          <w:rFonts w:eastAsia="Segoe UI" w:cs="Segoe UI" w:ascii="Segoe UI" w:hAnsi="Segoe UI"/>
          <w:color w:val="101820"/>
          <w:sz w:val="21"/>
        </w:rPr>
        <w:t>Bulk Disburse for referrer payouts; bulk upload and bulk print on the letterhead.</w:t>
      </w:r>
    </w:p>
    <w:p>
      <w:pPr>
        <w:pStyle w:val="Normal"/>
        <w:numPr>
          <w:ilvl w:val="0"/>
          <w:numId w:val="1"/>
        </w:numPr>
        <w:spacing w:before="0" w:after="60"/>
        <w:rPr/>
      </w:pPr>
      <w:r>
        <w:rPr>
          <w:rFonts w:eastAsia="Segoe UI" w:cs="Segoe UI" w:ascii="Segoe UI" w:hAnsi="Segoe UI"/>
          <w:color w:val="101820"/>
          <w:sz w:val="21"/>
        </w:rPr>
        <w:t>Petty cash: Initiate a fund, Request, Disbursement, Receipts, Replenish; custodian notified when a fund drops below its minimum.</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Aspect</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Philippine specifics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Withholding tax posted on payments to agents, referrers and suppliers, feeding BIR Form 2307 and the QAP</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Accounting Manager</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Key reports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Payables / Disbursement Register</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Voucher and cheque approval by a different user (</w:t>
            </w:r>
            <w:r>
              <w:rPr>
                <w:rFonts w:eastAsia="Consolas" w:cs="Consolas" w:ascii="Consolas" w:hAnsi="Consolas"/>
                <w:color w:val="101820"/>
                <w:kern w:val="0"/>
                <w:sz w:val="16"/>
                <w:szCs w:val="24"/>
                <w:lang w:val="en-US" w:eastAsia="ja-JP" w:bidi="ar-SA"/>
              </w:rPr>
              <w:t>finance.maker_checker_enabled</w:t>
            </w:r>
            <w:r>
              <w:rPr>
                <w:rFonts w:eastAsia="Segoe UI" w:cs="Segoe UI" w:ascii="Segoe UI" w:hAnsi="Segoe UI"/>
                <w:color w:val="101820"/>
                <w:kern w:val="0"/>
                <w:sz w:val="18"/>
                <w:szCs w:val="24"/>
                <w:lang w:val="en-US" w:eastAsia="ja-JP" w:bidi="ar-SA"/>
              </w:rPr>
              <w:t>); petty cash requests maker-checker; approval limits by Authority Matrix</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Cheque printing; no bank payment file</w:t>
            </w:r>
          </w:p>
        </w:tc>
      </w:tr>
    </w:tbl>
    <w:p>
      <w:pPr>
        <w:pStyle w:val="Normal"/>
        <w:spacing w:before="0" w:after="80"/>
        <w:rPr/>
      </w:pPr>
      <w:r>
        <w:rPr/>
      </w:r>
    </w:p>
    <w:p>
      <w:pPr>
        <w:pStyle w:val="Heading2"/>
        <w:rPr/>
      </w:pPr>
      <w:bookmarkStart w:id="27" w:name="__RefHeading___Toc7888_1338352368"/>
      <w:bookmarkEnd w:id="27"/>
      <w:r>
        <w:rPr>
          <w:rFonts w:eastAsia="Segoe UI" w:cs="Segoe UI"/>
          <w:b/>
          <w:color w:val="0F4761"/>
          <w:sz w:val="26"/>
        </w:rPr>
        <w:t>5.13  Remittance to insurers and direct bill</w:t>
      </w:r>
    </w:p>
    <w:p>
      <w:pPr>
        <w:pStyle w:val="Normal"/>
        <w:spacing w:lineRule="auto" w:line="276" w:before="0" w:after="120"/>
        <w:rPr/>
      </w:pPr>
      <w:r>
        <w:rPr>
          <w:rFonts w:eastAsia="Segoe UI" w:cs="Segoe UI" w:ascii="Segoe UI" w:hAnsi="Segoe UI"/>
          <w:b/>
          <w:color w:val="101820"/>
          <w:sz w:val="21"/>
        </w:rPr>
        <w:t>What it does.</w:t>
      </w:r>
      <w:r>
        <w:rPr>
          <w:rFonts w:eastAsia="Segoe UI" w:cs="Segoe UI" w:ascii="Segoe UI" w:hAnsi="Segoe UI"/>
          <w:color w:val="101820"/>
          <w:sz w:val="21"/>
        </w:rPr>
        <w:t xml:space="preserve"> Remits collected premium, net of commission, to each insurer by its share; for direct-bill policies, bills the broker's commission to the insurer.</w:t>
      </w:r>
    </w:p>
    <w:p>
      <w:pPr>
        <w:pStyle w:val="Normal"/>
        <w:numPr>
          <w:ilvl w:val="0"/>
          <w:numId w:val="1"/>
        </w:numPr>
        <w:spacing w:before="0" w:after="60"/>
        <w:rPr/>
      </w:pPr>
      <w:r>
        <w:rPr>
          <w:rFonts w:eastAsia="Segoe UI" w:cs="Segoe UI" w:ascii="Segoe UI" w:hAnsi="Segoe UI"/>
          <w:color w:val="101820"/>
          <w:sz w:val="21"/>
        </w:rPr>
        <w:t xml:space="preserve">Automated Processing creates draft remittances per insurer from collected, unremitted premium; due date from the insurer's Remittance Terms, else </w:t>
      </w:r>
      <w:r>
        <w:rPr>
          <w:rFonts w:eastAsia="Consolas" w:cs="Consolas" w:ascii="Consolas" w:hAnsi="Consolas"/>
          <w:color w:val="101820"/>
          <w:sz w:val="19"/>
        </w:rPr>
        <w:t>remittance.default_due_days</w:t>
      </w:r>
      <w:r>
        <w:rPr>
          <w:rFonts w:eastAsia="Segoe UI" w:cs="Segoe UI" w:ascii="Segoe UI" w:hAnsi="Segoe UI"/>
          <w:color w:val="101820"/>
          <w:sz w:val="21"/>
        </w:rPr>
        <w:t xml:space="preserve"> (30).</w:t>
      </w:r>
    </w:p>
    <w:p>
      <w:pPr>
        <w:pStyle w:val="Normal"/>
        <w:numPr>
          <w:ilvl w:val="0"/>
          <w:numId w:val="1"/>
        </w:numPr>
        <w:spacing w:before="0" w:after="60"/>
        <w:rPr/>
      </w:pPr>
      <w:r>
        <w:rPr>
          <w:rFonts w:eastAsia="Segoe UI" w:cs="Segoe UI" w:ascii="Segoe UI" w:hAnsi="Segoe UI"/>
          <w:color w:val="101820"/>
          <w:sz w:val="21"/>
        </w:rPr>
        <w:t>Approval Workflow with levels by amount (level 1 up to PHP 100,000, level 2 up to PHP 1,000,000, level 3 above).</w:t>
      </w:r>
    </w:p>
    <w:p>
      <w:pPr>
        <w:pStyle w:val="Normal"/>
        <w:numPr>
          <w:ilvl w:val="0"/>
          <w:numId w:val="1"/>
        </w:numPr>
        <w:spacing w:before="0" w:after="60"/>
        <w:rPr/>
      </w:pPr>
      <w:r>
        <w:rPr>
          <w:rFonts w:eastAsia="Segoe UI" w:cs="Segoe UI" w:ascii="Segoe UI" w:hAnsi="Segoe UI"/>
          <w:color w:val="101820"/>
          <w:sz w:val="21"/>
        </w:rPr>
        <w:t>Settlement: premium less commission less tax plus or minus adjustments gives the net settlement; the insurer payment voucher is raised in Disbursement.</w:t>
      </w:r>
    </w:p>
    <w:p>
      <w:pPr>
        <w:pStyle w:val="Normal"/>
        <w:numPr>
          <w:ilvl w:val="0"/>
          <w:numId w:val="1"/>
        </w:numPr>
        <w:spacing w:before="0" w:after="60"/>
        <w:rPr/>
      </w:pPr>
      <w:r>
        <w:rPr>
          <w:rFonts w:eastAsia="Segoe UI" w:cs="Segoe UI" w:ascii="Segoe UI" w:hAnsi="Segoe UI"/>
          <w:color w:val="101820"/>
          <w:sz w:val="21"/>
        </w:rPr>
        <w:t>Tracking, Statements, Reconciliation of bank transactions (tolerance PHP 0.50), Bulk Processing, Scheduling, Electronic Transfer records (InstaPay, PESONet, RTGS, wire), Exception Management, Adjustments, Notifications, History, Analytics.</w:t>
      </w:r>
    </w:p>
    <w:p>
      <w:pPr>
        <w:pStyle w:val="Normal"/>
        <w:numPr>
          <w:ilvl w:val="0"/>
          <w:numId w:val="1"/>
        </w:numPr>
        <w:spacing w:before="0" w:after="60"/>
        <w:rPr/>
      </w:pPr>
      <w:r>
        <w:rPr>
          <w:rFonts w:eastAsia="Segoe UI" w:cs="Segoe UI" w:ascii="Segoe UI" w:hAnsi="Segoe UI"/>
          <w:color w:val="101820"/>
          <w:sz w:val="21"/>
        </w:rPr>
        <w:t>Direct Bill Processing: commission debit notes (DN-) with 12% output VAT, 10% EWT and net cash expected; due 30 days later; collection with tax withheld; change of billing mode with a reason.</w:t>
      </w:r>
    </w:p>
    <w:p>
      <w:pPr>
        <w:pStyle w:val="Normal"/>
        <w:numPr>
          <w:ilvl w:val="0"/>
          <w:numId w:val="1"/>
        </w:numPr>
        <w:spacing w:before="0" w:after="60"/>
        <w:rPr/>
      </w:pPr>
      <w:r>
        <w:rPr>
          <w:rFonts w:eastAsia="Segoe UI" w:cs="Segoe UI" w:ascii="Segoe UI" w:hAnsi="Segoe UI"/>
          <w:color w:val="101820"/>
          <w:sz w:val="21"/>
        </w:rPr>
        <w:t>Commission debit note e-mailed to the insurer with the PDF attached.</w:t>
      </w:r>
    </w:p>
    <w:p>
      <w:pPr>
        <w:pStyle w:val="Normal"/>
        <w:jc w:val="center"/>
        <w:rPr/>
      </w:pPr>
      <w:r>
        <w:rPr/>
        <w:drawing>
          <wp:inline distT="0" distB="0" distL="0" distR="0">
            <wp:extent cx="5760085" cy="4469130"/>
            <wp:effectExtent l="0" t="0" r="0" b="0"/>
            <wp:docPr id="18" name="Picture 212128819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121288198" descr=""/>
                    <pic:cNvPicPr>
                      <a:picLocks noChangeAspect="1" noChangeArrowheads="1"/>
                    </pic:cNvPicPr>
                  </pic:nvPicPr>
                  <pic:blipFill>
                    <a:blip r:embed="rId14"/>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Automated processing of remittances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Aspect</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Philippine specifics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Premium held for insurers kept apart from commission income; VAT and EWT on direct-bill commission; Form 2307 received from insurers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Accounting Manager</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Key reports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Summary, Due to Insurers by Co-insurer, Aged Payables to Insurers, Commission Receivable - Direct Bill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Initiator cannot approve; approval levels by amount; debit notes maker-checker; billing mode change refused once premium was collected or remitted</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statements and debit notes as PDF, CSV or XLSX; e-mail; transfers executed in the bank's own portal</w:t>
            </w:r>
          </w:p>
        </w:tc>
      </w:tr>
    </w:tbl>
    <w:p>
      <w:pPr>
        <w:pStyle w:val="Normal"/>
        <w:spacing w:before="0" w:after="80"/>
        <w:rPr/>
      </w:pPr>
      <w:r>
        <w:rPr/>
      </w:r>
    </w:p>
    <w:p>
      <w:pPr>
        <w:pStyle w:val="Heading2"/>
        <w:rPr/>
      </w:pPr>
      <w:bookmarkStart w:id="28" w:name="__RefHeading___Toc7890_1338352368"/>
      <w:bookmarkEnd w:id="28"/>
      <w:r>
        <w:rPr>
          <w:rFonts w:eastAsia="Segoe UI" w:cs="Segoe UI"/>
          <w:b/>
          <w:color w:val="0F4761"/>
          <w:sz w:val="26"/>
        </w:rPr>
        <w:t>5.14  Commission and referrers</w:t>
      </w:r>
    </w:p>
    <w:p>
      <w:pPr>
        <w:pStyle w:val="Normal"/>
        <w:spacing w:lineRule="auto" w:line="276" w:before="0" w:after="120"/>
        <w:rPr/>
      </w:pPr>
      <w:r>
        <w:rPr>
          <w:rFonts w:eastAsia="Segoe UI" w:cs="Segoe UI" w:ascii="Segoe UI" w:hAnsi="Segoe UI"/>
          <w:b/>
          <w:color w:val="101820"/>
          <w:sz w:val="21"/>
        </w:rPr>
        <w:t>What it does.</w:t>
      </w:r>
      <w:r>
        <w:rPr>
          <w:rFonts w:eastAsia="Segoe UI" w:cs="Segoe UI" w:ascii="Segoe UI" w:hAnsi="Segoe UI"/>
          <w:color w:val="101820"/>
          <w:sz w:val="21"/>
        </w:rPr>
        <w:t xml:space="preserve"> Calculates the brokerage earned from insurers and the share paid to agents and referrers, and pays it when the premium is collected.</w:t>
      </w:r>
    </w:p>
    <w:p>
      <w:pPr>
        <w:pStyle w:val="Normal"/>
        <w:numPr>
          <w:ilvl w:val="0"/>
          <w:numId w:val="1"/>
        </w:numPr>
        <w:spacing w:before="0" w:after="60"/>
        <w:rPr/>
      </w:pPr>
      <w:r>
        <w:rPr>
          <w:rFonts w:eastAsia="Segoe UI" w:cs="Segoe UI" w:ascii="Segoe UI" w:hAnsi="Segoe UI"/>
          <w:color w:val="101820"/>
          <w:sz w:val="21"/>
        </w:rPr>
        <w:t xml:space="preserve">Commission Rate Matrix by insurer, product, line and policy type with effective dates; insurer default rate; </w:t>
      </w:r>
      <w:r>
        <w:rPr>
          <w:rFonts w:eastAsia="Consolas" w:cs="Consolas" w:ascii="Consolas" w:hAnsi="Consolas"/>
          <w:color w:val="101820"/>
          <w:sz w:val="19"/>
        </w:rPr>
        <w:t>commission.default_rate</w:t>
      </w:r>
      <w:r>
        <w:rPr>
          <w:rFonts w:eastAsia="Segoe UI" w:cs="Segoe UI" w:ascii="Segoe UI" w:hAnsi="Segoe UI"/>
          <w:color w:val="101820"/>
          <w:sz w:val="21"/>
        </w:rPr>
        <w:t xml:space="preserve"> (15%).</w:t>
      </w:r>
    </w:p>
    <w:p>
      <w:pPr>
        <w:pStyle w:val="Normal"/>
        <w:numPr>
          <w:ilvl w:val="0"/>
          <w:numId w:val="1"/>
        </w:numPr>
        <w:spacing w:before="0" w:after="60"/>
        <w:rPr/>
      </w:pPr>
      <w:r>
        <w:rPr>
          <w:rFonts w:eastAsia="Segoe UI" w:cs="Segoe UI" w:ascii="Segoe UI" w:hAnsi="Segoe UI"/>
          <w:color w:val="101820"/>
          <w:sz w:val="21"/>
        </w:rPr>
        <w:t>Commission line statuses Accrued, Eligible, Approved, Paid, Reversed; clawback on return premium.</w:t>
      </w:r>
    </w:p>
    <w:p>
      <w:pPr>
        <w:pStyle w:val="Normal"/>
        <w:numPr>
          <w:ilvl w:val="0"/>
          <w:numId w:val="1"/>
        </w:numPr>
        <w:spacing w:before="0" w:after="60"/>
        <w:rPr/>
      </w:pPr>
      <w:r>
        <w:rPr>
          <w:rFonts w:eastAsia="Segoe UI" w:cs="Segoe UI" w:ascii="Segoe UI" w:hAnsi="Segoe UI"/>
          <w:color w:val="101820"/>
          <w:sz w:val="21"/>
        </w:rPr>
        <w:t>Agents/Referrer Accounts with type (Agent, Sub-agent, External), level, net payable, withholding tax type and bank account; Generate payout creates the payout voucher.</w:t>
      </w:r>
    </w:p>
    <w:p>
      <w:pPr>
        <w:pStyle w:val="Normal"/>
        <w:numPr>
          <w:ilvl w:val="0"/>
          <w:numId w:val="1"/>
        </w:numPr>
        <w:spacing w:before="0" w:after="60"/>
        <w:rPr/>
      </w:pPr>
      <w:r>
        <w:rPr>
          <w:rFonts w:eastAsia="Segoe UI" w:cs="Segoe UI" w:ascii="Segoe UI" w:hAnsi="Segoe UI"/>
          <w:color w:val="101820"/>
          <w:sz w:val="21"/>
        </w:rPr>
        <w:t>Commission Dashboard with accounting and management views.</w:t>
      </w:r>
    </w:p>
    <w:p>
      <w:pPr>
        <w:pStyle w:val="Normal"/>
        <w:jc w:val="center"/>
        <w:rPr/>
      </w:pPr>
      <w:r>
        <w:rPr/>
        <w:drawing>
          <wp:inline distT="0" distB="0" distL="0" distR="0">
            <wp:extent cx="5760085" cy="4469130"/>
            <wp:effectExtent l="0" t="0" r="0" b="0"/>
            <wp:docPr id="19" name="Picture 212128819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121288199" descr=""/>
                    <pic:cNvPicPr>
                      <a:picLocks noChangeAspect="1" noChangeArrowheads="1"/>
                    </pic:cNvPicPr>
                  </pic:nvPicPr>
                  <pic:blipFill>
                    <a:blip r:embed="rId15"/>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Commission Dashboard</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Aspect</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Philippine specifics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Withholding on comsub by payee type (</w:t>
            </w:r>
            <w:r>
              <w:rPr>
                <w:rFonts w:eastAsia="Consolas" w:cs="Consolas" w:ascii="Consolas" w:hAnsi="Consolas"/>
                <w:color w:val="101820"/>
                <w:kern w:val="0"/>
                <w:sz w:val="16"/>
                <w:szCs w:val="24"/>
                <w:lang w:val="en-US" w:eastAsia="ja-JP" w:bidi="ar-SA"/>
              </w:rPr>
              <w:t>commission.wht_rate_by_type</w:t>
            </w:r>
            <w:r>
              <w:rPr>
                <w:rFonts w:eastAsia="Segoe UI" w:cs="Segoe UI" w:ascii="Segoe UI" w:hAnsi="Segoe UI"/>
                <w:color w:val="101820"/>
                <w:kern w:val="0"/>
                <w:sz w:val="18"/>
                <w:szCs w:val="24"/>
                <w:lang w:val="en-US" w:eastAsia="ja-JP" w:bidi="ar-SA"/>
              </w:rPr>
              <w:t>: Agent 5%, Sub-agent 5%, External 10%); ATC per payee type</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pays; Sales &amp; Marketing views its commission</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Key reports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Commission Statement, Commission Dashboard</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Payable only after full collection (</w:t>
            </w:r>
            <w:r>
              <w:rPr>
                <w:rFonts w:eastAsia="Consolas" w:cs="Consolas" w:ascii="Consolas" w:hAnsi="Consolas"/>
                <w:color w:val="101820"/>
                <w:kern w:val="0"/>
                <w:sz w:val="16"/>
                <w:szCs w:val="24"/>
                <w:lang w:val="en-US" w:eastAsia="ja-JP" w:bidi="ar-SA"/>
              </w:rPr>
              <w:t>commission.require_full_payment</w:t>
            </w:r>
            <w:r>
              <w:rPr>
                <w:rFonts w:eastAsia="Segoe UI" w:cs="Segoe UI" w:ascii="Segoe UI" w:hAnsi="Segoe UI"/>
                <w:color w:val="101820"/>
                <w:kern w:val="0"/>
                <w:sz w:val="18"/>
                <w:szCs w:val="24"/>
                <w:lang w:val="en-US" w:eastAsia="ja-JP" w:bidi="ar-SA"/>
              </w:rPr>
              <w:t>) and with a bank account on file; approval of lines and payout by a second user</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Payout through Disbursement</w:t>
            </w:r>
          </w:p>
        </w:tc>
      </w:tr>
    </w:tbl>
    <w:p>
      <w:pPr>
        <w:pStyle w:val="Normal"/>
        <w:spacing w:before="0" w:after="80"/>
        <w:rPr/>
      </w:pPr>
      <w:r>
        <w:rPr/>
      </w:r>
    </w:p>
    <w:p>
      <w:pPr>
        <w:pStyle w:val="Heading2"/>
        <w:rPr/>
      </w:pPr>
      <w:bookmarkStart w:id="29" w:name="__RefHeading___Toc7892_1338352368"/>
      <w:bookmarkEnd w:id="29"/>
      <w:r>
        <w:rPr>
          <w:rFonts w:eastAsia="Segoe UI" w:cs="Segoe UI"/>
          <w:b/>
          <w:color w:val="0F4761"/>
          <w:sz w:val="26"/>
        </w:rPr>
        <w:t>5.15  Incentives</w:t>
      </w:r>
    </w:p>
    <w:p>
      <w:pPr>
        <w:pStyle w:val="Normal"/>
        <w:spacing w:lineRule="auto" w:line="276" w:before="0" w:after="120"/>
        <w:rPr/>
      </w:pPr>
      <w:r>
        <w:rPr>
          <w:rFonts w:eastAsia="Segoe UI" w:cs="Segoe UI" w:ascii="Segoe UI" w:hAnsi="Segoe UI"/>
          <w:b/>
          <w:color w:val="101820"/>
          <w:sz w:val="21"/>
        </w:rPr>
        <w:t>What it does.</w:t>
      </w:r>
      <w:r>
        <w:rPr>
          <w:rFonts w:eastAsia="Segoe UI" w:cs="Segoe UI" w:ascii="Segoe UI" w:hAnsi="Segoe UI"/>
          <w:color w:val="101820"/>
          <w:sz w:val="21"/>
        </w:rPr>
        <w:t xml:space="preserve"> Rewards account executives who reach targets.</w:t>
      </w:r>
    </w:p>
    <w:p>
      <w:pPr>
        <w:pStyle w:val="Normal"/>
        <w:numPr>
          <w:ilvl w:val="0"/>
          <w:numId w:val="1"/>
        </w:numPr>
        <w:spacing w:before="0" w:after="60"/>
        <w:rPr/>
      </w:pPr>
      <w:r>
        <w:rPr>
          <w:rFonts w:eastAsia="Segoe UI" w:cs="Segoe UI" w:ascii="Segoe UI" w:hAnsi="Segoe UI"/>
          <w:color w:val="101820"/>
          <w:sz w:val="21"/>
        </w:rPr>
        <w:t>Incentive Programs (INC-) by target metric: premium volume, policy count, renewal rate or conversion; base target, frequency, dates.</w:t>
      </w:r>
    </w:p>
    <w:p>
      <w:pPr>
        <w:pStyle w:val="Normal"/>
        <w:numPr>
          <w:ilvl w:val="0"/>
          <w:numId w:val="1"/>
        </w:numPr>
        <w:spacing w:before="0" w:after="60"/>
        <w:rPr/>
      </w:pPr>
      <w:r>
        <w:rPr>
          <w:rFonts w:eastAsia="Segoe UI" w:cs="Segoe UI" w:ascii="Segoe UI" w:hAnsi="Segoe UI"/>
          <w:color w:val="101820"/>
          <w:sz w:val="21"/>
        </w:rPr>
        <w:t>Calculations per period (CALC-), Approvals (including bulk approve), Statement per person and month.</w:t>
      </w:r>
    </w:p>
    <w:p>
      <w:pPr>
        <w:pStyle w:val="Normal"/>
        <w:numPr>
          <w:ilvl w:val="0"/>
          <w:numId w:val="1"/>
        </w:numPr>
        <w:spacing w:before="0" w:after="60"/>
        <w:rPr/>
      </w:pPr>
      <w:r>
        <w:rPr>
          <w:rFonts w:eastAsia="Segoe UI" w:cs="Segoe UI" w:ascii="Segoe UI" w:hAnsi="Segoe UI"/>
          <w:color w:val="101820"/>
          <w:sz w:val="21"/>
        </w:rPr>
        <w:t>Approved amounts accrued and paid through posting rules.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Aspect</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System Administrator sets up programmes; Accounting calculates and pays; Sales &amp; Marketing take part (</w:t>
            </w:r>
            <w:r>
              <w:rPr>
                <w:rFonts w:eastAsia="Consolas" w:cs="Consolas" w:ascii="Consolas" w:hAnsi="Consolas"/>
                <w:color w:val="101820"/>
                <w:kern w:val="0"/>
                <w:sz w:val="16"/>
                <w:szCs w:val="24"/>
                <w:lang w:val="en-US" w:eastAsia="ja-JP" w:bidi="ar-SA"/>
              </w:rPr>
              <w:t>incentive.eligible_roles</w:t>
            </w:r>
            <w:r>
              <w:rPr>
                <w:rFonts w:eastAsia="Segoe UI" w:cs="Segoe UI" w:ascii="Segoe UI" w:hAnsi="Segoe UI"/>
                <w:color w:val="101820"/>
                <w:kern w:val="0"/>
                <w:sz w:val="18"/>
                <w:szCs w:val="24"/>
                <w:lang w:val="en-US" w:eastAsia="ja-JP" w:bidi="ar-SA"/>
              </w:rPr>
              <w:t>)</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Key reports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Incentive Results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Calculation batches approved by a second Accounting user; Accounting cannot change the programmes it pays</w:t>
            </w:r>
          </w:p>
        </w:tc>
      </w:tr>
    </w:tbl>
    <w:p>
      <w:pPr>
        <w:pStyle w:val="Normal"/>
        <w:spacing w:before="0" w:after="80"/>
        <w:rPr/>
      </w:pPr>
      <w:r>
        <w:rPr/>
      </w:r>
    </w:p>
    <w:p>
      <w:pPr>
        <w:pStyle w:val="Heading2"/>
        <w:rPr/>
      </w:pPr>
      <w:bookmarkStart w:id="30" w:name="__RefHeading___Toc7894_1338352368"/>
      <w:bookmarkEnd w:id="30"/>
      <w:r>
        <w:rPr>
          <w:rFonts w:eastAsia="Segoe UI" w:cs="Segoe UI"/>
          <w:b/>
          <w:color w:val="0F4761"/>
          <w:sz w:val="26"/>
        </w:rPr>
        <w:t>5.16  General ledger and journals</w:t>
      </w:r>
    </w:p>
    <w:p>
      <w:pPr>
        <w:pStyle w:val="Normal"/>
        <w:spacing w:lineRule="auto" w:line="276" w:before="0" w:after="120"/>
        <w:rPr/>
      </w:pPr>
      <w:r>
        <w:rPr>
          <w:rFonts w:eastAsia="Segoe UI" w:cs="Segoe UI" w:ascii="Segoe UI" w:hAnsi="Segoe UI"/>
          <w:b/>
          <w:color w:val="101820"/>
          <w:sz w:val="21"/>
        </w:rPr>
        <w:t>What it does.</w:t>
      </w:r>
      <w:r>
        <w:rPr>
          <w:rFonts w:eastAsia="Segoe UI" w:cs="Segoe UI" w:ascii="Segoe UI" w:hAnsi="Segoe UI"/>
          <w:color w:val="101820"/>
          <w:sz w:val="21"/>
        </w:rPr>
        <w:t xml:space="preserve"> Keeps a double-entry general ledger fed by every operational event, with manual journals under approval.</w:t>
      </w:r>
    </w:p>
    <w:p>
      <w:pPr>
        <w:pStyle w:val="Normal"/>
        <w:numPr>
          <w:ilvl w:val="0"/>
          <w:numId w:val="1"/>
        </w:numPr>
        <w:spacing w:before="0" w:after="60"/>
        <w:rPr/>
      </w:pPr>
      <w:r>
        <w:rPr>
          <w:rFonts w:eastAsia="Segoe UI" w:cs="Segoe UI" w:ascii="Segoe UI" w:hAnsi="Segoe UI"/>
          <w:color w:val="101820"/>
          <w:sz w:val="21"/>
        </w:rPr>
        <w:t>Posting rules turn each business event into journal lines through account roles mapped in Account Determination; Simulate before approval.</w:t>
      </w:r>
    </w:p>
    <w:p>
      <w:pPr>
        <w:pStyle w:val="Normal"/>
        <w:numPr>
          <w:ilvl w:val="0"/>
          <w:numId w:val="1"/>
        </w:numPr>
        <w:spacing w:before="0" w:after="60"/>
        <w:rPr/>
      </w:pPr>
      <w:r>
        <w:rPr>
          <w:rFonts w:eastAsia="Segoe UI" w:cs="Segoe UI" w:ascii="Segoe UI" w:hAnsi="Segoe UI"/>
          <w:color w:val="101820"/>
          <w:sz w:val="21"/>
        </w:rPr>
        <w:t>Journal Voucher, Correction JV and Reversal JV with approval; Accounting Query; All Clients Accounting; Open Entry Matching and Un-Matching with write-off reasons and limits.</w:t>
      </w:r>
    </w:p>
    <w:p>
      <w:pPr>
        <w:pStyle w:val="Normal"/>
        <w:numPr>
          <w:ilvl w:val="0"/>
          <w:numId w:val="1"/>
        </w:numPr>
        <w:spacing w:before="0" w:after="60"/>
        <w:rPr/>
      </w:pPr>
      <w:r>
        <w:rPr>
          <w:rFonts w:eastAsia="Segoe UI" w:cs="Segoe UI" w:ascii="Segoe UI" w:hAnsi="Segoe UI"/>
          <w:color w:val="101820"/>
          <w:sz w:val="21"/>
        </w:rPr>
        <w:t>Delivered Philippine broker chart of accounts, including Cash in Bank - Premium Trust Account (Clients' Money).</w:t>
      </w:r>
    </w:p>
    <w:p>
      <w:pPr>
        <w:pStyle w:val="Normal"/>
        <w:numPr>
          <w:ilvl w:val="0"/>
          <w:numId w:val="1"/>
        </w:numPr>
        <w:spacing w:before="0" w:after="60"/>
        <w:rPr/>
      </w:pPr>
      <w:r>
        <w:rPr>
          <w:rFonts w:eastAsia="Segoe UI" w:cs="Segoe UI" w:ascii="Segoe UI" w:hAnsi="Segoe UI"/>
          <w:color w:val="101820"/>
          <w:sz w:val="21"/>
        </w:rPr>
        <w:t>Premium VAT, DST and LGT booked to their own accounts (</w:t>
      </w:r>
      <w:r>
        <w:rPr>
          <w:rFonts w:eastAsia="Consolas" w:cs="Consolas" w:ascii="Consolas" w:hAnsi="Consolas"/>
          <w:color w:val="101820"/>
          <w:sz w:val="19"/>
        </w:rPr>
        <w:t>accounting.split_premium_taxes</w:t>
      </w:r>
      <w:r>
        <w:rPr>
          <w:rFonts w:eastAsia="Segoe UI" w:cs="Segoe UI" w:ascii="Segoe UI" w:hAnsi="Segoe UI"/>
          <w:color w:val="101820"/>
          <w:sz w:val="21"/>
        </w:rPr>
        <w:t>).</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Aspect</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Accounting Manager; System Administrator maintains posting rules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Key reports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Journal Register, General Ledger Detail, Trial Balance</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Unbalanced journals, inactive accounts and closed periods refused; each journal points to its source document; changes to posting rules and account determination proposed by one user and approved by another (Configuration Approvals)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Chart of accounts and opening balance upload templates</w:t>
            </w:r>
          </w:p>
        </w:tc>
      </w:tr>
    </w:tbl>
    <w:p>
      <w:pPr>
        <w:pStyle w:val="Normal"/>
        <w:spacing w:before="0" w:after="80"/>
        <w:rPr/>
      </w:pPr>
      <w:r>
        <w:rPr/>
      </w:r>
    </w:p>
    <w:p>
      <w:pPr>
        <w:pStyle w:val="Heading2"/>
        <w:rPr/>
      </w:pPr>
      <w:bookmarkStart w:id="31" w:name="__RefHeading___Toc7896_1338352368"/>
      <w:bookmarkEnd w:id="31"/>
      <w:r>
        <w:rPr>
          <w:rFonts w:eastAsia="Segoe UI" w:cs="Segoe UI"/>
          <w:b/>
          <w:color w:val="0F4761"/>
          <w:sz w:val="26"/>
        </w:rPr>
        <w:t>5.17  Period end</w:t>
      </w:r>
    </w:p>
    <w:p>
      <w:pPr>
        <w:pStyle w:val="Normal"/>
        <w:spacing w:lineRule="auto" w:line="276" w:before="0" w:after="120"/>
        <w:rPr/>
      </w:pPr>
      <w:r>
        <w:rPr>
          <w:rFonts w:eastAsia="Segoe UI" w:cs="Segoe UI" w:ascii="Segoe UI" w:hAnsi="Segoe UI"/>
          <w:b/>
          <w:color w:val="101820"/>
          <w:sz w:val="21"/>
        </w:rPr>
        <w:t>What it does.</w:t>
      </w:r>
      <w:r>
        <w:rPr>
          <w:rFonts w:eastAsia="Segoe UI" w:cs="Segoe UI" w:ascii="Segoe UI" w:hAnsi="Segoe UI"/>
          <w:color w:val="101820"/>
          <w:sz w:val="21"/>
        </w:rPr>
        <w:t xml:space="preserve"> Runs the fiscal calendar, the month-end and year-end close and the financial statements.</w:t>
      </w:r>
    </w:p>
    <w:p>
      <w:pPr>
        <w:pStyle w:val="Normal"/>
        <w:numPr>
          <w:ilvl w:val="0"/>
          <w:numId w:val="1"/>
        </w:numPr>
        <w:spacing w:before="0" w:after="60"/>
        <w:rPr/>
      </w:pPr>
      <w:r>
        <w:rPr>
          <w:rFonts w:eastAsia="Segoe UI" w:cs="Segoe UI" w:ascii="Segoe UI" w:hAnsi="Segoe UI"/>
          <w:color w:val="101820"/>
          <w:sz w:val="21"/>
        </w:rPr>
        <w:t>Period Management: periods Open, Soft-closed, Closed, Locked; adjustment period 13; go-live opening balances import.</w:t>
      </w:r>
    </w:p>
    <w:p>
      <w:pPr>
        <w:pStyle w:val="Normal"/>
        <w:numPr>
          <w:ilvl w:val="0"/>
          <w:numId w:val="1"/>
        </w:numPr>
        <w:spacing w:before="0" w:after="60"/>
        <w:rPr/>
      </w:pPr>
      <w:r>
        <w:rPr>
          <w:rFonts w:eastAsia="Segoe UI" w:cs="Segoe UI" w:ascii="Segoe UI" w:hAnsi="Segoe UI"/>
          <w:color w:val="101820"/>
          <w:sz w:val="21"/>
        </w:rPr>
        <w:t>Month-End Close run (MEC-): accruals, recurring journals, commission deferral, FX revaluation and the close checklist with automatic and manual, blocking and warning items.</w:t>
      </w:r>
    </w:p>
    <w:p>
      <w:pPr>
        <w:pStyle w:val="Normal"/>
        <w:numPr>
          <w:ilvl w:val="0"/>
          <w:numId w:val="1"/>
        </w:numPr>
        <w:spacing w:before="0" w:after="60"/>
        <w:rPr/>
      </w:pPr>
      <w:r>
        <w:rPr>
          <w:rFonts w:eastAsia="Segoe UI" w:cs="Segoe UI" w:ascii="Segoe UI" w:hAnsi="Segoe UI"/>
          <w:color w:val="101820"/>
          <w:sz w:val="21"/>
        </w:rPr>
        <w:t>Recurring Journals (RJV-) and accruals with auto-reversal on day 1 of the next period.</w:t>
      </w:r>
    </w:p>
    <w:p>
      <w:pPr>
        <w:pStyle w:val="Normal"/>
        <w:numPr>
          <w:ilvl w:val="0"/>
          <w:numId w:val="1"/>
        </w:numPr>
        <w:spacing w:before="0" w:after="60"/>
        <w:rPr/>
      </w:pPr>
      <w:r>
        <w:rPr>
          <w:rFonts w:eastAsia="Segoe UI" w:cs="Segoe UI" w:ascii="Segoe UI" w:hAnsi="Segoe UI"/>
          <w:color w:val="101820"/>
          <w:sz w:val="21"/>
        </w:rPr>
        <w:t>Year-End Close (YEC-): pre-checks, adjustment journals in period 13, closing to retained earnings, opening balances of the next year; reversible until the first period of the next year is closed.</w:t>
      </w:r>
    </w:p>
    <w:p>
      <w:pPr>
        <w:pStyle w:val="Normal"/>
        <w:numPr>
          <w:ilvl w:val="0"/>
          <w:numId w:val="1"/>
        </w:numPr>
        <w:spacing w:before="0" w:after="60"/>
        <w:rPr/>
      </w:pPr>
      <w:r>
        <w:rPr>
          <w:rFonts w:eastAsia="Segoe UI" w:cs="Segoe UI" w:ascii="Segoe UI" w:hAnsi="Segoe UI"/>
          <w:color w:val="101820"/>
          <w:sz w:val="21"/>
        </w:rPr>
        <w:t>Financial Statements: Income Statement, Balance Sheet and Trial Balance for any dates.</w:t>
      </w:r>
    </w:p>
    <w:p>
      <w:pPr>
        <w:pStyle w:val="Normal"/>
        <w:jc w:val="center"/>
        <w:rPr/>
      </w:pPr>
      <w:r>
        <w:rPr/>
        <w:drawing>
          <wp:inline distT="0" distB="0" distL="0" distR="0">
            <wp:extent cx="5760085" cy="3883025"/>
            <wp:effectExtent l="0" t="0" r="0" b="0"/>
            <wp:docPr id="20" name="Picture 21212882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121288200" descr=""/>
                    <pic:cNvPicPr>
                      <a:picLocks noChangeAspect="1" noChangeArrowheads="1"/>
                    </pic:cNvPicPr>
                  </pic:nvPicPr>
                  <pic:blipFill>
                    <a:blip r:embed="rId16"/>
                    <a:stretch>
                      <a:fillRect/>
                    </a:stretch>
                  </pic:blipFill>
                  <pic:spPr bwMode="auto">
                    <a:xfrm>
                      <a:off x="0" y="0"/>
                      <a:ext cx="5760085" cy="3883025"/>
                    </a:xfrm>
                    <a:prstGeom prst="rect">
                      <a:avLst/>
                    </a:prstGeom>
                  </pic:spPr>
                </pic:pic>
              </a:graphicData>
            </a:graphic>
          </wp:inline>
        </w:drawing>
      </w:r>
    </w:p>
    <w:p>
      <w:pPr>
        <w:pStyle w:val="Normal"/>
        <w:jc w:val="center"/>
        <w:rPr/>
      </w:pPr>
      <w:r>
        <w:rPr>
          <w:rFonts w:eastAsia="Segoe UI" w:cs="Segoe UI" w:ascii="Segoe UI" w:hAnsi="Segoe UI"/>
          <w:i/>
          <w:color w:val="555F6D"/>
          <w:sz w:val="18"/>
        </w:rPr>
        <w:t>Month-End Close</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Aspect</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prepares; Accounting Manager approves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Key reports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Income Statement, Balance Sheet, Trial Balance (Opening / Movement / Closing), Month-End Close Status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Close approval by a different user (</w:t>
            </w:r>
            <w:r>
              <w:rPr>
                <w:rFonts w:eastAsia="Consolas" w:cs="Consolas" w:ascii="Consolas" w:hAnsi="Consolas"/>
                <w:color w:val="101820"/>
                <w:kern w:val="0"/>
                <w:sz w:val="16"/>
                <w:szCs w:val="24"/>
                <w:lang w:val="en-US" w:eastAsia="ja-JP" w:bidi="ar-SA"/>
              </w:rPr>
              <w:t>accounting.period_close_requires_approval</w:t>
            </w:r>
            <w:r>
              <w:rPr>
                <w:rFonts w:eastAsia="Segoe UI" w:cs="Segoe UI" w:ascii="Segoe UI" w:hAnsi="Segoe UI"/>
                <w:color w:val="101820"/>
                <w:kern w:val="0"/>
                <w:sz w:val="18"/>
                <w:szCs w:val="24"/>
                <w:lang w:val="en-US" w:eastAsia="ja-JP" w:bidi="ar-SA"/>
              </w:rPr>
              <w:t>); postings in soft-closed periods only by the Accounting Manager; reopening needs remarks and is recorded</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Scheduled jobs for recurring journals, accrual reversal, period soft-close and close reminders (delivered switched off)</w:t>
            </w:r>
          </w:p>
        </w:tc>
      </w:tr>
    </w:tbl>
    <w:p>
      <w:pPr>
        <w:pStyle w:val="Normal"/>
        <w:spacing w:before="0" w:after="80"/>
        <w:rPr/>
      </w:pPr>
      <w:r>
        <w:rPr/>
      </w:r>
    </w:p>
    <w:p>
      <w:pPr>
        <w:pStyle w:val="Heading2"/>
        <w:rPr/>
      </w:pPr>
      <w:bookmarkStart w:id="32" w:name="__RefHeading___Toc7898_1338352368"/>
      <w:bookmarkEnd w:id="32"/>
      <w:r>
        <w:rPr>
          <w:rFonts w:eastAsia="Segoe UI" w:cs="Segoe UI"/>
          <w:b/>
          <w:color w:val="0F4761"/>
          <w:sz w:val="26"/>
        </w:rPr>
        <w:t>5.18  Bank reconciliation</w:t>
      </w:r>
    </w:p>
    <w:p>
      <w:pPr>
        <w:pStyle w:val="Normal"/>
        <w:spacing w:lineRule="auto" w:line="276" w:before="0" w:after="120"/>
        <w:rPr/>
      </w:pPr>
      <w:r>
        <w:rPr>
          <w:rFonts w:eastAsia="Segoe UI" w:cs="Segoe UI" w:ascii="Segoe UI" w:hAnsi="Segoe UI"/>
          <w:b/>
          <w:color w:val="101820"/>
          <w:sz w:val="21"/>
        </w:rPr>
        <w:t>What it does.</w:t>
      </w:r>
      <w:r>
        <w:rPr>
          <w:rFonts w:eastAsia="Segoe UI" w:cs="Segoe UI" w:ascii="Segoe UI" w:hAnsi="Segoe UI"/>
          <w:color w:val="101820"/>
          <w:sz w:val="21"/>
        </w:rPr>
        <w:t xml:space="preserve"> Matches each bank statement with the cash account in the ledger, posts bank items not yet in the books and produces the monthly reconciliation statement.</w:t>
      </w:r>
    </w:p>
    <w:p>
      <w:pPr>
        <w:pStyle w:val="Normal"/>
        <w:numPr>
          <w:ilvl w:val="0"/>
          <w:numId w:val="1"/>
        </w:numPr>
        <w:spacing w:before="0" w:after="60"/>
        <w:rPr/>
      </w:pPr>
      <w:r>
        <w:rPr>
          <w:rFonts w:eastAsia="Segoe UI" w:cs="Segoe UI" w:ascii="Segoe UI" w:hAnsi="Segoe UI"/>
          <w:color w:val="101820"/>
          <w:sz w:val="21"/>
        </w:rPr>
        <w:t>Statement import (CSV or XLSX) with formats BDO-SAMPLE, BPI-SAMPLE, MBT-SAMPLE and GENERIC, or entry by hand; balanced statement check; duplicate files refused.</w:t>
      </w:r>
    </w:p>
    <w:p>
      <w:pPr>
        <w:pStyle w:val="Normal"/>
        <w:numPr>
          <w:ilvl w:val="0"/>
          <w:numId w:val="1"/>
        </w:numPr>
        <w:spacing w:before="0" w:after="60"/>
        <w:rPr/>
      </w:pPr>
      <w:r>
        <w:rPr>
          <w:rFonts w:eastAsia="Segoe UI" w:cs="Segoe UI" w:ascii="Segoe UI" w:hAnsi="Segoe UI"/>
          <w:color w:val="101820"/>
          <w:sz w:val="21"/>
        </w:rPr>
        <w:t>Auto-match with six rules (adjustment journals, reversals, amount and reference, amount and date window, one-to-many, many-to-one) and manual matching with treatment of differences.</w:t>
      </w:r>
    </w:p>
    <w:p>
      <w:pPr>
        <w:pStyle w:val="Normal"/>
        <w:numPr>
          <w:ilvl w:val="0"/>
          <w:numId w:val="1"/>
        </w:numPr>
        <w:spacing w:before="0" w:after="60"/>
        <w:rPr/>
      </w:pPr>
      <w:r>
        <w:rPr>
          <w:rFonts w:eastAsia="Segoe UI" w:cs="Segoe UI" w:ascii="Segoe UI" w:hAnsi="Segoe UI"/>
          <w:color w:val="101820"/>
          <w:sz w:val="21"/>
        </w:rPr>
        <w:t>Create adjustment from a bank line using bank transaction types (charges, interest, final tax, returned cheque, direct credits); stale cheques after 180 days.</w:t>
      </w:r>
    </w:p>
    <w:p>
      <w:pPr>
        <w:pStyle w:val="Normal"/>
        <w:numPr>
          <w:ilvl w:val="0"/>
          <w:numId w:val="1"/>
        </w:numPr>
        <w:spacing w:before="0" w:after="60"/>
        <w:rPr/>
      </w:pPr>
      <w:r>
        <w:rPr>
          <w:rFonts w:eastAsia="Segoe UI" w:cs="Segoe UI" w:ascii="Segoe UI" w:hAnsi="Segoe UI"/>
          <w:color w:val="101820"/>
          <w:sz w:val="21"/>
        </w:rPr>
        <w:t>Reconciliation (BRC-) prepared, approved and locked; reopen with remarks.</w:t>
      </w:r>
    </w:p>
    <w:p>
      <w:pPr>
        <w:pStyle w:val="Normal"/>
        <w:jc w:val="center"/>
        <w:rPr/>
      </w:pPr>
      <w:r>
        <w:rPr/>
        <w:drawing>
          <wp:inline distT="0" distB="0" distL="0" distR="0">
            <wp:extent cx="5760085" cy="4469130"/>
            <wp:effectExtent l="0" t="0" r="0" b="0"/>
            <wp:docPr id="21" name="Picture 21212882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21288201" descr=""/>
                    <pic:cNvPicPr>
                      <a:picLocks noChangeAspect="1" noChangeArrowheads="1"/>
                    </pic:cNvPicPr>
                  </pic:nvPicPr>
                  <pic:blipFill>
                    <a:blip r:embed="rId17"/>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Bank Reconciliation workspace</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Aspect</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Philippine specifics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Layouts of BDO, BPI and Metrobank exports; returned cheques (DAIF, DAUD) cancel the receipt and reopen the bill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prepares; Accounting Manager approves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Key reports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Reconciliation Statement, Outstanding Cheques, Deposits in Transit, Unmatched Bank Lines, Bank Book</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Approver differs from preparer; month-end checklist looks for an approved reconciliation of each active account</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statement files; no bank API</w:t>
            </w:r>
          </w:p>
        </w:tc>
      </w:tr>
    </w:tbl>
    <w:p>
      <w:pPr>
        <w:pStyle w:val="Normal"/>
        <w:spacing w:before="0" w:after="80"/>
        <w:rPr/>
      </w:pPr>
      <w:r>
        <w:rPr/>
      </w:r>
    </w:p>
    <w:p>
      <w:pPr>
        <w:pStyle w:val="Heading2"/>
        <w:rPr/>
      </w:pPr>
      <w:bookmarkStart w:id="33" w:name="__RefHeading___Toc7900_1338352368"/>
      <w:bookmarkEnd w:id="33"/>
      <w:r>
        <w:rPr>
          <w:rFonts w:eastAsia="Segoe UI" w:cs="Segoe UI"/>
          <w:b/>
          <w:color w:val="0F4761"/>
          <w:sz w:val="26"/>
        </w:rPr>
        <w:t>5.19  Insurer reconciliation</w:t>
      </w:r>
    </w:p>
    <w:p>
      <w:pPr>
        <w:pStyle w:val="Normal"/>
        <w:spacing w:lineRule="auto" w:line="276" w:before="0" w:after="120"/>
        <w:rPr/>
      </w:pPr>
      <w:r>
        <w:rPr>
          <w:rFonts w:eastAsia="Segoe UI" w:cs="Segoe UI" w:ascii="Segoe UI" w:hAnsi="Segoe UI"/>
          <w:b/>
          <w:color w:val="101820"/>
          <w:sz w:val="21"/>
        </w:rPr>
        <w:t>What it does.</w:t>
      </w:r>
      <w:r>
        <w:rPr>
          <w:rFonts w:eastAsia="Segoe UI" w:cs="Segoe UI" w:ascii="Segoe UI" w:hAnsi="Segoe UI"/>
          <w:color w:val="101820"/>
          <w:sz w:val="21"/>
        </w:rPr>
        <w:t xml:space="preserve"> Imports insurers' statements of account and matches them with the broker's remittances, debit notes and policies.</w:t>
      </w:r>
    </w:p>
    <w:p>
      <w:pPr>
        <w:pStyle w:val="Normal"/>
        <w:numPr>
          <w:ilvl w:val="0"/>
          <w:numId w:val="1"/>
        </w:numPr>
        <w:spacing w:before="0" w:after="60"/>
        <w:rPr/>
      </w:pPr>
      <w:r>
        <w:rPr>
          <w:rFonts w:eastAsia="Segoe UI" w:cs="Segoe UI" w:ascii="Segoe UI" w:hAnsi="Segoe UI"/>
          <w:color w:val="101820"/>
          <w:sz w:val="21"/>
        </w:rPr>
        <w:t>Statement types: premium remittance confirmations (broker-billed premium the insurer received) and commission statements (direct-bill commission the insurer recognises).</w:t>
      </w:r>
    </w:p>
    <w:p>
      <w:pPr>
        <w:pStyle w:val="Normal"/>
        <w:numPr>
          <w:ilvl w:val="0"/>
          <w:numId w:val="1"/>
        </w:numPr>
        <w:spacing w:before="0" w:after="60"/>
        <w:rPr/>
      </w:pPr>
      <w:r>
        <w:rPr>
          <w:rFonts w:eastAsia="Segoe UI" w:cs="Segoe UI" w:ascii="Segoe UI" w:hAnsi="Segoe UI"/>
          <w:color w:val="101820"/>
          <w:sz w:val="21"/>
        </w:rPr>
        <w:t>Insurer Statement Formats map each insurer's CSV or XLSX columns.</w:t>
      </w:r>
    </w:p>
    <w:p>
      <w:pPr>
        <w:pStyle w:val="Normal"/>
        <w:numPr>
          <w:ilvl w:val="0"/>
          <w:numId w:val="1"/>
        </w:numPr>
        <w:spacing w:before="0" w:after="60"/>
        <w:rPr/>
      </w:pPr>
      <w:r>
        <w:rPr>
          <w:rFonts w:eastAsia="Segoe UI" w:cs="Segoe UI" w:ascii="Segoe UI" w:hAnsi="Segoe UI"/>
          <w:color w:val="101820"/>
          <w:sz w:val="21"/>
        </w:rPr>
        <w:t>Matching per line, resolutions with adjustment journals, approval of the reconciliation.</w:t>
      </w:r>
    </w:p>
    <w:p>
      <w:pPr>
        <w:pStyle w:val="Normal"/>
        <w:numPr>
          <w:ilvl w:val="0"/>
          <w:numId w:val="1"/>
        </w:numPr>
        <w:spacing w:before="0" w:after="60"/>
        <w:rPr/>
      </w:pPr>
      <w:r>
        <w:rPr>
          <w:rFonts w:eastAsia="Segoe UI" w:cs="Segoe UI" w:ascii="Segoe UI" w:hAnsi="Segoe UI"/>
          <w:color w:val="101820"/>
          <w:sz w:val="21"/>
        </w:rPr>
        <w:t>Differences report with the insurer's and the broker's premium, commission and amount side by side.</w:t>
      </w:r>
    </w:p>
    <w:p>
      <w:pPr>
        <w:pStyle w:val="Normal"/>
        <w:jc w:val="center"/>
        <w:rPr/>
      </w:pPr>
      <w:r>
        <w:rPr/>
        <w:drawing>
          <wp:inline distT="0" distB="0" distL="0" distR="0">
            <wp:extent cx="5760085" cy="4295140"/>
            <wp:effectExtent l="0" t="0" r="0" b="0"/>
            <wp:docPr id="22" name="Picture 21212882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21288202" descr=""/>
                    <pic:cNvPicPr>
                      <a:picLocks noChangeAspect="1" noChangeArrowheads="1"/>
                    </pic:cNvPicPr>
                  </pic:nvPicPr>
                  <pic:blipFill>
                    <a:blip r:embed="rId18"/>
                    <a:stretch>
                      <a:fillRect/>
                    </a:stretch>
                  </pic:blipFill>
                  <pic:spPr bwMode="auto">
                    <a:xfrm>
                      <a:off x="0" y="0"/>
                      <a:ext cx="5760085" cy="4295140"/>
                    </a:xfrm>
                    <a:prstGeom prst="rect">
                      <a:avLst/>
                    </a:prstGeom>
                  </pic:spPr>
                </pic:pic>
              </a:graphicData>
            </a:graphic>
          </wp:inline>
        </w:drawing>
      </w:r>
    </w:p>
    <w:p>
      <w:pPr>
        <w:pStyle w:val="Normal"/>
        <w:jc w:val="center"/>
        <w:rPr/>
      </w:pPr>
      <w:r>
        <w:rPr>
          <w:rFonts w:eastAsia="Segoe UI" w:cs="Segoe UI" w:ascii="Segoe UI" w:hAnsi="Segoe UI"/>
          <w:i/>
          <w:color w:val="555F6D"/>
          <w:sz w:val="18"/>
        </w:rPr>
        <w:t>Insurer Statements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Aspect</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Accounting Manager approves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Key reports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statement differences report</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Approval of insurer reconciliations by the Accounting Manager; adjustment journals through posting rules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statement files; no insurer API</w:t>
            </w:r>
          </w:p>
        </w:tc>
      </w:tr>
    </w:tbl>
    <w:p>
      <w:pPr>
        <w:pStyle w:val="Normal"/>
        <w:spacing w:before="0" w:after="80"/>
        <w:rPr/>
      </w:pPr>
      <w:r>
        <w:rPr/>
      </w:r>
    </w:p>
    <w:p>
      <w:pPr>
        <w:pStyle w:val="Heading2"/>
        <w:rPr/>
      </w:pPr>
      <w:bookmarkStart w:id="34" w:name="__RefHeading___Toc7902_1338352368"/>
      <w:bookmarkEnd w:id="34"/>
      <w:r>
        <w:rPr>
          <w:rFonts w:eastAsia="Segoe UI" w:cs="Segoe UI"/>
          <w:b/>
          <w:color w:val="0F4761"/>
          <w:sz w:val="26"/>
        </w:rPr>
        <w:t>5.20  BIR tax</w:t>
      </w:r>
    </w:p>
    <w:p>
      <w:pPr>
        <w:pStyle w:val="Normal"/>
        <w:spacing w:lineRule="auto" w:line="276" w:before="0" w:after="120"/>
        <w:rPr/>
      </w:pPr>
      <w:r>
        <w:rPr>
          <w:rFonts w:eastAsia="Segoe UI" w:cs="Segoe UI" w:ascii="Segoe UI" w:hAnsi="Segoe UI"/>
          <w:b/>
          <w:color w:val="101820"/>
          <w:sz w:val="21"/>
        </w:rPr>
        <w:t>What it does.</w:t>
      </w:r>
      <w:r>
        <w:rPr>
          <w:rFonts w:eastAsia="Segoe UI" w:cs="Segoe UI" w:ascii="Segoe UI" w:hAnsi="Segoe UI"/>
          <w:color w:val="101820"/>
          <w:sz w:val="21"/>
        </w:rPr>
        <w:t xml:space="preserve"> Prepares the BIR forms and working papers from the ledger.</w:t>
      </w:r>
    </w:p>
    <w:p>
      <w:pPr>
        <w:pStyle w:val="Normal"/>
        <w:numPr>
          <w:ilvl w:val="0"/>
          <w:numId w:val="1"/>
        </w:numPr>
        <w:spacing w:before="0" w:after="60"/>
        <w:rPr/>
      </w:pPr>
      <w:r>
        <w:rPr>
          <w:rFonts w:eastAsia="Segoe UI" w:cs="Segoe UI" w:ascii="Segoe UI" w:hAnsi="Segoe UI"/>
          <w:color w:val="101820"/>
          <w:sz w:val="21"/>
        </w:rPr>
        <w:t>BIR Form 2307: Issued by us (tax withheld on payments to agents, referrers and suppliers) and Received (tax withheld by insurers and clients); certificates per payee and quarter numbered from the CWT series, printed on the BIR layout; cancel with a reason.</w:t>
      </w:r>
    </w:p>
    <w:p>
      <w:pPr>
        <w:pStyle w:val="Normal"/>
        <w:numPr>
          <w:ilvl w:val="0"/>
          <w:numId w:val="1"/>
        </w:numPr>
        <w:spacing w:before="0" w:after="60"/>
        <w:rPr/>
      </w:pPr>
      <w:r>
        <w:rPr>
          <w:rFonts w:eastAsia="Segoe UI" w:cs="Segoe UI" w:ascii="Segoe UI" w:hAnsi="Segoe UI"/>
          <w:color w:val="101820"/>
          <w:sz w:val="21"/>
        </w:rPr>
        <w:t>VAT Summary: vatable revenue, output VAT, input VAT and net VAT payable per month or quarter, the working paper for the VAT return.</w:t>
      </w:r>
    </w:p>
    <w:p>
      <w:pPr>
        <w:pStyle w:val="Normal"/>
        <w:numPr>
          <w:ilvl w:val="0"/>
          <w:numId w:val="1"/>
        </w:numPr>
        <w:spacing w:before="0" w:after="60"/>
        <w:rPr/>
      </w:pPr>
      <w:r>
        <w:rPr>
          <w:rFonts w:eastAsia="Segoe UI" w:cs="Segoe UI" w:ascii="Segoe UI" w:hAnsi="Segoe UI"/>
          <w:color w:val="101820"/>
          <w:sz w:val="21"/>
        </w:rPr>
        <w:t>SAWT, QAP, SLSP Sales and SLSP Purchases in the BIR column order, as CSV, Excel or PDF.</w:t>
      </w:r>
    </w:p>
    <w:p>
      <w:pPr>
        <w:pStyle w:val="Normal"/>
        <w:numPr>
          <w:ilvl w:val="0"/>
          <w:numId w:val="1"/>
        </w:numPr>
        <w:spacing w:before="0" w:after="60"/>
        <w:rPr/>
      </w:pPr>
      <w:r>
        <w:rPr>
          <w:rFonts w:eastAsia="Segoe UI" w:cs="Segoe UI" w:ascii="Segoe UI" w:hAnsi="Segoe UI"/>
          <w:color w:val="101820"/>
          <w:sz w:val="21"/>
        </w:rPr>
        <w:t>Tax codes (Master &gt; Finance &gt; Taxation): VAT output and input 12%, zero-rated, exempt, expanded withholding with ATC (for example WI139, WC139, WI515), final withholding, DST, LGT, premium taxes, each with rate, GL account and effective date.</w:t>
      </w:r>
    </w:p>
    <w:p>
      <w:pPr>
        <w:pStyle w:val="Normal"/>
        <w:jc w:val="center"/>
        <w:rPr/>
      </w:pPr>
      <w:r>
        <w:rPr/>
        <w:drawing>
          <wp:inline distT="0" distB="0" distL="0" distR="0">
            <wp:extent cx="5760085" cy="3257550"/>
            <wp:effectExtent l="0" t="0" r="0" b="0"/>
            <wp:docPr id="23" name="Picture 21212882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121288203" descr=""/>
                    <pic:cNvPicPr>
                      <a:picLocks noChangeAspect="1" noChangeArrowheads="1"/>
                    </pic:cNvPicPr>
                  </pic:nvPicPr>
                  <pic:blipFill>
                    <a:blip r:embed="rId19"/>
                    <a:stretch>
                      <a:fillRect/>
                    </a:stretch>
                  </pic:blipFill>
                  <pic:spPr bwMode="auto">
                    <a:xfrm>
                      <a:off x="0" y="0"/>
                      <a:ext cx="5760085" cy="3257550"/>
                    </a:xfrm>
                    <a:prstGeom prst="rect">
                      <a:avLst/>
                    </a:prstGeom>
                  </pic:spPr>
                </pic:pic>
              </a:graphicData>
            </a:graphic>
          </wp:inline>
        </w:drawing>
      </w:r>
    </w:p>
    <w:p>
      <w:pPr>
        <w:pStyle w:val="Normal"/>
        <w:jc w:val="center"/>
        <w:rPr/>
      </w:pPr>
      <w:r>
        <w:rPr>
          <w:rFonts w:eastAsia="Segoe UI" w:cs="Segoe UI" w:ascii="Segoe UI" w:hAnsi="Segoe UI"/>
          <w:i/>
          <w:color w:val="555F6D"/>
          <w:sz w:val="18"/>
        </w:rPr>
        <w:t>BIR Form 2307</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Aspect</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Philippine specifics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All of the above; BIR settings for the withholding agent's TIN, registered name and address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Accounting Manager</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Key reports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VAT Summary, SAWT, QAP, SLSP Sales, SLSP Purchases, BIR Form 2307 register</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Certificates kept and cancelled with a reason, not deleted</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Files for validation in the BIR tools; the system does not file returns</w:t>
            </w:r>
          </w:p>
        </w:tc>
      </w:tr>
    </w:tbl>
    <w:p>
      <w:pPr>
        <w:pStyle w:val="Normal"/>
        <w:spacing w:before="0" w:after="80"/>
        <w:rPr/>
      </w:pPr>
      <w:r>
        <w:rPr/>
      </w:r>
    </w:p>
    <w:p>
      <w:pPr>
        <w:pStyle w:val="Heading2"/>
        <w:rPr/>
      </w:pPr>
      <w:bookmarkStart w:id="35" w:name="__RefHeading___Toc7904_1338352368"/>
      <w:bookmarkEnd w:id="35"/>
      <w:r>
        <w:rPr>
          <w:rFonts w:eastAsia="Segoe UI" w:cs="Segoe UI"/>
          <w:b/>
          <w:color w:val="0F4761"/>
          <w:sz w:val="26"/>
        </w:rPr>
        <w:t>5.21  Reinsurance</w:t>
      </w:r>
    </w:p>
    <w:p>
      <w:pPr>
        <w:pStyle w:val="Normal"/>
        <w:spacing w:lineRule="auto" w:line="276" w:before="0" w:after="120"/>
        <w:rPr/>
      </w:pPr>
      <w:r>
        <w:rPr>
          <w:rFonts w:eastAsia="Segoe UI" w:cs="Segoe UI" w:ascii="Segoe UI" w:hAnsi="Segoe UI"/>
          <w:b/>
          <w:color w:val="101820"/>
          <w:sz w:val="21"/>
        </w:rPr>
        <w:t>What it does.</w:t>
      </w:r>
      <w:r>
        <w:rPr>
          <w:rFonts w:eastAsia="Segoe UI" w:cs="Segoe UI" w:ascii="Segoe UI" w:hAnsi="Segoe UI"/>
          <w:color w:val="101820"/>
          <w:sz w:val="21"/>
        </w:rPr>
        <w:t xml:space="preserve"> Records the treaties that protect large risks, the cessions under them, recoveries on claims and the reconciliation of reinsurer statements.</w:t>
      </w:r>
    </w:p>
    <w:p>
      <w:pPr>
        <w:pStyle w:val="Normal"/>
        <w:numPr>
          <w:ilvl w:val="0"/>
          <w:numId w:val="1"/>
        </w:numPr>
        <w:spacing w:before="0" w:after="60"/>
        <w:rPr/>
      </w:pPr>
      <w:r>
        <w:rPr>
          <w:rFonts w:eastAsia="Segoe UI" w:cs="Segoe UI" w:ascii="Segoe UI" w:hAnsi="Segoe UI"/>
          <w:color w:val="101820"/>
          <w:sz w:val="21"/>
        </w:rPr>
        <w:t>Treaty master: quota share, surplus, excess of loss, stop loss; reinsurers, shares and period.</w:t>
      </w:r>
    </w:p>
    <w:p>
      <w:pPr>
        <w:pStyle w:val="Normal"/>
        <w:numPr>
          <w:ilvl w:val="0"/>
          <w:numId w:val="1"/>
        </w:numPr>
        <w:spacing w:before="0" w:after="60"/>
        <w:rPr/>
      </w:pPr>
      <w:r>
        <w:rPr>
          <w:rFonts w:eastAsia="Segoe UI" w:cs="Segoe UI" w:ascii="Segoe UI" w:hAnsi="Segoe UI"/>
          <w:color w:val="101820"/>
          <w:sz w:val="21"/>
        </w:rPr>
        <w:t>Treaty Dashboard, Cession Tracking with Process Cession and Generate Bordereau, Claims Recovery, Reconciliation (variances above 1% for review), Analytics.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Aspect</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Processing Team (treaties, cessions), Claims (recoveries), Accounting (reconciliation), System Administrator (master)</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Key reports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Reinsurance Cession Register</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New treaty approved by a second user (</w:t>
            </w:r>
            <w:r>
              <w:rPr>
                <w:rFonts w:eastAsia="Consolas" w:cs="Consolas" w:ascii="Consolas" w:hAnsi="Consolas"/>
                <w:color w:val="101820"/>
                <w:kern w:val="0"/>
                <w:sz w:val="16"/>
                <w:szCs w:val="24"/>
                <w:lang w:val="en-US" w:eastAsia="ja-JP" w:bidi="ar-SA"/>
              </w:rPr>
              <w:t>reinsurance.treaty_requires_approval</w:t>
            </w:r>
            <w:r>
              <w:rPr>
                <w:rFonts w:eastAsia="Segoe UI" w:cs="Segoe UI" w:ascii="Segoe UI" w:hAnsi="Segoe UI"/>
                <w:color w:val="101820"/>
                <w:kern w:val="0"/>
                <w:sz w:val="18"/>
                <w:szCs w:val="24"/>
                <w:lang w:val="en-US" w:eastAsia="ja-JP" w:bidi="ar-SA"/>
              </w:rPr>
              <w:t>); minimum reinsurer security rating A-</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Bordereaux and reconciliation files as CSV</w:t>
            </w:r>
          </w:p>
        </w:tc>
      </w:tr>
    </w:tbl>
    <w:p>
      <w:pPr>
        <w:pStyle w:val="Normal"/>
        <w:spacing w:before="0" w:after="80"/>
        <w:rPr/>
      </w:pPr>
      <w:r>
        <w:rPr/>
      </w:r>
    </w:p>
    <w:p>
      <w:pPr>
        <w:pStyle w:val="Heading2"/>
        <w:rPr/>
      </w:pPr>
      <w:bookmarkStart w:id="36" w:name="__RefHeading___Toc7906_1338352368"/>
      <w:bookmarkEnd w:id="36"/>
      <w:r>
        <w:rPr>
          <w:rFonts w:eastAsia="Segoe UI" w:cs="Segoe UI"/>
          <w:b/>
          <w:color w:val="0F4761"/>
          <w:sz w:val="26"/>
        </w:rPr>
        <w:t>5.22  Product Configurator</w:t>
      </w:r>
    </w:p>
    <w:p>
      <w:pPr>
        <w:pStyle w:val="Normal"/>
        <w:spacing w:lineRule="auto" w:line="276" w:before="0" w:after="120"/>
        <w:rPr/>
      </w:pPr>
      <w:r>
        <w:rPr>
          <w:rFonts w:eastAsia="Segoe UI" w:cs="Segoe UI" w:ascii="Segoe UI" w:hAnsi="Segoe UI"/>
          <w:b/>
          <w:color w:val="101820"/>
          <w:sz w:val="21"/>
        </w:rPr>
        <w:t>What it does.</w:t>
      </w:r>
      <w:r>
        <w:rPr>
          <w:rFonts w:eastAsia="Segoe UI" w:cs="Segoe UI" w:ascii="Segoe UI" w:hAnsi="Segoe UI"/>
          <w:color w:val="101820"/>
          <w:sz w:val="21"/>
        </w:rPr>
        <w:t xml:space="preserve"> Holds the products the broker places and the rules that price them, including the motor tariff.</w:t>
      </w:r>
    </w:p>
    <w:p>
      <w:pPr>
        <w:pStyle w:val="Normal"/>
        <w:numPr>
          <w:ilvl w:val="0"/>
          <w:numId w:val="1"/>
        </w:numPr>
        <w:spacing w:before="0" w:after="60"/>
        <w:rPr/>
      </w:pPr>
      <w:r>
        <w:rPr>
          <w:rFonts w:eastAsia="Segoe UI" w:cs="Segoe UI" w:ascii="Segoe UI" w:hAnsi="Segoe UI"/>
          <w:color w:val="101820"/>
          <w:sz w:val="21"/>
        </w:rPr>
        <w:t>Product Templates with versions and statuses (Draft, Active, Inactive, Retired); motor template MOT-003-2025 with the CTPL and Auto Passenger PA tariff per vehicle class.</w:t>
      </w:r>
    </w:p>
    <w:p>
      <w:pPr>
        <w:pStyle w:val="Normal"/>
        <w:numPr>
          <w:ilvl w:val="0"/>
          <w:numId w:val="1"/>
        </w:numPr>
        <w:spacing w:before="0" w:after="60"/>
        <w:rPr/>
      </w:pPr>
      <w:r>
        <w:rPr>
          <w:rFonts w:eastAsia="Segoe UI" w:cs="Segoe UI" w:ascii="Segoe UI" w:hAnsi="Segoe UI"/>
          <w:color w:val="101820"/>
          <w:sz w:val="21"/>
        </w:rPr>
        <w:t>Coverage Builder, Rating Engine with Test Calculator, Acceptance Rules, Document Manager, Approval Workflows, Market Mapping, Risk Mapping, Product Analytics.</w:t>
      </w:r>
    </w:p>
    <w:p>
      <w:pPr>
        <w:pStyle w:val="Normal"/>
        <w:jc w:val="center"/>
        <w:rPr/>
      </w:pPr>
      <w:r>
        <w:rPr/>
        <w:drawing>
          <wp:inline distT="0" distB="0" distL="0" distR="0">
            <wp:extent cx="5760085" cy="4469130"/>
            <wp:effectExtent l="0" t="0" r="0" b="0"/>
            <wp:docPr id="24" name="Picture 21212882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121288204" descr=""/>
                    <pic:cNvPicPr>
                      <a:picLocks noChangeAspect="1" noChangeArrowheads="1"/>
                    </pic:cNvPicPr>
                  </pic:nvPicPr>
                  <pic:blipFill>
                    <a:blip r:embed="rId20"/>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Product Templates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Aspect</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Philippine specifics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Delivered CTPL tariff per vehicle class, for example private cars PHP 610.40 (1 year) and PHP 1,660.40 (3 years), confirmed on 29 September 2026; Philippine lines of business and products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Processing Team maintains; Sales &amp; Marketing and Operations view</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Only active templates are used by the quotation screens</w:t>
            </w:r>
          </w:p>
        </w:tc>
      </w:tr>
    </w:tbl>
    <w:p>
      <w:pPr>
        <w:pStyle w:val="Normal"/>
        <w:spacing w:before="0" w:after="80"/>
        <w:rPr/>
      </w:pPr>
      <w:r>
        <w:rPr/>
      </w:r>
    </w:p>
    <w:p>
      <w:pPr>
        <w:pStyle w:val="Heading2"/>
        <w:rPr/>
      </w:pPr>
      <w:bookmarkStart w:id="37" w:name="__RefHeading___Toc7908_1338352368"/>
      <w:bookmarkEnd w:id="37"/>
      <w:r>
        <w:rPr>
          <w:rFonts w:eastAsia="Segoe UI" w:cs="Segoe UI"/>
          <w:b/>
          <w:color w:val="0F4761"/>
          <w:sz w:val="26"/>
        </w:rPr>
        <w:t>5.23  Reports</w:t>
      </w:r>
    </w:p>
    <w:p>
      <w:pPr>
        <w:pStyle w:val="Normal"/>
        <w:spacing w:lineRule="auto" w:line="276" w:before="0" w:after="120"/>
        <w:rPr/>
      </w:pPr>
      <w:r>
        <w:rPr>
          <w:rFonts w:eastAsia="Segoe UI" w:cs="Segoe UI" w:ascii="Segoe UI" w:hAnsi="Segoe UI"/>
          <w:b/>
          <w:color w:val="101820"/>
          <w:sz w:val="21"/>
        </w:rPr>
        <w:t>What it does.</w:t>
      </w:r>
      <w:r>
        <w:rPr>
          <w:rFonts w:eastAsia="Segoe UI" w:cs="Segoe UI" w:ascii="Segoe UI" w:hAnsi="Segoe UI"/>
          <w:color w:val="101820"/>
          <w:sz w:val="21"/>
        </w:rPr>
        <w:t xml:space="preserve"> Produces every report from one report screen with criteria, filters, preview and download.</w:t>
      </w:r>
    </w:p>
    <w:p>
      <w:pPr>
        <w:pStyle w:val="Normal"/>
        <w:numPr>
          <w:ilvl w:val="0"/>
          <w:numId w:val="1"/>
        </w:numPr>
        <w:spacing w:before="0" w:after="60"/>
        <w:rPr/>
      </w:pPr>
      <w:r>
        <w:rPr>
          <w:rFonts w:eastAsia="Segoe UI" w:cs="Segoe UI" w:ascii="Segoe UI" w:hAnsi="Segoe UI"/>
          <w:color w:val="101820"/>
          <w:sz w:val="21"/>
        </w:rPr>
        <w:t>39 catalogue reports: operational (11), financial (16), tax (5), reconciliation (5), management (2).</w:t>
      </w:r>
    </w:p>
    <w:p>
      <w:pPr>
        <w:pStyle w:val="Normal"/>
        <w:numPr>
          <w:ilvl w:val="0"/>
          <w:numId w:val="1"/>
        </w:numPr>
        <w:spacing w:before="0" w:after="60"/>
        <w:rPr/>
      </w:pPr>
      <w:r>
        <w:rPr>
          <w:rFonts w:eastAsia="Segoe UI" w:cs="Segoe UI" w:ascii="Segoe UI" w:hAnsi="Segoe UI"/>
          <w:color w:val="101820"/>
          <w:sz w:val="21"/>
        </w:rPr>
        <w:t>Output on screen, Excel with a parameters sheet, CSV, and PDF on the company letterhead; up to 50,000 rows per file.</w:t>
      </w:r>
    </w:p>
    <w:p>
      <w:pPr>
        <w:pStyle w:val="Normal"/>
        <w:numPr>
          <w:ilvl w:val="0"/>
          <w:numId w:val="1"/>
        </w:numPr>
        <w:spacing w:before="0" w:after="60"/>
        <w:rPr/>
      </w:pPr>
      <w:r>
        <w:rPr>
          <w:rFonts w:eastAsia="Segoe UI" w:cs="Segoe UI" w:ascii="Segoe UI" w:hAnsi="Segoe UI"/>
          <w:color w:val="101820"/>
          <w:sz w:val="21"/>
        </w:rPr>
        <w:t>Scheduled delivery by e-mail; the Daily reports job produces the Production Register, Collection Report and Claims Position every morning.</w:t>
      </w:r>
    </w:p>
    <w:p>
      <w:pPr>
        <w:pStyle w:val="Normal"/>
        <w:numPr>
          <w:ilvl w:val="0"/>
          <w:numId w:val="1"/>
        </w:numPr>
        <w:spacing w:before="0" w:after="60"/>
        <w:rPr/>
      </w:pPr>
      <w:r>
        <w:rPr>
          <w:rFonts w:eastAsia="Segoe UI" w:cs="Segoe UI" w:ascii="Segoe UI" w:hAnsi="Segoe UI"/>
          <w:color w:val="101820"/>
          <w:sz w:val="21"/>
        </w:rPr>
        <w:t>Every generated file recorded in the audit trail.</w:t>
      </w:r>
    </w:p>
    <w:p>
      <w:pPr>
        <w:pStyle w:val="Normal"/>
        <w:jc w:val="center"/>
        <w:rPr/>
      </w:pPr>
      <w:r>
        <w:rPr/>
        <w:drawing>
          <wp:inline distT="0" distB="0" distL="0" distR="0">
            <wp:extent cx="5760085" cy="4469130"/>
            <wp:effectExtent l="0" t="0" r="0" b="0"/>
            <wp:docPr id="25" name="Picture 21212882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121288205" descr=""/>
                    <pic:cNvPicPr>
                      <a:picLocks noChangeAspect="1" noChangeArrowheads="1"/>
                    </pic:cNvPicPr>
                  </pic:nvPicPr>
                  <pic:blipFill>
                    <a:blip r:embed="rId21"/>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Reports &gt; All Reports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01"/>
        <w:gridCol w:w="7313"/>
      </w:tblGrid>
      <w:tr>
        <w:trPr>
          <w:tblHeader w:val="true"/>
        </w:trPr>
        <w:tc>
          <w:tcPr>
            <w:tcW w:w="170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Group</w:t>
            </w:r>
          </w:p>
        </w:tc>
        <w:tc>
          <w:tcPr>
            <w:tcW w:w="73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Reports</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Operational</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Production Register, Claims Position, Renewal Retention, Remittance Summary, Broker Commission Statement, Claims Ageing, Lead Conversion Funnel, Placement Pipeline, Market Response, Reinsurance Cession Register, Co-insurance Register</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Financial</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SOA / Premium Receivable, Collection Report, Receivables Ageing, Commission Receivable - Direct Bill, Receipts Register, Payables / Disbursement Register, Journal Register, Trial Balance, Incentive Results, Due to Insurers by Co-insurer, Income Statement, Balance Sheet, Trial Balance (Opening / Movement / Closing), General Ledger Detail, Aged Payables to Insurers, Month-End Close Status</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Tax</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VAT Summary, SAWT, QAP, SLSP Sales, SLSP Purchases</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Reconciliation</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Reconciliation Statement, Outstanding Cheques, Deposits in Transit, Unmatched Bank Lines, Bank Book</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Management</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Premium by Product / Month / Insurer, New Business vs Renewals</w:t>
            </w:r>
          </w:p>
        </w:tc>
      </w:tr>
    </w:tbl>
    <w:p>
      <w:pPr>
        <w:pStyle w:val="Normal"/>
        <w:spacing w:before="0" w:after="80"/>
        <w:rPr/>
      </w:pPr>
      <w:r>
        <w:rPr/>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Aspect</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Each role runs the reports of its area</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read:reports</w:t>
            </w:r>
            <w:r>
              <w:rPr>
                <w:rFonts w:eastAsia="Segoe UI" w:cs="Segoe UI" w:ascii="Segoe UI" w:hAnsi="Segoe UI"/>
                <w:color w:val="101820"/>
                <w:kern w:val="0"/>
                <w:sz w:val="18"/>
                <w:szCs w:val="24"/>
                <w:lang w:val="en-US" w:eastAsia="ja-JP" w:bidi="ar-SA"/>
              </w:rPr>
              <w:t xml:space="preserve"> and role checks per report; download links valid 72 hours; generated files kept 90 days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Scheduled e-mail delivery</w:t>
            </w:r>
          </w:p>
        </w:tc>
      </w:tr>
    </w:tbl>
    <w:p>
      <w:pPr>
        <w:pStyle w:val="Normal"/>
        <w:spacing w:before="0" w:after="80"/>
        <w:rPr/>
      </w:pPr>
      <w:r>
        <w:rPr/>
      </w:r>
    </w:p>
    <w:p>
      <w:pPr>
        <w:pStyle w:val="Heading2"/>
        <w:rPr/>
      </w:pPr>
      <w:bookmarkStart w:id="38" w:name="__RefHeading___Toc7910_1338352368"/>
      <w:bookmarkEnd w:id="38"/>
      <w:r>
        <w:rPr>
          <w:rFonts w:eastAsia="Segoe UI" w:cs="Segoe UI"/>
          <w:b/>
          <w:color w:val="0F4761"/>
          <w:sz w:val="26"/>
        </w:rPr>
        <w:t>5.24  Notifications and e-mail</w:t>
      </w:r>
    </w:p>
    <w:p>
      <w:pPr>
        <w:pStyle w:val="Normal"/>
        <w:spacing w:lineRule="auto" w:line="276" w:before="0" w:after="120"/>
        <w:rPr/>
      </w:pPr>
      <w:r>
        <w:rPr>
          <w:rFonts w:eastAsia="Segoe UI" w:cs="Segoe UI" w:ascii="Segoe UI" w:hAnsi="Segoe UI"/>
          <w:b/>
          <w:color w:val="101820"/>
          <w:sz w:val="21"/>
        </w:rPr>
        <w:t>What it does.</w:t>
      </w:r>
      <w:r>
        <w:rPr>
          <w:rFonts w:eastAsia="Segoe UI" w:cs="Segoe UI" w:ascii="Segoe UI" w:hAnsi="Segoe UI"/>
          <w:color w:val="101820"/>
          <w:sz w:val="21"/>
        </w:rPr>
        <w:t xml:space="preserve"> Tells users what needs their action and sends documents to clients, insurers and staff.</w:t>
      </w:r>
    </w:p>
    <w:p>
      <w:pPr>
        <w:pStyle w:val="Normal"/>
        <w:numPr>
          <w:ilvl w:val="0"/>
          <w:numId w:val="1"/>
        </w:numPr>
        <w:spacing w:before="0" w:after="60"/>
        <w:rPr/>
      </w:pPr>
      <w:r>
        <w:rPr>
          <w:rFonts w:eastAsia="Segoe UI" w:cs="Segoe UI" w:ascii="Segoe UI" w:hAnsi="Segoe UI"/>
          <w:color w:val="101820"/>
          <w:sz w:val="21"/>
        </w:rPr>
        <w:t>In-app notifications per user with a bell and a notification page, for quotations, policy issue, billing and collection, servicing, claims, renewals, remittance and commission, reinsurance, finance and period end, and access control.</w:t>
      </w:r>
    </w:p>
    <w:p>
      <w:pPr>
        <w:pStyle w:val="Normal"/>
        <w:numPr>
          <w:ilvl w:val="0"/>
          <w:numId w:val="1"/>
        </w:numPr>
        <w:spacing w:before="0" w:after="60"/>
        <w:rPr/>
      </w:pPr>
      <w:r>
        <w:rPr>
          <w:rFonts w:eastAsia="Segoe UI" w:cs="Segoe UI" w:ascii="Segoe UI" w:hAnsi="Segoe UI"/>
          <w:color w:val="101820"/>
          <w:sz w:val="21"/>
        </w:rPr>
        <w:t xml:space="preserve">Approval notifications for every maker-checker flow: the people who can approve are told of the request, and the maker hears of the approval or rejection with the reason. One switch: </w:t>
      </w:r>
      <w:r>
        <w:rPr>
          <w:rFonts w:eastAsia="Consolas" w:cs="Consolas" w:ascii="Consolas" w:hAnsi="Consolas"/>
          <w:color w:val="101820"/>
          <w:sz w:val="19"/>
        </w:rPr>
        <w:t>notification.approval_requests</w:t>
      </w:r>
      <w:r>
        <w:rPr>
          <w:rFonts w:eastAsia="Segoe UI" w:cs="Segoe UI" w:ascii="Segoe UI" w:hAnsi="Segoe UI"/>
          <w:color w:val="101820"/>
          <w:sz w:val="21"/>
        </w:rPr>
        <w:t>.</w:t>
      </w:r>
    </w:p>
    <w:p>
      <w:pPr>
        <w:pStyle w:val="Normal"/>
        <w:numPr>
          <w:ilvl w:val="0"/>
          <w:numId w:val="1"/>
        </w:numPr>
        <w:spacing w:before="0" w:after="60"/>
        <w:rPr/>
      </w:pPr>
      <w:r>
        <w:rPr>
          <w:rFonts w:eastAsia="Segoe UI" w:cs="Segoe UI" w:ascii="Segoe UI" w:hAnsi="Segoe UI"/>
          <w:color w:val="101820"/>
          <w:sz w:val="21"/>
        </w:rPr>
        <w:t>E-mails to clients (quotation approval, share, policy issued, endorsement, renewal notices and reminders, payment reminder, collection follow-up, official receipt, premium invoice), to insurers and agents (quotation, broker slip, placement slip, Preliminary Loss Advice, commission debit note, remittance statements) and to staff (scheduled report, password reset code).</w:t>
      </w:r>
    </w:p>
    <w:p>
      <w:pPr>
        <w:pStyle w:val="Normal"/>
        <w:numPr>
          <w:ilvl w:val="0"/>
          <w:numId w:val="1"/>
        </w:numPr>
        <w:spacing w:before="0" w:after="60"/>
        <w:rPr/>
      </w:pPr>
      <w:r>
        <w:rPr>
          <w:rFonts w:eastAsia="Segoe UI" w:cs="Segoe UI" w:ascii="Segoe UI" w:hAnsi="Segoe UI"/>
          <w:color w:val="101820"/>
          <w:sz w:val="21"/>
        </w:rPr>
        <w:t xml:space="preserve">Attachments generated as PDF when the message is sent: official receipt, premium invoice, commission debit note, policy schedule; size guard </w:t>
      </w:r>
      <w:r>
        <w:rPr>
          <w:rFonts w:eastAsia="Consolas" w:cs="Consolas" w:ascii="Consolas" w:hAnsi="Consolas"/>
          <w:color w:val="101820"/>
          <w:sz w:val="19"/>
        </w:rPr>
        <w:t>email.max_attachment_mb</w:t>
      </w:r>
      <w:r>
        <w:rPr>
          <w:rFonts w:eastAsia="Segoe UI" w:cs="Segoe UI" w:ascii="Segoe UI" w:hAnsi="Segoe UI"/>
          <w:color w:val="101820"/>
          <w:sz w:val="21"/>
        </w:rPr>
        <w:t>.</w:t>
      </w:r>
    </w:p>
    <w:p>
      <w:pPr>
        <w:pStyle w:val="Normal"/>
        <w:numPr>
          <w:ilvl w:val="0"/>
          <w:numId w:val="1"/>
        </w:numPr>
        <w:spacing w:before="0" w:after="60"/>
        <w:rPr/>
      </w:pPr>
      <w:r>
        <w:rPr>
          <w:rFonts w:eastAsia="Segoe UI" w:cs="Segoe UI" w:ascii="Segoe UI" w:hAnsi="Segoe UI"/>
          <w:color w:val="101820"/>
          <w:sz w:val="21"/>
        </w:rPr>
        <w:t>E-mail Outbox shows every queued message with status, attempts and attachment names; failed messages can be retried.</w:t>
      </w:r>
    </w:p>
    <w:p>
      <w:pPr>
        <w:pStyle w:val="Normal"/>
        <w:jc w:val="center"/>
        <w:rPr/>
      </w:pPr>
      <w:r>
        <w:rPr/>
        <w:drawing>
          <wp:inline distT="0" distB="0" distL="0" distR="0">
            <wp:extent cx="5760085" cy="4469130"/>
            <wp:effectExtent l="0" t="0" r="0" b="0"/>
            <wp:docPr id="26" name="Picture 21212882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121288206" descr=""/>
                    <pic:cNvPicPr>
                      <a:picLocks noChangeAspect="1" noChangeArrowheads="1"/>
                    </pic:cNvPicPr>
                  </pic:nvPicPr>
                  <pic:blipFill>
                    <a:blip r:embed="rId22"/>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E-mail Outbox</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Aspect</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role receives notifications; System Administrator manages templates and the outbox</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sending off until "Send e-mails" is switched on; templates with merge fields in Master &gt; Configuration</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SMTP mailbox (for example Office 365 on port 587 with STARTTLS); queue sent every 5 minutes, up to 5 attempts</w:t>
            </w:r>
          </w:p>
        </w:tc>
      </w:tr>
    </w:tbl>
    <w:p>
      <w:pPr>
        <w:pStyle w:val="Normal"/>
        <w:spacing w:before="0" w:after="80"/>
        <w:rPr/>
      </w:pPr>
      <w:r>
        <w:rPr/>
      </w:r>
    </w:p>
    <w:p>
      <w:pPr>
        <w:pStyle w:val="Heading2"/>
        <w:rPr/>
      </w:pPr>
      <w:bookmarkStart w:id="39" w:name="__RefHeading___Toc7912_1338352368"/>
      <w:bookmarkEnd w:id="39"/>
      <w:r>
        <w:rPr>
          <w:rFonts w:eastAsia="Segoe UI" w:cs="Segoe UI"/>
          <w:b/>
          <w:color w:val="0F4761"/>
          <w:sz w:val="26"/>
        </w:rPr>
        <w:t>5.25  Data privacy</w:t>
      </w:r>
    </w:p>
    <w:p>
      <w:pPr>
        <w:pStyle w:val="Normal"/>
        <w:spacing w:lineRule="auto" w:line="276" w:before="0" w:after="120"/>
        <w:rPr/>
      </w:pPr>
      <w:r>
        <w:rPr>
          <w:rFonts w:eastAsia="Segoe UI" w:cs="Segoe UI" w:ascii="Segoe UI" w:hAnsi="Segoe UI"/>
          <w:b/>
          <w:color w:val="101820"/>
          <w:sz w:val="21"/>
        </w:rPr>
        <w:t>What it does.</w:t>
      </w:r>
      <w:r>
        <w:rPr>
          <w:rFonts w:eastAsia="Segoe UI" w:cs="Segoe UI" w:ascii="Segoe UI" w:hAnsi="Segoe UI"/>
          <w:color w:val="101820"/>
          <w:sz w:val="21"/>
        </w:rPr>
        <w:t xml:space="preserve"> Supports the broker's obligations under the Data Privacy Act: consent, data subject requests, access and portability, and erasure once records no longer have to be kept.</w:t>
      </w:r>
    </w:p>
    <w:p>
      <w:pPr>
        <w:pStyle w:val="Normal"/>
        <w:numPr>
          <w:ilvl w:val="0"/>
          <w:numId w:val="1"/>
        </w:numPr>
        <w:spacing w:before="0" w:after="60"/>
        <w:rPr/>
      </w:pPr>
      <w:r>
        <w:rPr>
          <w:rFonts w:eastAsia="Segoe UI" w:cs="Segoe UI" w:ascii="Segoe UI" w:hAnsi="Segoe UI"/>
          <w:color w:val="101820"/>
          <w:sz w:val="21"/>
        </w:rPr>
        <w:t>Consent per purpose for each client and prospect: processing (privacy notice acknowledged), marketing, and sharing with insurers and reinsurers for placement and claims; granted or refused, channel (Form, E-mail, Phone, Portal, In person), notice version (</w:t>
      </w:r>
      <w:r>
        <w:rPr>
          <w:rFonts w:eastAsia="Consolas" w:cs="Consolas" w:ascii="Consolas" w:hAnsi="Consolas"/>
          <w:color w:val="101820"/>
          <w:sz w:val="19"/>
        </w:rPr>
        <w:t>privacy.notice_version</w:t>
      </w:r>
      <w:r>
        <w:rPr>
          <w:rFonts w:eastAsia="Segoe UI" w:cs="Segoe UI" w:ascii="Segoe UI" w:hAnsi="Segoe UI"/>
          <w:color w:val="101820"/>
          <w:sz w:val="21"/>
        </w:rPr>
        <w:t>) and evidence. A withdrawal is stamped on the record it ends; the history is never deleted.</w:t>
      </w:r>
    </w:p>
    <w:p>
      <w:pPr>
        <w:pStyle w:val="Normal"/>
        <w:numPr>
          <w:ilvl w:val="0"/>
          <w:numId w:val="1"/>
        </w:numPr>
        <w:spacing w:before="0" w:after="60"/>
        <w:rPr/>
      </w:pPr>
      <w:r>
        <w:rPr>
          <w:rFonts w:eastAsia="Segoe UI" w:cs="Segoe UI" w:ascii="Segoe UI" w:hAnsi="Segoe UI"/>
          <w:color w:val="101820"/>
          <w:sz w:val="21"/>
        </w:rPr>
        <w:t>Consent Register across clients and prospects with filters by purpose, status, channel and dates.</w:t>
      </w:r>
    </w:p>
    <w:p>
      <w:pPr>
        <w:pStyle w:val="Normal"/>
        <w:numPr>
          <w:ilvl w:val="0"/>
          <w:numId w:val="1"/>
        </w:numPr>
        <w:spacing w:before="0" w:after="60"/>
        <w:rPr/>
      </w:pPr>
      <w:r>
        <w:rPr>
          <w:rFonts w:eastAsia="Segoe UI" w:cs="Segoe UI" w:ascii="Segoe UI" w:hAnsi="Segoe UI"/>
          <w:color w:val="101820"/>
          <w:sz w:val="21"/>
        </w:rPr>
        <w:t xml:space="preserve">Data Subject Requests register (DSR-): access, rectification, erasure or blocking, objection, portability and withdrawal of consent; due date from </w:t>
      </w:r>
      <w:r>
        <w:rPr>
          <w:rFonts w:eastAsia="Consolas" w:cs="Consolas" w:ascii="Consolas" w:hAnsi="Consolas"/>
          <w:color w:val="101820"/>
          <w:sz w:val="19"/>
        </w:rPr>
        <w:t>privacy.request_due_days</w:t>
      </w:r>
      <w:r>
        <w:rPr>
          <w:rFonts w:eastAsia="Segoe UI" w:cs="Segoe UI" w:ascii="Segoe UI" w:hAnsi="Segoe UI"/>
          <w:color w:val="101820"/>
          <w:sz w:val="21"/>
        </w:rPr>
        <w:t xml:space="preserve"> (15 calendar days); statuses open, in progress, completed, rejected; assignee and outcome.</w:t>
      </w:r>
    </w:p>
    <w:p>
      <w:pPr>
        <w:pStyle w:val="Normal"/>
        <w:numPr>
          <w:ilvl w:val="0"/>
          <w:numId w:val="1"/>
        </w:numPr>
        <w:spacing w:before="0" w:after="60"/>
        <w:rPr/>
      </w:pPr>
      <w:r>
        <w:rPr>
          <w:rFonts w:eastAsia="Segoe UI" w:cs="Segoe UI" w:ascii="Segoe UI" w:hAnsi="Segoe UI"/>
          <w:color w:val="101820"/>
          <w:sz w:val="21"/>
        </w:rPr>
        <w:t>Personal data export of a client or prospect, as JSON or Excel, noted on the request it answers.</w:t>
      </w:r>
    </w:p>
    <w:p>
      <w:pPr>
        <w:pStyle w:val="Normal"/>
        <w:numPr>
          <w:ilvl w:val="0"/>
          <w:numId w:val="1"/>
        </w:numPr>
        <w:spacing w:before="0" w:after="60"/>
        <w:rPr/>
      </w:pPr>
      <w:r>
        <w:rPr>
          <w:rFonts w:eastAsia="Segoe UI" w:cs="Segoe UI" w:ascii="Segoe UI" w:hAnsi="Segoe UI"/>
          <w:color w:val="101820"/>
          <w:sz w:val="21"/>
        </w:rPr>
        <w:t>Anonymisation of a client or prospect with a dry run first: personal fields are overwritten in the party, its prospects, policies, quotations, claims and slips, while amounts, numbers and dates stay for the books.</w:t>
      </w:r>
    </w:p>
    <w:p>
      <w:pPr>
        <w:pStyle w:val="Normal"/>
        <w:numPr>
          <w:ilvl w:val="0"/>
          <w:numId w:val="1"/>
        </w:numPr>
        <w:spacing w:before="0" w:after="60"/>
        <w:rPr/>
      </w:pPr>
      <w:r>
        <w:rPr>
          <w:rFonts w:eastAsia="Segoe UI" w:cs="Segoe UI" w:ascii="Segoe UI" w:hAnsi="Segoe UI"/>
          <w:color w:val="101820"/>
          <w:sz w:val="21"/>
        </w:rPr>
        <w:t>Overdue request reminder job (delivered switched off) notifies the data privacy team.</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Aspect</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Philippine specifics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Privacy Act of 2012 and NPC rules; retention of insurance and tax records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System Administrator and Operations hold the privacy permissions (</w:t>
            </w:r>
            <w:r>
              <w:rPr>
                <w:rFonts w:eastAsia="Consolas" w:cs="Consolas" w:ascii="Consolas" w:hAnsi="Consolas"/>
                <w:color w:val="101820"/>
                <w:kern w:val="0"/>
                <w:sz w:val="16"/>
                <w:szCs w:val="24"/>
                <w:lang w:val="en-US" w:eastAsia="ja-JP" w:bidi="ar-SA"/>
              </w:rPr>
              <w:t>read:privacy</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write:privacy</w:t>
            </w:r>
            <w:r>
              <w:rPr>
                <w:rFonts w:eastAsia="Segoe UI" w:cs="Segoe UI" w:ascii="Segoe UI" w:hAnsi="Segoe UI"/>
                <w:color w:val="101820"/>
                <w:kern w:val="0"/>
                <w:sz w:val="18"/>
                <w:szCs w:val="24"/>
                <w:lang w:val="en-US" w:eastAsia="ja-JP" w:bidi="ar-SA"/>
              </w:rPr>
              <w:t>); the broker's DPO works the registers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Anonymisation refused while policies are in force, bills or claims are open, commission is unpaid, endorsements are open, or within </w:t>
            </w:r>
            <w:r>
              <w:rPr>
                <w:rFonts w:eastAsia="Consolas" w:cs="Consolas" w:ascii="Consolas" w:hAnsi="Consolas"/>
                <w:color w:val="101820"/>
                <w:kern w:val="0"/>
                <w:sz w:val="16"/>
                <w:szCs w:val="24"/>
                <w:lang w:val="en-US" w:eastAsia="ja-JP" w:bidi="ar-SA"/>
              </w:rPr>
              <w:t>privacy.retention_years</w:t>
            </w:r>
            <w:r>
              <w:rPr>
                <w:rFonts w:eastAsia="Segoe UI" w:cs="Segoe UI" w:ascii="Segoe UI" w:hAnsi="Segoe UI"/>
                <w:color w:val="101820"/>
                <w:kern w:val="0"/>
                <w:sz w:val="18"/>
                <w:szCs w:val="24"/>
                <w:lang w:val="en-US" w:eastAsia="ja-JP" w:bidi="ar-SA"/>
              </w:rPr>
              <w:t xml:space="preserve"> (10 years) after the last policy expiry; every action in the audit trail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Excel export</w:t>
            </w:r>
          </w:p>
        </w:tc>
      </w:tr>
    </w:tbl>
    <w:p>
      <w:pPr>
        <w:pStyle w:val="Normal"/>
        <w:spacing w:before="0" w:after="80"/>
        <w:rPr/>
      </w:pPr>
      <w:r>
        <w:rPr/>
      </w:r>
    </w:p>
    <w:p>
      <w:pPr>
        <w:pStyle w:val="Heading2"/>
        <w:rPr/>
      </w:pPr>
      <w:bookmarkStart w:id="40" w:name="__RefHeading___Toc7914_1338352368"/>
      <w:bookmarkEnd w:id="40"/>
      <w:r>
        <w:rPr>
          <w:rFonts w:eastAsia="Segoe UI" w:cs="Segoe UI"/>
          <w:b/>
          <w:color w:val="0F4761"/>
          <w:sz w:val="26"/>
        </w:rPr>
        <w:t>5.26  Administration, security and configuration</w:t>
      </w:r>
    </w:p>
    <w:p>
      <w:pPr>
        <w:pStyle w:val="Normal"/>
        <w:spacing w:lineRule="auto" w:line="276" w:before="0" w:after="120"/>
        <w:rPr/>
      </w:pPr>
      <w:r>
        <w:rPr>
          <w:rFonts w:eastAsia="Segoe UI" w:cs="Segoe UI" w:ascii="Segoe UI" w:hAnsi="Segoe UI"/>
          <w:b/>
          <w:color w:val="101820"/>
          <w:sz w:val="21"/>
        </w:rPr>
        <w:t>What it does.</w:t>
      </w:r>
      <w:r>
        <w:rPr>
          <w:rFonts w:eastAsia="Segoe UI" w:cs="Segoe UI" w:ascii="Segoe UI" w:hAnsi="Segoe UI"/>
          <w:color w:val="101820"/>
          <w:sz w:val="21"/>
        </w:rPr>
        <w:t xml:space="preserve"> Sets up the broker's organisation, reference data, users and rules, and keeps the record of who did what.</w:t>
      </w:r>
    </w:p>
    <w:p>
      <w:pPr>
        <w:pStyle w:val="Normal"/>
        <w:numPr>
          <w:ilvl w:val="0"/>
          <w:numId w:val="1"/>
        </w:numPr>
        <w:spacing w:before="0" w:after="60"/>
        <w:rPr/>
      </w:pPr>
      <w:r>
        <w:rPr>
          <w:rFonts w:eastAsia="Segoe UI" w:cs="Segoe UI" w:ascii="Segoe UI" w:hAnsi="Segoe UI"/>
          <w:color w:val="101820"/>
          <w:sz w:val="21"/>
        </w:rPr>
        <w:t>Masters: Company (letterhead, TIN, IC licence number), Branch, Insurance Company (credit and remittance terms, billing mode, placement and claims e-mails), Line of Business, Product, Cover, Signatories, Vehicle, locations, Commission, employees, finance masters.</w:t>
      </w:r>
    </w:p>
    <w:p>
      <w:pPr>
        <w:pStyle w:val="Normal"/>
        <w:numPr>
          <w:ilvl w:val="0"/>
          <w:numId w:val="1"/>
        </w:numPr>
        <w:spacing w:before="0" w:after="60"/>
        <w:rPr/>
      </w:pPr>
      <w:r>
        <w:rPr>
          <w:rFonts w:eastAsia="Segoe UI" w:cs="Segoe UI" w:ascii="Segoe UI" w:hAnsi="Segoe UI"/>
          <w:color w:val="101820"/>
          <w:sz w:val="21"/>
        </w:rPr>
        <w:t>Uploads for masters and go-live data from about 40 templates (10 MB per file, 20,000 rows).</w:t>
      </w:r>
    </w:p>
    <w:p>
      <w:pPr>
        <w:pStyle w:val="Normal"/>
        <w:numPr>
          <w:ilvl w:val="0"/>
          <w:numId w:val="1"/>
        </w:numPr>
        <w:spacing w:before="0" w:after="60"/>
        <w:rPr/>
      </w:pPr>
      <w:r>
        <w:rPr>
          <w:rFonts w:eastAsia="Segoe UI" w:cs="Segoe UI" w:ascii="Segoe UI" w:hAnsi="Segoe UI"/>
          <w:color w:val="101820"/>
          <w:sz w:val="21"/>
        </w:rPr>
        <w:t>User Management: User, Role, User Access Matrix, Role Permissions, Authority Matrix, Delegations, Segregation of Duties, Access Reviews.</w:t>
      </w:r>
    </w:p>
    <w:p>
      <w:pPr>
        <w:pStyle w:val="Normal"/>
        <w:numPr>
          <w:ilvl w:val="0"/>
          <w:numId w:val="1"/>
        </w:numPr>
        <w:spacing w:before="0" w:after="60"/>
        <w:rPr/>
      </w:pPr>
      <w:r>
        <w:rPr>
          <w:rFonts w:eastAsia="Segoe UI" w:cs="Segoe UI" w:ascii="Segoe UI" w:hAnsi="Segoe UI"/>
          <w:color w:val="101820"/>
          <w:sz w:val="21"/>
        </w:rPr>
        <w:t>Master &gt; Configuration: business parameters by tab, applied at once and audited; Document Numbering with 52 series; Schedules with run now and history; System Settings for title, logo and theme.</w:t>
      </w:r>
    </w:p>
    <w:p>
      <w:pPr>
        <w:pStyle w:val="Normal"/>
        <w:numPr>
          <w:ilvl w:val="0"/>
          <w:numId w:val="1"/>
        </w:numPr>
        <w:spacing w:before="0" w:after="60"/>
        <w:rPr/>
      </w:pPr>
      <w:r>
        <w:rPr>
          <w:rFonts w:eastAsia="Segoe UI" w:cs="Segoe UI" w:ascii="Segoe UI" w:hAnsi="Segoe UI"/>
          <w:color w:val="101820"/>
          <w:sz w:val="21"/>
        </w:rPr>
        <w:t>Audit Trail of every create, update, approval, report run and sign-in, with before and after values.</w:t>
      </w:r>
    </w:p>
    <w:p>
      <w:pPr>
        <w:pStyle w:val="Normal"/>
        <w:jc w:val="center"/>
        <w:rPr/>
      </w:pPr>
      <w:r>
        <w:rPr/>
        <w:drawing>
          <wp:inline distT="0" distB="0" distL="0" distR="0">
            <wp:extent cx="5760085" cy="4469130"/>
            <wp:effectExtent l="0" t="0" r="0" b="0"/>
            <wp:docPr id="27" name="Picture 212128820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121288207" descr=""/>
                    <pic:cNvPicPr>
                      <a:picLocks noChangeAspect="1" noChangeArrowheads="1"/>
                    </pic:cNvPicPr>
                  </pic:nvPicPr>
                  <pic:blipFill>
                    <a:blip r:embed="rId23"/>
                    <a:stretch>
                      <a:fillRect/>
                    </a:stretch>
                  </pic:blipFill>
                  <pic:spPr bwMode="auto">
                    <a:xfrm>
                      <a:off x="0" y="0"/>
                      <a:ext cx="5760085" cy="4469130"/>
                    </a:xfrm>
                    <a:prstGeom prst="rect">
                      <a:avLst/>
                    </a:prstGeom>
                  </pic:spPr>
                </pic:pic>
              </a:graphicData>
            </a:graphic>
          </wp:inline>
        </w:drawing>
      </w:r>
    </w:p>
    <w:p>
      <w:pPr>
        <w:pStyle w:val="Normal"/>
        <w:jc w:val="center"/>
        <w:rPr/>
      </w:pPr>
      <w:r>
        <w:rPr>
          <w:rFonts w:eastAsia="Segoe UI" w:cs="Segoe UI" w:ascii="Segoe UI" w:hAnsi="Segoe UI"/>
          <w:i/>
          <w:color w:val="555F6D"/>
          <w:sz w:val="18"/>
        </w:rPr>
        <w:t>Authority Matrix</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Aspect</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System Administrator</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Only a System Administrator grants that role; nobody changes their own role; new authority limits approved by another administrator; SoD rules checked at role assignment; dormant accounts deactivated after 90 days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 provisioning from a template</w:t>
            </w:r>
          </w:p>
        </w:tc>
      </w:tr>
    </w:tbl>
    <w:p>
      <w:pPr>
        <w:pStyle w:val="Normal"/>
        <w:spacing w:before="0" w:after="80"/>
        <w:rPr/>
      </w:pPr>
      <w:r>
        <w:rPr/>
      </w:r>
      <w:r>
        <w:br w:type="page"/>
      </w:r>
    </w:p>
    <w:p>
      <w:pPr>
        <w:pStyle w:val="Heading1"/>
        <w:rPr/>
      </w:pPr>
      <w:bookmarkStart w:id="41" w:name="__RefHeading___Toc7916_1338352368"/>
      <w:bookmarkEnd w:id="41"/>
      <w:r>
        <w:rPr>
          <w:rFonts w:eastAsia="Segoe UI" w:cs="Segoe UI" w:ascii="Segoe UI" w:hAnsi="Segoe UI"/>
          <w:b/>
          <w:color w:val="0F4761"/>
          <w:sz w:val="32"/>
        </w:rPr>
        <w:t>6.  OOTB scope and optional extras</w:t>
      </w:r>
    </w:p>
    <w:p>
      <w:pPr>
        <w:pStyle w:val="Heading2"/>
        <w:rPr/>
      </w:pPr>
      <w:bookmarkStart w:id="42" w:name="__RefHeading___Toc7918_1338352368"/>
      <w:bookmarkEnd w:id="42"/>
      <w:r>
        <w:rPr>
          <w:rFonts w:eastAsia="Segoe UI" w:cs="Segoe UI"/>
          <w:b/>
          <w:color w:val="0F4761"/>
          <w:sz w:val="26"/>
        </w:rPr>
        <w:t>6.1  What the OOTB edition includes</w:t>
      </w:r>
    </w:p>
    <w:p>
      <w:pPr>
        <w:pStyle w:val="Normal"/>
        <w:spacing w:lineRule="auto" w:line="276" w:before="0" w:after="120"/>
        <w:rPr/>
      </w:pPr>
      <w:r>
        <w:rPr>
          <w:rFonts w:eastAsia="Segoe UI" w:cs="Segoe UI" w:ascii="Segoe UI" w:hAnsi="Segoe UI"/>
          <w:color w:val="101820"/>
          <w:sz w:val="21"/>
        </w:rPr>
        <w:t>The OOTB edition is the product as delivered, fitted to the broker by configuration and master data, not by code changes.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5"/>
        <w:gridCol w:w="6179"/>
      </w:tblGrid>
      <w:tr>
        <w:trPr>
          <w:tblHeader w:val="true"/>
        </w:trPr>
        <w:tc>
          <w:tcPr>
            <w:tcW w:w="283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Included in OOTB</w:t>
            </w:r>
          </w:p>
        </w:tc>
        <w:tc>
          <w:tcPr>
            <w:tcW w:w="617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Notes</w:t>
            </w:r>
          </w:p>
        </w:tc>
      </w:tr>
      <w:tr>
        <w:trPr/>
        <w:tc>
          <w:tcPr>
            <w:tcW w:w="28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All modules in chapter 5</w:t>
            </w:r>
          </w:p>
        </w:tc>
        <w:tc>
          <w:tcPr>
            <w:tcW w:w="61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Delivered screens, workflows, reports and printed documents</w:t>
            </w:r>
          </w:p>
        </w:tc>
      </w:tr>
      <w:tr>
        <w:trPr/>
        <w:tc>
          <w:tcPr>
            <w:tcW w:w="28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and master data</w:t>
            </w:r>
          </w:p>
        </w:tc>
        <w:tc>
          <w:tcPr>
            <w:tcW w:w="61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Company, users, insurers, products and tariff, commission, taxes, chart of accounts, posting rules, number series, approvals, schedules, e-mail texts</w:t>
            </w:r>
          </w:p>
        </w:tc>
      </w:tr>
      <w:tr>
        <w:trPr/>
        <w:tc>
          <w:tcPr>
            <w:tcW w:w="28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Standard integrations</w:t>
            </w:r>
          </w:p>
        </w:tc>
        <w:tc>
          <w:tcPr>
            <w:tcW w:w="61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SMTP e-mail, bank statement files, insurer statement files, PayMongo and Dragonpay payment links</w:t>
            </w:r>
          </w:p>
        </w:tc>
      </w:tr>
      <w:tr>
        <w:trPr/>
        <w:tc>
          <w:tcPr>
            <w:tcW w:w="28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Go-live data</w:t>
            </w:r>
          </w:p>
        </w:tc>
        <w:tc>
          <w:tcPr>
            <w:tcW w:w="61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Masters, in-force policies and clients, open receivables, GL opening balances through the delivered templates</w:t>
            </w:r>
          </w:p>
        </w:tc>
      </w:tr>
      <w:tr>
        <w:trPr/>
        <w:tc>
          <w:tcPr>
            <w:tcW w:w="28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Implementation</w:t>
            </w:r>
          </w:p>
        </w:tc>
        <w:tc>
          <w:tcPr>
            <w:tcW w:w="61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Discovery, configuration, mock loads, SIT, UAT support, training per role, cutover, hypercare to the first month-end close</w:t>
            </w:r>
          </w:p>
        </w:tc>
      </w:tr>
      <w:tr>
        <w:trPr/>
        <w:tc>
          <w:tcPr>
            <w:tcW w:w="28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Documentation</w:t>
            </w:r>
          </w:p>
        </w:tc>
        <w:tc>
          <w:tcPr>
            <w:tcW w:w="61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 manual, role decks, reports book, architecture and security, compliance matrix, data migration, training and support documents</w:t>
            </w:r>
          </w:p>
        </w:tc>
      </w:tr>
    </w:tbl>
    <w:p>
      <w:pPr>
        <w:pStyle w:val="Normal"/>
        <w:spacing w:before="0" w:after="80"/>
        <w:rPr/>
      </w:pPr>
      <w:r>
        <w:rPr/>
      </w:r>
    </w:p>
    <w:p>
      <w:pPr>
        <w:pStyle w:val="Heading2"/>
        <w:rPr/>
      </w:pPr>
      <w:bookmarkStart w:id="43" w:name="__RefHeading___Toc7920_1338352368"/>
      <w:bookmarkEnd w:id="43"/>
      <w:r>
        <w:rPr>
          <w:rFonts w:eastAsia="Segoe UI" w:cs="Segoe UI"/>
          <w:b/>
          <w:color w:val="0F4761"/>
          <w:sz w:val="26"/>
        </w:rPr>
        <w:t>6.2  Optional extras and change requests</w:t>
      </w:r>
    </w:p>
    <w:p>
      <w:pPr>
        <w:pStyle w:val="Normal"/>
        <w:spacing w:lineRule="auto" w:line="276" w:before="0" w:after="120"/>
        <w:rPr/>
      </w:pPr>
      <w:r>
        <w:rPr>
          <w:rFonts w:eastAsia="Segoe UI" w:cs="Segoe UI" w:ascii="Segoe UI" w:hAnsi="Segoe UI"/>
          <w:color w:val="101820"/>
          <w:sz w:val="21"/>
        </w:rPr>
        <w:t>Customisation is outside the OOTB scope. A requirement that cannot be met by configuration, master data or a change in procedure is recorded as a gap and handled through a change request: the broker describes the need, iorta TechNXT estimates the effort, and the steering committee approves it before any work starts.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5"/>
        <w:gridCol w:w="6179"/>
      </w:tblGrid>
      <w:tr>
        <w:trPr>
          <w:tblHeader w:val="true"/>
        </w:trPr>
        <w:tc>
          <w:tcPr>
            <w:tcW w:w="283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Outside OOTB, available as a change request or optional service</w:t>
            </w:r>
          </w:p>
        </w:tc>
        <w:tc>
          <w:tcPr>
            <w:tcW w:w="617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Examples</w:t>
            </w:r>
          </w:p>
        </w:tc>
      </w:tr>
      <w:tr>
        <w:trPr/>
        <w:tc>
          <w:tcPr>
            <w:tcW w:w="28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Customisation</w:t>
            </w:r>
          </w:p>
        </w:tc>
        <w:tc>
          <w:tcPr>
            <w:tcW w:w="61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Changes to screens, workflows, printed documents or the database; new reports</w:t>
            </w:r>
          </w:p>
        </w:tc>
      </w:tr>
      <w:tr>
        <w:trPr/>
        <w:tc>
          <w:tcPr>
            <w:tcW w:w="28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New integrations</w:t>
            </w:r>
          </w:p>
        </w:tc>
        <w:tc>
          <w:tcPr>
            <w:tcW w:w="61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systems, core banking, bank payment files, SMS gateways, accounting packages, BIR eFPS or eBIRForms, LTO or IC systems, other payment gateways</w:t>
            </w:r>
          </w:p>
        </w:tc>
      </w:tr>
      <w:tr>
        <w:trPr/>
        <w:tc>
          <w:tcPr>
            <w:tcW w:w="28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services</w:t>
            </w:r>
          </w:p>
        </w:tc>
        <w:tc>
          <w:tcPr>
            <w:tcW w:w="61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cleansing and enrichment, extraction from the old system, migration of closed policies, history and documents, more than one fiscal year</w:t>
            </w:r>
          </w:p>
        </w:tc>
      </w:tr>
      <w:tr>
        <w:trPr/>
        <w:tc>
          <w:tcPr>
            <w:tcW w:w="28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Additional environments and hosting</w:t>
            </w:r>
          </w:p>
        </w:tc>
        <w:tc>
          <w:tcPr>
            <w:tcW w:w="61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Extra test or training environments; hosting by iorta TechNXT on AWS, Azure or a local partner</w:t>
            </w:r>
          </w:p>
        </w:tc>
      </w:tr>
      <w:tr>
        <w:trPr/>
        <w:tc>
          <w:tcPr>
            <w:tcW w:w="28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Additional training</w:t>
            </w:r>
          </w:p>
        </w:tc>
        <w:tc>
          <w:tcPr>
            <w:tcW w:w="61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Training beyond the agreed curriculum, users added after go-live</w:t>
            </w:r>
          </w:p>
        </w:tc>
      </w:tr>
      <w:tr>
        <w:trPr/>
        <w:tc>
          <w:tcPr>
            <w:tcW w:w="28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Additional lines of business after go-live</w:t>
            </w:r>
          </w:p>
        </w:tc>
        <w:tc>
          <w:tcPr>
            <w:tcW w:w="61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Products, rating, documents and test cases for a new line</w:t>
            </w:r>
          </w:p>
        </w:tc>
      </w:tr>
      <w:tr>
        <w:trPr/>
        <w:tc>
          <w:tcPr>
            <w:tcW w:w="28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Translation</w:t>
            </w:r>
          </w:p>
        </w:tc>
        <w:tc>
          <w:tcPr>
            <w:tcW w:w="61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Filipino screens (no translation file in this release)</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Prices of optional services and day rates for change requests are in the commercial proposal.</w:t>
      </w:r>
    </w:p>
    <w:p>
      <w:pPr>
        <w:pStyle w:val="Heading2"/>
        <w:rPr/>
      </w:pPr>
      <w:bookmarkStart w:id="44" w:name="__RefHeading___Toc7922_1338352368"/>
      <w:bookmarkEnd w:id="44"/>
      <w:r>
        <w:rPr>
          <w:rFonts w:eastAsia="Segoe UI" w:cs="Segoe UI"/>
          <w:b/>
          <w:color w:val="0F4761"/>
          <w:sz w:val="26"/>
        </w:rPr>
        <w:t>6.3  What remains with the broker</w:t>
      </w:r>
    </w:p>
    <w:p>
      <w:pPr>
        <w:pStyle w:val="Normal"/>
        <w:numPr>
          <w:ilvl w:val="0"/>
          <w:numId w:val="1"/>
        </w:numPr>
        <w:spacing w:before="0" w:after="60"/>
        <w:rPr/>
      </w:pPr>
      <w:r>
        <w:rPr>
          <w:rFonts w:eastAsia="Segoe UI" w:cs="Segoe UI" w:ascii="Segoe UI" w:hAnsi="Segoe UI"/>
          <w:color w:val="101820"/>
          <w:sz w:val="21"/>
        </w:rPr>
        <w:t>Registrations and filings: BIR returns and alphalists, registration of the computerized accounting system and of invoices and receipts, IC reports, NPC registration and breach notifications, AMLC reports.</w:t>
      </w:r>
    </w:p>
    <w:p>
      <w:pPr>
        <w:pStyle w:val="Normal"/>
        <w:numPr>
          <w:ilvl w:val="0"/>
          <w:numId w:val="1"/>
        </w:numPr>
        <w:spacing w:before="0" w:after="60"/>
        <w:rPr/>
      </w:pPr>
      <w:r>
        <w:rPr>
          <w:rFonts w:eastAsia="Segoe UI" w:cs="Segoe UI" w:ascii="Segoe UI" w:hAnsi="Segoe UI"/>
          <w:color w:val="101820"/>
          <w:sz w:val="21"/>
        </w:rPr>
        <w:t>Confirmation of tax rates, ATC and GL accounts by the broker's tax adviser, and of the motor tariff with the insurers.</w:t>
      </w:r>
    </w:p>
    <w:p>
      <w:pPr>
        <w:pStyle w:val="Normal"/>
        <w:numPr>
          <w:ilvl w:val="0"/>
          <w:numId w:val="1"/>
        </w:numPr>
        <w:spacing w:before="0" w:after="60"/>
        <w:rPr/>
      </w:pPr>
      <w:r>
        <w:rPr>
          <w:rFonts w:eastAsia="Segoe UI" w:cs="Segoe UI" w:ascii="Segoe UI" w:hAnsi="Segoe UI"/>
          <w:color w:val="101820"/>
          <w:sz w:val="21"/>
        </w:rPr>
        <w:t>Retention schedules, privacy notice and the privacy management programme; policies for credit control and the premium trust account.</w:t>
      </w:r>
      <w:r>
        <w:br w:type="page"/>
      </w:r>
    </w:p>
    <w:p>
      <w:pPr>
        <w:pStyle w:val="Heading1"/>
        <w:rPr/>
      </w:pPr>
      <w:bookmarkStart w:id="45" w:name="__RefHeading___Toc7924_1338352368"/>
      <w:bookmarkEnd w:id="45"/>
      <w:r>
        <w:rPr>
          <w:rFonts w:eastAsia="Segoe UI" w:cs="Segoe UI" w:ascii="Segoe UI" w:hAnsi="Segoe UI"/>
          <w:b/>
          <w:color w:val="0F4761"/>
          <w:sz w:val="32"/>
        </w:rPr>
        <w:t>7.  Non-functional capabilities</w:t>
      </w:r>
    </w:p>
    <w:p>
      <w:pPr>
        <w:pStyle w:val="Heading2"/>
        <w:rPr/>
      </w:pPr>
      <w:bookmarkStart w:id="46" w:name="__RefHeading___Toc7926_1338352368"/>
      <w:bookmarkEnd w:id="46"/>
      <w:r>
        <w:rPr>
          <w:rFonts w:eastAsia="Segoe UI" w:cs="Segoe UI"/>
          <w:b/>
          <w:color w:val="0F4761"/>
          <w:sz w:val="26"/>
        </w:rPr>
        <w:t>7.1  Security</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Area</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Capability</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Authentication</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Named users only; bcrypt passwords; minimum 8 characters with four character classes, history of 5, expiry 90 days; lockout after 5 failures; sign-in rate limits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Two-step verification</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TOTP built in, compulsory per role (</w:t>
            </w:r>
            <w:r>
              <w:rPr>
                <w:rFonts w:eastAsia="Consolas" w:cs="Consolas" w:ascii="Consolas" w:hAnsi="Consolas"/>
                <w:color w:val="101820"/>
                <w:kern w:val="0"/>
                <w:sz w:val="16"/>
                <w:szCs w:val="24"/>
                <w:lang w:val="en-US" w:eastAsia="ja-JP" w:bidi="ar-SA"/>
              </w:rPr>
              <w:t>security.require_2fa_roles</w:t>
            </w:r>
            <w:r>
              <w:rPr>
                <w:rFonts w:eastAsia="Segoe UI" w:cs="Segoe UI" w:ascii="Segoe UI" w:hAnsi="Segoe UI"/>
                <w:color w:val="101820"/>
                <w:kern w:val="0"/>
                <w:sz w:val="18"/>
                <w:szCs w:val="24"/>
                <w:lang w:val="en-US" w:eastAsia="ja-JP" w:bidi="ar-SA"/>
              </w:rPr>
              <w:t>); secrets encrypted with AES-256-GCM</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Sessions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Access token 30 minutes, refresh token rotated on use with reuse detection; idle sign-out after 30 minutes; sessions ended on password or role change</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Authorisation</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Seven roles, deny by default; permission checked by the server on every route; record scope for scoped roles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Maker-checker, Authority Matrix, Delegations, Segregation of Duties, Access Reviews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Application security</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Parameterised SQL, request validation, security headers, upload type check by file content, signed document links valid 30 minutes, CSV formula-injection guard; mapped to the OWASP Top 10 (2021)</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Production start-up checks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The API refuses to start with weak or missing secrets, </w:t>
            </w:r>
            <w:r>
              <w:rPr>
                <w:rFonts w:eastAsia="Consolas" w:cs="Consolas" w:ascii="Consolas" w:hAnsi="Consolas"/>
                <w:color w:val="101820"/>
                <w:kern w:val="0"/>
                <w:sz w:val="16"/>
                <w:szCs w:val="24"/>
                <w:lang w:val="en-US" w:eastAsia="ja-JP" w:bidi="ar-SA"/>
              </w:rPr>
              <w:t>CORS_ORIGINS=*</w:t>
            </w:r>
            <w:r>
              <w:rPr>
                <w:rFonts w:eastAsia="Segoe UI" w:cs="Segoe UI" w:ascii="Segoe UI" w:hAnsi="Segoe UI"/>
                <w:color w:val="101820"/>
                <w:kern w:val="0"/>
                <w:sz w:val="18"/>
                <w:szCs w:val="24"/>
                <w:lang w:val="en-US" w:eastAsia="ja-JP" w:bidi="ar-SA"/>
              </w:rPr>
              <w:t xml:space="preserve"> or localhost addresses</w:t>
            </w:r>
          </w:p>
        </w:tc>
      </w:tr>
    </w:tbl>
    <w:p>
      <w:pPr>
        <w:pStyle w:val="Normal"/>
        <w:spacing w:before="0" w:after="80"/>
        <w:rPr/>
      </w:pPr>
      <w:r>
        <w:rPr/>
      </w:r>
    </w:p>
    <w:p>
      <w:pPr>
        <w:pStyle w:val="Heading2"/>
        <w:rPr/>
      </w:pPr>
      <w:bookmarkStart w:id="47" w:name="__RefHeading___Toc7928_1338352368"/>
      <w:bookmarkEnd w:id="47"/>
      <w:r>
        <w:rPr>
          <w:rFonts w:eastAsia="Segoe UI" w:cs="Segoe UI"/>
          <w:b/>
          <w:color w:val="0F4761"/>
          <w:sz w:val="26"/>
        </w:rPr>
        <w:t>7.2  Privacy</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Area</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Capability</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Consent and rights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Consent Register, Data Subject Requests, personal data export, anonymisation (chapter 5)</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Minimisation</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KYC fields required for motor only by default (</w:t>
            </w:r>
            <w:r>
              <w:rPr>
                <w:rFonts w:eastAsia="Consolas" w:cs="Consolas" w:ascii="Consolas" w:hAnsi="Consolas"/>
                <w:color w:val="101820"/>
                <w:kern w:val="0"/>
                <w:sz w:val="16"/>
                <w:szCs w:val="24"/>
                <w:lang w:val="en-US" w:eastAsia="ja-JP" w:bidi="ar-SA"/>
              </w:rPr>
              <w:t>policy.kyc_required_fields</w:t>
            </w:r>
            <w:r>
              <w:rPr>
                <w:rFonts w:eastAsia="Segoe UI" w:cs="Segoe UI" w:ascii="Segoe UI" w:hAnsi="Segoe UI"/>
                <w:color w:val="101820"/>
                <w:kern w:val="0"/>
                <w:sz w:val="18"/>
                <w:szCs w:val="24"/>
                <w:lang w:val="en-US" w:eastAsia="ja-JP" w:bidi="ar-SA"/>
              </w:rPr>
              <w:t>)</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Retention</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Housekeeping deletes operational logs after their retention days; business records and the audit trail are kept; anonymisation after </w:t>
            </w:r>
            <w:r>
              <w:rPr>
                <w:rFonts w:eastAsia="Consolas" w:cs="Consolas" w:ascii="Consolas" w:hAnsi="Consolas"/>
                <w:color w:val="101820"/>
                <w:kern w:val="0"/>
                <w:sz w:val="16"/>
                <w:szCs w:val="24"/>
                <w:lang w:val="en-US" w:eastAsia="ja-JP" w:bidi="ar-SA"/>
              </w:rPr>
              <w:t>privacy.retention_years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 cards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Card details are entered on the gateway's page only</w:t>
            </w:r>
          </w:p>
        </w:tc>
      </w:tr>
    </w:tbl>
    <w:p>
      <w:pPr>
        <w:pStyle w:val="Normal"/>
        <w:spacing w:before="0" w:after="80"/>
        <w:rPr/>
      </w:pPr>
      <w:r>
        <w:rPr/>
      </w:r>
    </w:p>
    <w:p>
      <w:pPr>
        <w:pStyle w:val="Heading2"/>
        <w:rPr/>
      </w:pPr>
      <w:bookmarkStart w:id="48" w:name="__RefHeading___Toc7930_1338352368"/>
      <w:bookmarkEnd w:id="48"/>
      <w:r>
        <w:rPr>
          <w:rFonts w:eastAsia="Segoe UI" w:cs="Segoe UI"/>
          <w:b/>
          <w:color w:val="0F4761"/>
          <w:sz w:val="26"/>
        </w:rPr>
        <w:t>7.3  Availability and recovery</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Area</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Capability</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Design</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Stateless API; any instance serves any request; scheduled jobs run once across instances; graceful shutdown</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Health checks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/api/health</w:t>
            </w:r>
            <w:r>
              <w:rPr>
                <w:rFonts w:eastAsia="Segoe UI" w:cs="Segoe UI" w:ascii="Segoe UI" w:hAnsi="Segoe UI"/>
                <w:color w:val="101820"/>
                <w:kern w:val="0"/>
                <w:sz w:val="18"/>
                <w:szCs w:val="24"/>
                <w:lang w:val="en-US" w:eastAsia="ja-JP" w:bidi="ar-SA"/>
              </w:rPr>
              <w:t xml:space="preserve"> (database and pending migrations) and </w:t>
            </w:r>
            <w:r>
              <w:rPr>
                <w:rFonts w:eastAsia="Consolas" w:cs="Consolas" w:ascii="Consolas" w:hAnsi="Consolas"/>
                <w:color w:val="101820"/>
                <w:kern w:val="0"/>
                <w:sz w:val="16"/>
                <w:szCs w:val="24"/>
                <w:lang w:val="en-US" w:eastAsia="ja-JP" w:bidi="ar-SA"/>
              </w:rPr>
              <w:t>/api/health/live</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Recommended topology</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Two or more API instances across zones, managed PostgreSQL with standby, shared file store</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Recommended recovery objectives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API or database instance failure: RPO 0, RTO under 15 minutes; logical corruption: RPO 15 minutes or less, RTO 4 hours or less; regional outage: 24 hours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Backups (recommended)</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Automated database backups with point-in-time restore for 35 days, monthly copies to a second region, restore tests quarterly</w:t>
            </w:r>
          </w:p>
        </w:tc>
      </w:tr>
    </w:tbl>
    <w:p>
      <w:pPr>
        <w:pStyle w:val="Normal"/>
        <w:spacing w:before="0" w:after="80"/>
        <w:rPr/>
      </w:pPr>
      <w:r>
        <w:rPr/>
      </w:r>
    </w:p>
    <w:p>
      <w:pPr>
        <w:pStyle w:val="Heading2"/>
        <w:rPr/>
      </w:pPr>
      <w:bookmarkStart w:id="49" w:name="__RefHeading___Toc7932_1338352368"/>
      <w:bookmarkEnd w:id="49"/>
      <w:r>
        <w:rPr>
          <w:rFonts w:eastAsia="Segoe UI" w:cs="Segoe UI"/>
          <w:b/>
          <w:color w:val="0F4761"/>
          <w:sz w:val="26"/>
        </w:rPr>
        <w:t>7.4  Performance and capacity</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Area</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Capability</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Observed in the release test</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2,116 API calls with database writes in 24 seconds, about 11 ms per call, on a single server; every screen loaded within 2.6 seconds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Reference sizing</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200 named users, 80 concurrent and 50,000 policies a year on two API instances of 1 vCPU and 2 GB and a database of 2 vCPU and 8 GB</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Limits</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up to 50,000 rows per file; imports up to 20,000 rows per file</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Recommended</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load test with the broker's concurrent users and month-end volumes on the production-sized server before go-live</w:t>
            </w:r>
          </w:p>
        </w:tc>
      </w:tr>
    </w:tbl>
    <w:p>
      <w:pPr>
        <w:pStyle w:val="Normal"/>
        <w:spacing w:before="0" w:after="80"/>
        <w:rPr/>
      </w:pPr>
      <w:r>
        <w:rPr/>
      </w:r>
    </w:p>
    <w:p>
      <w:pPr>
        <w:pStyle w:val="Heading2"/>
        <w:rPr/>
      </w:pPr>
      <w:bookmarkStart w:id="50" w:name="__RefHeading___Toc7934_1338352368"/>
      <w:bookmarkEnd w:id="50"/>
      <w:r>
        <w:rPr>
          <w:rFonts w:eastAsia="Segoe UI" w:cs="Segoe UI"/>
          <w:b/>
          <w:color w:val="0F4761"/>
          <w:sz w:val="26"/>
        </w:rPr>
        <w:t>7.5  Audit and traceability</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6974"/>
      </w:tblGrid>
      <w:tr>
        <w:trPr>
          <w:tblHeader w:val="true"/>
        </w:trPr>
        <w:tc>
          <w:tcPr>
            <w:tcW w:w="20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Area</w:t>
            </w:r>
          </w:p>
        </w:tc>
        <w:tc>
          <w:tcPr>
            <w:tcW w:w="69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Capability</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Audit trail</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create, update, approval, report run and sign-in with before and after values, user, IP and time; kept by default</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Document control</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52 number series; financial documents cancelled or reversed, never deleted</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Period control</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 soft-closed, closed and locked periods; reopening recorded with remarks</w:t>
            </w:r>
          </w:p>
        </w:tc>
      </w:tr>
      <w:tr>
        <w:trPr/>
        <w:tc>
          <w:tcPr>
            <w:tcW w:w="20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History</w:t>
            </w:r>
          </w:p>
        </w:tc>
        <w:tc>
          <w:tcPr>
            <w:tcW w:w="69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 field changes and status history, bank reconciliation history, remittance approvals, sign-in history</w:t>
            </w:r>
          </w:p>
        </w:tc>
      </w:tr>
    </w:tbl>
    <w:p>
      <w:pPr>
        <w:pStyle w:val="Normal"/>
        <w:spacing w:before="0" w:after="80"/>
        <w:rPr/>
      </w:pPr>
      <w:r>
        <w:rPr/>
      </w:r>
    </w:p>
    <w:p>
      <w:pPr>
        <w:pStyle w:val="Heading2"/>
        <w:rPr/>
      </w:pPr>
      <w:bookmarkStart w:id="51" w:name="__RefHeading___Toc7936_1338352368"/>
      <w:bookmarkEnd w:id="51"/>
      <w:r>
        <w:rPr>
          <w:rFonts w:eastAsia="Segoe UI" w:cs="Segoe UI"/>
          <w:b/>
          <w:color w:val="0F4761"/>
          <w:sz w:val="26"/>
        </w:rPr>
        <w:t>7.6  Usability and localisation</w:t>
      </w:r>
    </w:p>
    <w:p>
      <w:pPr>
        <w:pStyle w:val="Normal"/>
        <w:numPr>
          <w:ilvl w:val="0"/>
          <w:numId w:val="1"/>
        </w:numPr>
        <w:spacing w:before="0" w:after="60"/>
        <w:rPr/>
      </w:pPr>
      <w:r>
        <w:rPr>
          <w:rFonts w:eastAsia="Segoe UI" w:cs="Segoe UI" w:ascii="Segoe UI" w:hAnsi="Segoe UI"/>
          <w:color w:val="101820"/>
          <w:sz w:val="21"/>
        </w:rPr>
        <w:t>Browser application, no installation on user devices; Nunito font bundled.</w:t>
      </w:r>
    </w:p>
    <w:p>
      <w:pPr>
        <w:pStyle w:val="Normal"/>
        <w:numPr>
          <w:ilvl w:val="0"/>
          <w:numId w:val="1"/>
        </w:numPr>
        <w:spacing w:before="0" w:after="60"/>
        <w:rPr/>
      </w:pPr>
      <w:r>
        <w:rPr>
          <w:rFonts w:eastAsia="Segoe UI" w:cs="Segoe UI" w:ascii="Segoe UI" w:hAnsi="Segoe UI"/>
          <w:color w:val="101820"/>
          <w:sz w:val="21"/>
        </w:rPr>
        <w:t>English screens; Philippine formats for money, dates, mobile numbers, ZIP codes and IDs; business time zone Asia/Manila.</w:t>
      </w:r>
    </w:p>
    <w:p>
      <w:pPr>
        <w:pStyle w:val="Normal"/>
        <w:numPr>
          <w:ilvl w:val="0"/>
          <w:numId w:val="1"/>
        </w:numPr>
        <w:spacing w:before="0" w:after="60"/>
        <w:rPr/>
      </w:pPr>
      <w:r>
        <w:rPr>
          <w:rFonts w:eastAsia="Segoe UI" w:cs="Segoe UI" w:ascii="Segoe UI" w:hAnsi="Segoe UI"/>
          <w:color w:val="101820"/>
          <w:sz w:val="21"/>
        </w:rPr>
        <w:t>Lists with search, filters and paging; add and edit forms as side panels; status tags by colour.</w:t>
      </w:r>
    </w:p>
    <w:p>
      <w:pPr>
        <w:pStyle w:val="Heading2"/>
        <w:rPr/>
      </w:pPr>
      <w:bookmarkStart w:id="52" w:name="__RefHeading___Toc7938_1338352368"/>
      <w:bookmarkEnd w:id="52"/>
      <w:r>
        <w:rPr>
          <w:rFonts w:eastAsia="Segoe UI" w:cs="Segoe UI"/>
          <w:b/>
          <w:color w:val="0F4761"/>
          <w:sz w:val="26"/>
        </w:rPr>
        <w:t>7.7  Maintainability and interfaces</w:t>
      </w:r>
    </w:p>
    <w:p>
      <w:pPr>
        <w:pStyle w:val="Normal"/>
        <w:numPr>
          <w:ilvl w:val="0"/>
          <w:numId w:val="1"/>
        </w:numPr>
        <w:spacing w:before="0" w:after="60"/>
        <w:rPr/>
      </w:pPr>
      <w:r>
        <w:rPr>
          <w:rFonts w:eastAsia="Segoe UI" w:cs="Segoe UI" w:ascii="Segoe UI" w:hAnsi="Segoe UI"/>
          <w:color w:val="101820"/>
          <w:sz w:val="21"/>
        </w:rPr>
        <w:t>React 18, Node.js 22, PostgreSQL 16; 13 direct runtime dependencies in the API, all under permissive licences.</w:t>
      </w:r>
    </w:p>
    <w:p>
      <w:pPr>
        <w:pStyle w:val="Normal"/>
        <w:numPr>
          <w:ilvl w:val="0"/>
          <w:numId w:val="1"/>
        </w:numPr>
        <w:spacing w:before="0" w:after="60"/>
        <w:rPr/>
      </w:pPr>
      <w:r>
        <w:rPr>
          <w:rFonts w:eastAsia="Segoe UI" w:cs="Segoe UI" w:ascii="Segoe UI" w:hAnsi="Segoe UI"/>
          <w:color w:val="101820"/>
          <w:sz w:val="21"/>
        </w:rPr>
        <w:t>854 API routes listed in OpenAPI, a Postman collection and an Excel touchpoint workbook from screen to route.</w:t>
      </w:r>
    </w:p>
    <w:p>
      <w:pPr>
        <w:pStyle w:val="Normal"/>
        <w:numPr>
          <w:ilvl w:val="0"/>
          <w:numId w:val="1"/>
        </w:numPr>
        <w:spacing w:before="0" w:after="60"/>
        <w:rPr/>
      </w:pPr>
      <w:r>
        <w:rPr>
          <w:rFonts w:eastAsia="Segoe UI" w:cs="Segoe UI" w:ascii="Segoe UI" w:hAnsi="Segoe UI"/>
          <w:color w:val="101820"/>
          <w:sz w:val="21"/>
        </w:rPr>
        <w:t>Database migrations applied on start under a lock; migrations only add to the schema.</w:t>
      </w:r>
    </w:p>
    <w:p>
      <w:pPr>
        <w:pStyle w:val="Normal"/>
        <w:numPr>
          <w:ilvl w:val="0"/>
          <w:numId w:val="1"/>
        </w:numPr>
        <w:spacing w:before="0" w:after="60"/>
        <w:rPr/>
      </w:pPr>
      <w:r>
        <w:rPr>
          <w:rFonts w:eastAsia="Segoe UI" w:cs="Segoe UI" w:ascii="Segoe UI" w:hAnsi="Segoe UI"/>
          <w:color w:val="101820"/>
          <w:sz w:val="21"/>
        </w:rPr>
        <w:t>Automated backend tests against a real PostgreSQL database on every pull request.</w:t>
      </w:r>
      <w:r>
        <w:br w:type="page"/>
      </w:r>
    </w:p>
    <w:p>
      <w:pPr>
        <w:pStyle w:val="Heading1"/>
        <w:rPr/>
      </w:pPr>
      <w:bookmarkStart w:id="53" w:name="__RefHeading___Toc7940_1338352368"/>
      <w:bookmarkEnd w:id="53"/>
      <w:r>
        <w:rPr>
          <w:rFonts w:eastAsia="Segoe UI" w:cs="Segoe UI" w:ascii="Segoe UI" w:hAnsi="Segoe UI"/>
          <w:b/>
          <w:color w:val="0F4761"/>
          <w:sz w:val="32"/>
        </w:rPr>
        <w:t>8.  Deployment and support</w:t>
      </w:r>
    </w:p>
    <w:p>
      <w:pPr>
        <w:pStyle w:val="Heading2"/>
        <w:rPr/>
      </w:pPr>
      <w:bookmarkStart w:id="54" w:name="__RefHeading___Toc7942_1338352368"/>
      <w:bookmarkEnd w:id="54"/>
      <w:r>
        <w:rPr>
          <w:rFonts w:eastAsia="Segoe UI" w:cs="Segoe UI"/>
          <w:b/>
          <w:color w:val="0F4761"/>
          <w:sz w:val="26"/>
        </w:rPr>
        <w:t>8.1  Deployment options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01"/>
        <w:gridCol w:w="5329"/>
        <w:gridCol w:w="1985"/>
      </w:tblGrid>
      <w:tr>
        <w:trPr>
          <w:tblHeader w:val="true"/>
        </w:trPr>
        <w:tc>
          <w:tcPr>
            <w:tcW w:w="170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Option</w:t>
            </w:r>
          </w:p>
        </w:tc>
        <w:tc>
          <w:tcPr>
            <w:tcW w:w="532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Form</w:t>
            </w:r>
          </w:p>
        </w:tc>
        <w:tc>
          <w:tcPr>
            <w:tcW w:w="198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Data location</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AWS</w:t>
            </w:r>
          </w:p>
        </w:tc>
        <w:tc>
          <w:tcPr>
            <w:tcW w:w="53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S3 and CloudFront, API containers behind a load balancer, RDS for PostgreSQL Multi-AZ, EFS file store</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Singapore (ap-southeast-1)</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Microsoft Azure</w:t>
            </w:r>
          </w:p>
        </w:tc>
        <w:tc>
          <w:tcPr>
            <w:tcW w:w="53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Storage static website with Front Door, Container Apps, PostgreSQL Flexible Server, Azure Files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Singapore (Southeast Asia)</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Local partner</w:t>
            </w:r>
          </w:p>
        </w:tc>
        <w:tc>
          <w:tcPr>
            <w:tcW w:w="53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Virtual machines in a Philippine data centre, PostgreSQL primary and standby, NFS file store</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Philippines</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On-premise</w:t>
            </w:r>
          </w:p>
        </w:tc>
        <w:tc>
          <w:tcPr>
            <w:tcW w:w="53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Broker's servers with Docker or Node.js under PM2, nginx reverse proxy</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Philippines, broker's site</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Hosting in Singapore is a cross-border transfer under the Data Privacy Act, which the broker documents and covers by contract. A broker that wants the system of record in the Philippines chooses a local partner or on-premise.</w:t>
      </w:r>
    </w:p>
    <w:p>
      <w:pPr>
        <w:pStyle w:val="Heading2"/>
        <w:rPr/>
      </w:pPr>
      <w:bookmarkStart w:id="55" w:name="__RefHeading___Toc7944_1338352368"/>
      <w:bookmarkEnd w:id="55"/>
      <w:r>
        <w:rPr>
          <w:rFonts w:eastAsia="Segoe UI" w:cs="Segoe UI"/>
          <w:b/>
          <w:color w:val="0F4761"/>
          <w:sz w:val="26"/>
        </w:rPr>
        <w:t>8.2  Implementation</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34"/>
        <w:gridCol w:w="4536"/>
        <w:gridCol w:w="1643"/>
        <w:gridCol w:w="1701"/>
      </w:tblGrid>
      <w:tr>
        <w:trPr>
          <w:tblHeader w:val="true"/>
        </w:trPr>
        <w:tc>
          <w:tcPr>
            <w:tcW w:w="113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Size</w:t>
            </w:r>
          </w:p>
        </w:tc>
        <w:tc>
          <w:tcPr>
            <w:tcW w:w="453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Typical profile</w:t>
            </w:r>
          </w:p>
        </w:tc>
        <w:tc>
          <w:tcPr>
            <w:tcW w:w="164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Duration to hypercare exit</w:t>
            </w:r>
          </w:p>
        </w:tc>
        <w:tc>
          <w:tcPr>
            <w:tcW w:w="170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Go-live</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Small</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One office, up to 25 users, up to 10 insurers, up to 5,000 in-force policies</w:t>
            </w:r>
          </w:p>
        </w:tc>
        <w:tc>
          <w:tcPr>
            <w:tcW w:w="16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 weeks</w:t>
            </w:r>
          </w:p>
        </w:tc>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Start of week 7</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Medium</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Up to 3 offices, 26 to 75 users, up to 25 insurers, up to 25,000 in-force policies</w:t>
            </w:r>
          </w:p>
        </w:tc>
        <w:tc>
          <w:tcPr>
            <w:tcW w:w="16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 weeks</w:t>
            </w:r>
          </w:p>
        </w:tc>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Start of week 10</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Large</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More than 3 offices, more than 75 users, more than 25,000 in-force policies</w:t>
            </w:r>
          </w:p>
        </w:tc>
        <w:tc>
          <w:tcPr>
            <w:tcW w:w="16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16 to 20 weeks</w:t>
            </w:r>
          </w:p>
        </w:tc>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Start of week 15 (20-week plan)</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Phases: mobilisation, discovery and fit-gap, environment set-up, configuration, data migration, integrations, training, system integration test, user acceptance test, cutover, go-live and hypercare until the first month-end close is done.</w:t>
      </w:r>
    </w:p>
    <w:p>
      <w:pPr>
        <w:pStyle w:val="Heading2"/>
        <w:rPr/>
      </w:pPr>
      <w:bookmarkStart w:id="56" w:name="__RefHeading___Toc7946_1338352368"/>
      <w:bookmarkEnd w:id="56"/>
      <w:r>
        <w:rPr>
          <w:rFonts w:eastAsia="Segoe UI" w:cs="Segoe UI"/>
          <w:b/>
          <w:color w:val="0F4761"/>
          <w:sz w:val="26"/>
        </w:rPr>
        <w:t>8.3  Support</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93"/>
        <w:gridCol w:w="2835"/>
        <w:gridCol w:w="5387"/>
      </w:tblGrid>
      <w:tr>
        <w:trPr>
          <w:tblHeader w:val="true"/>
        </w:trPr>
        <w:tc>
          <w:tcPr>
            <w:tcW w:w="79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Level</w:t>
            </w:r>
          </w:p>
        </w:tc>
        <w:tc>
          <w:tcPr>
            <w:tcW w:w="283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Who</w:t>
            </w:r>
          </w:p>
        </w:tc>
        <w:tc>
          <w:tcPr>
            <w:tcW w:w="538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Scope</w:t>
            </w:r>
          </w:p>
        </w:tc>
      </w:tr>
      <w:tr>
        <w:trPr/>
        <w:tc>
          <w:tcPr>
            <w:tcW w:w="7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L1</w:t>
            </w:r>
          </w:p>
        </w:tc>
        <w:tc>
          <w:tcPr>
            <w:tcW w:w="28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key users and System Administrator</w:t>
            </w:r>
          </w:p>
        </w:tc>
        <w:tc>
          <w:tcPr>
            <w:tcW w:w="53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How-to questions, users and passwords, settings and master data, logging tickets with evidence</w:t>
            </w:r>
          </w:p>
        </w:tc>
      </w:tr>
      <w:tr>
        <w:trPr/>
        <w:tc>
          <w:tcPr>
            <w:tcW w:w="7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L2</w:t>
            </w:r>
          </w:p>
        </w:tc>
        <w:tc>
          <w:tcPr>
            <w:tcW w:w="28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application support</w:t>
            </w:r>
          </w:p>
        </w:tc>
        <w:tc>
          <w:tcPr>
            <w:tcW w:w="53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Triage, reproduction, analysis, configuration and data corrections under change control, workarounds</w:t>
            </w:r>
          </w:p>
        </w:tc>
      </w:tr>
      <w:tr>
        <w:trPr/>
        <w:tc>
          <w:tcPr>
            <w:tcW w:w="7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L3</w:t>
            </w:r>
          </w:p>
        </w:tc>
        <w:tc>
          <w:tcPr>
            <w:tcW w:w="28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engineering</w:t>
            </w:r>
          </w:p>
        </w:tc>
        <w:tc>
          <w:tcPr>
            <w:tcW w:w="53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 defects, performance, infrastructure, security incidents, root-cause analysis, releases</w:t>
            </w:r>
          </w:p>
        </w:tc>
      </w:tr>
    </w:tbl>
    <w:p>
      <w:pPr>
        <w:pStyle w:val="Normal"/>
        <w:spacing w:before="0" w:after="80"/>
        <w:rPr/>
      </w:pPr>
      <w:r>
        <w:rPr/>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8"/>
        <w:gridCol w:w="2835"/>
        <w:gridCol w:w="3912"/>
      </w:tblGrid>
      <w:tr>
        <w:trPr>
          <w:tblHeader w:val="true"/>
        </w:trPr>
        <w:tc>
          <w:tcPr>
            <w:tcW w:w="226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Severity</w:t>
            </w:r>
          </w:p>
        </w:tc>
        <w:tc>
          <w:tcPr>
            <w:tcW w:w="283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First response</w:t>
            </w:r>
          </w:p>
        </w:tc>
        <w:tc>
          <w:tcPr>
            <w:tcW w:w="39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Restore or workaround</w:t>
            </w:r>
          </w:p>
        </w:tc>
      </w:tr>
      <w:tr>
        <w:trPr/>
        <w:tc>
          <w:tcPr>
            <w:tcW w:w="22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P1 Critical</w:t>
            </w:r>
          </w:p>
        </w:tc>
        <w:tc>
          <w:tcPr>
            <w:tcW w:w="28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30 minutes</w:t>
            </w:r>
          </w:p>
        </w:tc>
        <w:tc>
          <w:tcPr>
            <w:tcW w:w="39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 service hours</w:t>
            </w:r>
          </w:p>
        </w:tc>
      </w:tr>
      <w:tr>
        <w:trPr/>
        <w:tc>
          <w:tcPr>
            <w:tcW w:w="22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P2 High</w:t>
            </w:r>
          </w:p>
        </w:tc>
        <w:tc>
          <w:tcPr>
            <w:tcW w:w="28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 service hours</w:t>
            </w:r>
          </w:p>
        </w:tc>
        <w:tc>
          <w:tcPr>
            <w:tcW w:w="39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 business days</w:t>
            </w:r>
          </w:p>
        </w:tc>
      </w:tr>
      <w:tr>
        <w:trPr/>
        <w:tc>
          <w:tcPr>
            <w:tcW w:w="22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P3 Medium</w:t>
            </w:r>
          </w:p>
        </w:tc>
        <w:tc>
          <w:tcPr>
            <w:tcW w:w="28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 business day</w:t>
            </w:r>
          </w:p>
        </w:tc>
        <w:tc>
          <w:tcPr>
            <w:tcW w:w="39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 business days</w:t>
            </w:r>
          </w:p>
        </w:tc>
      </w:tr>
      <w:tr>
        <w:trPr/>
        <w:tc>
          <w:tcPr>
            <w:tcW w:w="22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P4 Low</w:t>
            </w:r>
          </w:p>
        </w:tc>
        <w:tc>
          <w:tcPr>
            <w:tcW w:w="28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 business days</w:t>
            </w:r>
          </w:p>
        </w:tc>
        <w:tc>
          <w:tcPr>
            <w:tcW w:w="39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Planned with the broker</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Standard support runs 8:00 to 18:00 Philippine time, Monday to Friday, except regular holidays; 24 x 7 cover for P1 is an option. These targets are the iorta TechNXT standard proposal and are fixed in the support agreement.</w:t>
      </w:r>
      <w:r>
        <w:br w:type="page"/>
      </w:r>
    </w:p>
    <w:p>
      <w:pPr>
        <w:pStyle w:val="Heading1"/>
        <w:rPr/>
      </w:pPr>
      <w:bookmarkStart w:id="57" w:name="__RefHeading___Toc7948_1338352368"/>
      <w:bookmarkEnd w:id="57"/>
      <w:r>
        <w:rPr>
          <w:rFonts w:eastAsia="Segoe UI" w:cs="Segoe UI" w:ascii="Segoe UI" w:hAnsi="Segoe UI"/>
          <w:b/>
          <w:color w:val="0F4761"/>
          <w:sz w:val="32"/>
        </w:rPr>
        <w:t>9.  Feature checklist for vendor comparison</w:t>
      </w:r>
    </w:p>
    <w:p>
      <w:pPr>
        <w:pStyle w:val="Normal"/>
        <w:spacing w:lineRule="auto" w:line="276" w:before="0" w:after="120"/>
        <w:rPr/>
      </w:pPr>
      <w:r>
        <w:rPr>
          <w:rFonts w:eastAsia="Segoe UI" w:cs="Segoe UI" w:ascii="Segoe UI" w:hAnsi="Segoe UI"/>
          <w:color w:val="101820"/>
          <w:sz w:val="21"/>
        </w:rPr>
        <w:t xml:space="preserve">The table lists capabilities a Philippine non-life broker typically compares. The BrokerVerse column states what the OOTB edition does: </w:t>
      </w:r>
      <w:r>
        <w:rPr>
          <w:rFonts w:eastAsia="Segoe UI" w:cs="Segoe UI" w:ascii="Segoe UI" w:hAnsi="Segoe UI"/>
          <w:b/>
          <w:color w:val="101820"/>
          <w:sz w:val="21"/>
        </w:rPr>
        <w:t>Yes</w:t>
      </w:r>
      <w:r>
        <w:rPr>
          <w:rFonts w:eastAsia="Segoe UI" w:cs="Segoe UI" w:ascii="Segoe UI" w:hAnsi="Segoe UI"/>
          <w:color w:val="101820"/>
          <w:sz w:val="21"/>
        </w:rPr>
        <w:t xml:space="preserve"> (delivered), </w:t>
      </w:r>
      <w:r>
        <w:rPr>
          <w:rFonts w:eastAsia="Segoe UI" w:cs="Segoe UI" w:ascii="Segoe UI" w:hAnsi="Segoe UI"/>
          <w:b/>
          <w:color w:val="101820"/>
          <w:sz w:val="21"/>
        </w:rPr>
        <w:t>Configurable</w:t>
      </w:r>
      <w:r>
        <w:rPr>
          <w:rFonts w:eastAsia="Segoe UI" w:cs="Segoe UI" w:ascii="Segoe UI" w:hAnsi="Segoe UI"/>
          <w:color w:val="101820"/>
          <w:sz w:val="21"/>
        </w:rPr>
        <w:t xml:space="preserve"> (delivered, set by configuration), </w:t>
      </w:r>
      <w:r>
        <w:rPr>
          <w:rFonts w:eastAsia="Segoe UI" w:cs="Segoe UI" w:ascii="Segoe UI" w:hAnsi="Segoe UI"/>
          <w:b/>
          <w:color w:val="101820"/>
          <w:sz w:val="21"/>
        </w:rPr>
        <w:t>Partial</w:t>
      </w:r>
      <w:r>
        <w:rPr>
          <w:rFonts w:eastAsia="Segoe UI" w:cs="Segoe UI" w:ascii="Segoe UI" w:hAnsi="Segoe UI"/>
          <w:color w:val="101820"/>
          <w:sz w:val="21"/>
        </w:rPr>
        <w:t xml:space="preserve"> (part of the need is met, see the note) or </w:t>
      </w:r>
      <w:r>
        <w:rPr>
          <w:rFonts w:eastAsia="Segoe UI" w:cs="Segoe UI" w:ascii="Segoe UI" w:hAnsi="Segoe UI"/>
          <w:b/>
          <w:color w:val="101820"/>
          <w:sz w:val="21"/>
        </w:rPr>
        <w:t>No</w:t>
      </w:r>
      <w:r>
        <w:rPr>
          <w:rFonts w:eastAsia="Segoe UI" w:cs="Segoe UI" w:ascii="Segoe UI" w:hAnsi="Segoe UI"/>
          <w:color w:val="101820"/>
          <w:sz w:val="21"/>
        </w:rPr>
        <w:t xml:space="preserve"> (not in OOTB, available as a change request). The last two columns are left for the broker's evaluation.</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10"/>
        <w:gridCol w:w="3743"/>
        <w:gridCol w:w="1360"/>
        <w:gridCol w:w="1587"/>
        <w:gridCol w:w="908"/>
        <w:gridCol w:w="906"/>
      </w:tblGrid>
      <w:tr>
        <w:trPr>
          <w:tblHeader w:val="true"/>
        </w:trPr>
        <w:tc>
          <w:tcPr>
            <w:tcW w:w="51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w:t>
            </w:r>
          </w:p>
        </w:tc>
        <w:tc>
          <w:tcPr>
            <w:tcW w:w="374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Capability</w:t>
            </w:r>
          </w:p>
        </w:tc>
        <w:tc>
          <w:tcPr>
            <w:tcW w:w="136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BrokerVerse OOTB</w:t>
            </w:r>
          </w:p>
        </w:tc>
        <w:tc>
          <w:tcPr>
            <w:tcW w:w="158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Note</w:t>
            </w:r>
          </w:p>
        </w:tc>
        <w:tc>
          <w:tcPr>
            <w:tcW w:w="90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Vendor B</w:t>
            </w:r>
          </w:p>
        </w:tc>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Vendor C</w:t>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Prospects with bulk upload</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Quick quote of packaged products from insurer rate tables</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Side-by-side comparison of insurers for a client</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Motor quotation with CTPL tariff per vehicle class</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Server-side re-pricing of every quotation</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Online client approval of quotations without sign-in</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Broker slip to several insurers with offers and declines</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Offer comparison with best offer and market capacity</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Co-insurance with lead and shares totalling 100%</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Placement slip with confirmation per insurer</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Placement journey rules per line of business</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Configurable</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12</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Record a policy issued by the insurer</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13</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KYC capture with government ID for motor</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Configurable</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14</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Broker billed and direct bill per policy</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Endorsements with re-pricing and return premium</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16</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Cancellation full, partial and pro-rata</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17</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Claims with insurer notice, adjuster and settlement approval</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18</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Claims paid through the broker with recoveries by share</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19</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Renewal pipeline with notices at 60, 30 and 15 days</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Configurable</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At-risk scoring and win-back campaigns</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21</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Premium invoices and official receipts on letterhead</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22</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Receipt and invoice e-mailed with PDF attachment</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23</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Online payment links with automatic receipt</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PayMongo, Dragonpay</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24</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Collections ageing and automatic reminders</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25</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Instalment plans and premium warranty monitor</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26</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Client credit limits</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27</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Remittance to insurers net of commission, by co-insurer share</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28</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Remittance approval levels by amount</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Configurable</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29</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Direct bill commission debit notes with VAT and EWT</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30</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Commission rate matrix by insurer, product and policy type</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31</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Referrer commission payable on full collection, less WHT</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Configurable</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32</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Incentive programmes for account executives</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33</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Double-entry general ledger fed by posting rules</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34</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Journal, correction and reversal vouchers with approval</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35</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Month-end close with checklist and approval</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36</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Year-end close and financial statements</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37</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Bank statement import and automatic matching</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38</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Bank reconciliation statement with approval</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39</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Insurer statement reconciliation with differences report</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40</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Premium taxes DST, LGT, VAT and FST per line</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Configurable</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41</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BIR Form 2307 issued and received</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42</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VAT Summary, SAWT, QAP, SLSP</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43</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Direct filing to BIR eFPS or eBIRForms</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44</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Reinsurance treaties, cessions, bordereaux and recoveries</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45</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Product configurator with tariff and rating rules</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46</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39 reports in Excel, CSV and PDF with scheduled e-mail</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47</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Role dashboards</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48</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In-app notifications, including every approval request and decision</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49</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Seven roles with server-side permission checks</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50</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Two-step verification by role</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Configurable</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51</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Authority matrix, delegations, segregation of duties, access reviews</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52</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Audit trail with before and after values</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53</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Consent register per purpose</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54</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Data subject request register with due dates</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55</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Personal data export and anonymisation with retention rules</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56</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Field-level encryption of personal identifiers</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Storage encryption recommended</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57</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Insurer system integration by API</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Files and e-mail</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58</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Bank payment file generation</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Transfers recorded</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59</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SMS notifications</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E-mail and in-app</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60</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IC-format regulatory reports</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Partial</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Figures from reports</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61</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AML transaction monitoring and sanctions screening</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KYC data held</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62</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Filipino user interface</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English</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63</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Hosting on AWS, Azure, a Philippine partner or on-premise</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64</w:t>
            </w:r>
          </w:p>
        </w:tc>
        <w:tc>
          <w:tcPr>
            <w:tcW w:w="37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Open API documentation</w:t>
            </w:r>
          </w:p>
        </w:tc>
        <w:tc>
          <w:tcPr>
            <w:tcW w:w="13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c>
          <w:tcPr>
            <w:tcW w:w="15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OpenAPI</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bl>
    <w:p>
      <w:pPr>
        <w:pStyle w:val="Normal"/>
        <w:spacing w:before="0" w:after="80"/>
        <w:rPr/>
      </w:pPr>
      <w:r>
        <w:rPr/>
      </w:r>
      <w:r>
        <w:br w:type="page"/>
      </w:r>
    </w:p>
    <w:p>
      <w:pPr>
        <w:pStyle w:val="Heading1"/>
        <w:rPr/>
      </w:pPr>
      <w:bookmarkStart w:id="58" w:name="__RefHeading___Toc7950_1338352368"/>
      <w:bookmarkEnd w:id="58"/>
      <w:r>
        <w:rPr>
          <w:rFonts w:eastAsia="Segoe UI" w:cs="Segoe UI" w:ascii="Segoe UI" w:hAnsi="Segoe UI"/>
          <w:b/>
          <w:color w:val="0F4761"/>
          <w:sz w:val="32"/>
        </w:rPr>
        <w:t>10.  Points to note in this release</w:t>
      </w:r>
    </w:p>
    <w:p>
      <w:pPr>
        <w:pStyle w:val="Normal"/>
        <w:spacing w:lineRule="auto" w:line="276" w:before="0" w:after="120"/>
        <w:rPr/>
      </w:pPr>
      <w:r>
        <w:rPr>
          <w:rFonts w:eastAsia="Segoe UI" w:cs="Segoe UI" w:ascii="Segoe UI" w:hAnsi="Segoe UI"/>
          <w:color w:val="101820"/>
          <w:sz w:val="21"/>
        </w:rPr>
        <w:t>These points come from the release test and the user manual. None of them stops the end-to-end cycle.</w:t>
      </w:r>
    </w:p>
    <w:p>
      <w:pPr>
        <w:pStyle w:val="Normal"/>
        <w:numPr>
          <w:ilvl w:val="0"/>
          <w:numId w:val="1"/>
        </w:numPr>
        <w:spacing w:before="0" w:after="60"/>
        <w:rPr/>
      </w:pPr>
      <w:r>
        <w:rPr>
          <w:rFonts w:eastAsia="Segoe UI" w:cs="Segoe UI" w:ascii="Segoe UI" w:hAnsi="Segoe UI"/>
          <w:color w:val="101820"/>
          <w:sz w:val="21"/>
        </w:rPr>
        <w:t>The sign-in session is kept in the browser's local storage; a change to an httpOnly cookie is planned. Two-step enrolment shows a setup key and a link, not a QR code.</w:t>
      </w:r>
    </w:p>
    <w:p>
      <w:pPr>
        <w:pStyle w:val="Normal"/>
        <w:numPr>
          <w:ilvl w:val="0"/>
          <w:numId w:val="1"/>
        </w:numPr>
        <w:spacing w:before="0" w:after="60"/>
        <w:rPr/>
      </w:pPr>
      <w:r>
        <w:rPr>
          <w:rFonts w:eastAsia="Segoe UI" w:cs="Segoe UI" w:ascii="Segoe UI" w:hAnsi="Segoe UI"/>
          <w:color w:val="101820"/>
          <w:sz w:val="21"/>
        </w:rPr>
        <w:t>Client personal data relies on encryption of the database storage and backups; only two-step secrets are encrypted inside the application.</w:t>
      </w:r>
    </w:p>
    <w:p>
      <w:pPr>
        <w:pStyle w:val="Normal"/>
        <w:numPr>
          <w:ilvl w:val="0"/>
          <w:numId w:val="1"/>
        </w:numPr>
        <w:spacing w:before="0" w:after="60"/>
        <w:rPr/>
      </w:pPr>
      <w:r>
        <w:rPr>
          <w:rFonts w:eastAsia="Segoe UI" w:cs="Segoe UI" w:ascii="Segoe UI" w:hAnsi="Segoe UI"/>
          <w:color w:val="101820"/>
          <w:sz w:val="21"/>
        </w:rPr>
        <w:t>A front-end library (react-router) carries a moderate security advisory; the upgrade is planned for the next minor release.</w:t>
      </w:r>
    </w:p>
    <w:p>
      <w:pPr>
        <w:pStyle w:val="Normal"/>
        <w:numPr>
          <w:ilvl w:val="0"/>
          <w:numId w:val="1"/>
        </w:numPr>
        <w:spacing w:before="0" w:after="60"/>
        <w:rPr/>
      </w:pPr>
      <w:r>
        <w:rPr>
          <w:rFonts w:eastAsia="Segoe UI" w:cs="Segoe UI" w:ascii="Segoe UI" w:hAnsi="Segoe UI"/>
          <w:color w:val="101820"/>
          <w:sz w:val="21"/>
        </w:rPr>
        <w:t>Several masters have no Upload button yet; their templates are loaded by the System Administrator.</w:t>
      </w:r>
    </w:p>
    <w:p>
      <w:pPr>
        <w:pStyle w:val="Normal"/>
        <w:numPr>
          <w:ilvl w:val="0"/>
          <w:numId w:val="1"/>
        </w:numPr>
        <w:spacing w:before="0" w:after="60"/>
        <w:rPr/>
      </w:pPr>
      <w:r>
        <w:rPr>
          <w:rFonts w:eastAsia="Segoe UI" w:cs="Segoe UI" w:ascii="Segoe UI" w:hAnsi="Segoe UI"/>
          <w:color w:val="101820"/>
          <w:sz w:val="21"/>
        </w:rPr>
        <w:t>The Settlement cash panel of a claim paid through the broker is on the claim screens, so the System Administrator records the funds on Accounting's instruction until the Accounting menu is extended.</w:t>
      </w:r>
    </w:p>
    <w:p>
      <w:pPr>
        <w:pStyle w:val="Normal"/>
        <w:numPr>
          <w:ilvl w:val="0"/>
          <w:numId w:val="1"/>
        </w:numPr>
        <w:spacing w:before="0" w:after="60"/>
        <w:rPr/>
      </w:pPr>
      <w:r>
        <w:rPr>
          <w:rFonts w:eastAsia="Segoe UI" w:cs="Segoe UI" w:ascii="Segoe UI" w:hAnsi="Segoe UI"/>
          <w:color w:val="101820"/>
          <w:sz w:val="21"/>
        </w:rPr>
        <w:t>The BIR reports give the figures in the BIR column order; the broker validates them with the BIR's tools before filing.</w:t>
      </w:r>
    </w:p>
    <w:p>
      <w:pPr>
        <w:pStyle w:val="Normal"/>
        <w:numPr>
          <w:ilvl w:val="0"/>
          <w:numId w:val="1"/>
        </w:numPr>
        <w:spacing w:before="0" w:after="60"/>
        <w:rPr/>
      </w:pPr>
      <w:r>
        <w:rPr>
          <w:rFonts w:eastAsia="Segoe UI" w:cs="Segoe UI" w:ascii="Segoe UI" w:hAnsi="Segoe UI"/>
          <w:color w:val="101820"/>
          <w:sz w:val="21"/>
        </w:rPr>
        <w:t>No load test has been run yet; a load test on the production-sized environment is recommended before go-live.</w:t>
      </w:r>
      <w:r>
        <w:br w:type="page"/>
      </w:r>
    </w:p>
    <w:p>
      <w:pPr>
        <w:pStyle w:val="Heading1"/>
        <w:tabs>
          <w:tab w:val="clear" w:pos="720"/>
          <w:tab w:val="left" w:pos="360" w:leader="none"/>
        </w:tabs>
        <w:spacing w:lineRule="auto" w:line="360"/>
        <w:ind w:hanging="0" w:left="0"/>
        <w:rPr>
          <w:rStyle w:val="BookTitle"/>
          <w:b w:val="false"/>
          <w:bCs w:val="false"/>
          <w:i w:val="false"/>
          <w:i w:val="false"/>
          <w:iCs w:val="false"/>
          <w:spacing w:val="0"/>
        </w:rPr>
      </w:pPr>
      <w:bookmarkStart w:id="59" w:name="__RefHeading___Toc7952_1338352368"/>
      <w:bookmarkStart w:id="60" w:name="_Toc233203395"/>
      <w:bookmarkEnd w:id="59"/>
      <w:r>
        <w:rPr>
          <w:rStyle w:val="BookTitle"/>
          <w:bCs w:val="false"/>
          <w:i w:val="false"/>
          <w:iCs w:val="false"/>
          <w:spacing w:val="0"/>
        </w:rPr>
        <w:t>11.  Document Sign-Off</w:t>
      </w:r>
      <w:bookmarkEnd w:id="60"/>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No open items at the time of issue</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Closed</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68">
            <wp:simplePos x="0" y="0"/>
            <wp:positionH relativeFrom="margin">
              <wp:align>center</wp:align>
            </wp:positionH>
            <wp:positionV relativeFrom="margin">
              <wp:align>center</wp:align>
            </wp:positionV>
            <wp:extent cx="7548245" cy="10677525"/>
            <wp:effectExtent l="0" t="0" r="0" b="0"/>
            <wp:wrapNone/>
            <wp:docPr id="2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 descr=""/>
                    <pic:cNvPicPr>
                      <a:picLocks noChangeAspect="1" noChangeArrowheads="1"/>
                    </pic:cNvPicPr>
                  </pic:nvPicPr>
                  <pic:blipFill>
                    <a:blip r:embed="rId24"/>
                    <a:stretch>
                      <a:fillRect/>
                    </a:stretch>
                  </pic:blipFill>
                  <pic:spPr bwMode="auto">
                    <a:xfrm>
                      <a:off x="0" y="0"/>
                      <a:ext cx="7548245" cy="10677525"/>
                    </a:xfrm>
                    <a:prstGeom prst="rect">
                      <a:avLst/>
                    </a:prstGeom>
                  </pic:spPr>
                </pic:pic>
              </a:graphicData>
            </a:graphic>
          </wp:anchor>
        </w:drawing>
      </w:r>
    </w:p>
    <w:sectPr>
      <w:footerReference w:type="default" r:id="rId25"/>
      <w:footerReference w:type="first" r:id="rId26"/>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 w:name="Consolas">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67">
          <wp:simplePos x="0" y="0"/>
          <wp:positionH relativeFrom="page">
            <wp:align>left</wp:align>
          </wp:positionH>
          <wp:positionV relativeFrom="paragraph">
            <wp:posOffset>-708025</wp:posOffset>
          </wp:positionV>
          <wp:extent cx="8778240" cy="885190"/>
          <wp:effectExtent l="0" t="0" r="0" b="0"/>
          <wp:wrapNone/>
          <wp:docPr id="29"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67">
          <wp:simplePos x="0" y="0"/>
          <wp:positionH relativeFrom="page">
            <wp:align>left</wp:align>
          </wp:positionH>
          <wp:positionV relativeFrom="paragraph">
            <wp:posOffset>-708025</wp:posOffset>
          </wp:positionV>
          <wp:extent cx="8778240" cy="885190"/>
          <wp:effectExtent l="0" t="0" r="0" b="0"/>
          <wp:wrapNone/>
          <wp:docPr id="30"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00"/>
      </w:pPr>
      <w:rPr>
        <w:rFonts w:ascii="Symbol" w:hAnsi="Symbol" w:cs="Symbol" w:hint="default"/>
      </w:rPr>
    </w:lvl>
    <w:lvl w:ilvl="1">
      <w:start w:val="1"/>
      <w:numFmt w:val="bullet"/>
      <w:lvlText w:val=""/>
      <w:lvlJc w:val="left"/>
      <w:pPr>
        <w:tabs>
          <w:tab w:val="num" w:pos="0"/>
        </w:tabs>
        <w:ind w:left="1080" w:hanging="300"/>
      </w:pPr>
      <w:rPr>
        <w:rFonts w:ascii="Symbol" w:hAnsi="Symbol" w:cs="Symbol" w:hint="default"/>
      </w:rPr>
    </w:lvl>
    <w:lvl w:ilvl="2">
      <w:start w:val="1"/>
      <w:numFmt w:val="bullet"/>
      <w:lvlText w:val="◦"/>
      <w:lvlJc w:val="left"/>
      <w:pPr>
        <w:tabs>
          <w:tab w:val="num" w:pos="0"/>
        </w:tabs>
        <w:ind w:left="1440" w:hanging="30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jpeg"/><Relationship Id="rId25" Type="http://schemas.openxmlformats.org/officeDocument/2006/relationships/footer" Target="footer1.xml"/><Relationship Id="rId26" Type="http://schemas.openxmlformats.org/officeDocument/2006/relationships/footer" Target="footer2.xm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Relationship Id="rId31" Type="http://schemas.openxmlformats.org/officeDocument/2006/relationships/customXml" Target="../customXml/item1.xml"/><Relationship Id="rId32" Type="http://schemas.openxmlformats.org/officeDocument/2006/relationships/customXml" Target="../customXml/item2.xml"/><Relationship Id="rId33" Type="http://schemas.openxmlformats.org/officeDocument/2006/relationships/customXml" Target="../customXml/item3.xml"/><Relationship Id="rId34"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24.png"/>
</Relationships>
</file>

<file path=word/_rels/footer2.xml.rels><?xml version="1.0" encoding="UTF-8"?>
<Relationships xmlns="http://schemas.openxmlformats.org/package/2006/relationships"><Relationship Id="rId1" Type="http://schemas.openxmlformats.org/officeDocument/2006/relationships/image" Target="media/image2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Pages>
  <Words>812</Words>
  <Characters>4634</Characters>
  <CharactersWithSpaces>5436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2026-10-03T17:59:11Z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