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2.png" ContentType="image/png"/>
  <Override PartName="/word/media/image1.jpeg" ContentType="image/jpeg"/>
  <Override PartName="/word/media/image10.png" ContentType="image/png"/>
  <Override PartName="/word/media/image23.jpeg" ContentType="image/jpeg"/>
  <Override PartName="/word/media/image21.png" ContentType="image/png"/>
  <Override PartName="/word/media/image19.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7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9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8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8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8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8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8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787_189461843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9789_189461843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9791_1894618434">
            <w:r>
              <w:rPr>
                <w:webHidden/>
                <w:rStyle w:val="IndexLink"/>
              </w:rPr>
              <w:t>3. Introduction</w:t>
              <w:tab/>
              <w:t>6</w:t>
            </w:r>
          </w:hyperlink>
        </w:p>
        <w:p>
          <w:pPr>
            <w:pStyle w:val="TOC2"/>
            <w:tabs>
              <w:tab w:val="clear" w:pos="900"/>
              <w:tab w:val="clear" w:pos="9350"/>
              <w:tab w:val="right" w:pos="9025" w:leader="dot"/>
            </w:tabs>
            <w:rPr/>
          </w:pPr>
          <w:hyperlink w:anchor="__RefHeading___Toc9793_1894618434">
            <w:r>
              <w:rPr>
                <w:webHidden/>
                <w:rStyle w:val="IndexLink"/>
              </w:rPr>
              <w:t>3.1 Purpose</w:t>
              <w:tab/>
              <w:t>6</w:t>
            </w:r>
          </w:hyperlink>
        </w:p>
        <w:p>
          <w:pPr>
            <w:pStyle w:val="TOC2"/>
            <w:tabs>
              <w:tab w:val="clear" w:pos="900"/>
              <w:tab w:val="clear" w:pos="9350"/>
              <w:tab w:val="right" w:pos="9025" w:leader="dot"/>
            </w:tabs>
            <w:rPr/>
          </w:pPr>
          <w:hyperlink w:anchor="__RefHeading___Toc9795_1894618434">
            <w:r>
              <w:rPr>
                <w:webHidden/>
                <w:rStyle w:val="IndexLink"/>
              </w:rPr>
              <w:t>3.2 Conventions</w:t>
              <w:tab/>
              <w:t>6</w:t>
            </w:r>
          </w:hyperlink>
        </w:p>
        <w:p>
          <w:pPr>
            <w:pStyle w:val="TOC2"/>
            <w:tabs>
              <w:tab w:val="clear" w:pos="900"/>
              <w:tab w:val="clear" w:pos="9350"/>
              <w:tab w:val="right" w:pos="9025" w:leader="dot"/>
            </w:tabs>
            <w:rPr/>
          </w:pPr>
          <w:hyperlink w:anchor="__RefHeading___Toc9797_1894618434">
            <w:r>
              <w:rPr>
                <w:webHidden/>
                <w:rStyle w:val="IndexLink"/>
              </w:rPr>
              <w:t>3.3 Version history</w:t>
              <w:tab/>
              <w:t>7</w:t>
            </w:r>
          </w:hyperlink>
        </w:p>
        <w:p>
          <w:pPr>
            <w:pStyle w:val="TOC2"/>
            <w:tabs>
              <w:tab w:val="clear" w:pos="900"/>
              <w:tab w:val="clear" w:pos="9350"/>
              <w:tab w:val="right" w:pos="9025" w:leader="dot"/>
            </w:tabs>
            <w:rPr/>
          </w:pPr>
          <w:hyperlink w:anchor="__RefHeading___Toc9799_1894618434">
            <w:r>
              <w:rPr>
                <w:webHidden/>
                <w:rStyle w:val="IndexLink"/>
              </w:rPr>
              <w:t>3.4 The product at a glance</w:t>
              <w:tab/>
              <w:t>7</w:t>
            </w:r>
          </w:hyperlink>
        </w:p>
        <w:p>
          <w:pPr>
            <w:pStyle w:val="TOC1"/>
            <w:tabs>
              <w:tab w:val="clear" w:pos="900"/>
              <w:tab w:val="clear" w:pos="9350"/>
              <w:tab w:val="right" w:pos="9025" w:leader="dot"/>
            </w:tabs>
            <w:rPr/>
          </w:pPr>
          <w:hyperlink w:anchor="__RefHeading___Toc9801_1894618434">
            <w:r>
              <w:rPr>
                <w:webHidden/>
                <w:rStyle w:val="IndexLink"/>
              </w:rPr>
              <w:t>4. The end-to-end process</w:t>
              <w:tab/>
              <w:t>8</w:t>
            </w:r>
          </w:hyperlink>
        </w:p>
        <w:p>
          <w:pPr>
            <w:pStyle w:val="TOC2"/>
            <w:tabs>
              <w:tab w:val="clear" w:pos="900"/>
              <w:tab w:val="clear" w:pos="9350"/>
              <w:tab w:val="right" w:pos="9025" w:leader="dot"/>
            </w:tabs>
            <w:rPr/>
          </w:pPr>
          <w:hyperlink w:anchor="__RefHeading___Toc9803_1894618434">
            <w:r>
              <w:rPr>
                <w:webHidden/>
                <w:rStyle w:val="IndexLink"/>
              </w:rPr>
              <w:t>4.1 The broking cycle</w:t>
              <w:tab/>
              <w:t>8</w:t>
            </w:r>
          </w:hyperlink>
        </w:p>
        <w:p>
          <w:pPr>
            <w:pStyle w:val="TOC2"/>
            <w:tabs>
              <w:tab w:val="clear" w:pos="900"/>
              <w:tab w:val="clear" w:pos="9350"/>
              <w:tab w:val="right" w:pos="9025" w:leader="dot"/>
            </w:tabs>
            <w:rPr/>
          </w:pPr>
          <w:hyperlink w:anchor="__RefHeading___Toc9805_1894618434">
            <w:r>
              <w:rPr>
                <w:webHidden/>
                <w:rStyle w:val="IndexLink"/>
              </w:rPr>
              <w:t>4.2 Placement journey by line of business</w:t>
              <w:tab/>
              <w:t>9</w:t>
            </w:r>
          </w:hyperlink>
        </w:p>
        <w:p>
          <w:pPr>
            <w:pStyle w:val="TOC2"/>
            <w:tabs>
              <w:tab w:val="clear" w:pos="900"/>
              <w:tab w:val="clear" w:pos="9350"/>
              <w:tab w:val="right" w:pos="9025" w:leader="dot"/>
            </w:tabs>
            <w:rPr/>
          </w:pPr>
          <w:hyperlink w:anchor="__RefHeading___Toc9807_1894618434">
            <w:r>
              <w:rPr>
                <w:webHidden/>
                <w:rStyle w:val="IndexLink"/>
              </w:rPr>
              <w:t>4.3 The money trail</w:t>
              <w:tab/>
              <w:t>9</w:t>
            </w:r>
          </w:hyperlink>
        </w:p>
        <w:p>
          <w:pPr>
            <w:pStyle w:val="TOC1"/>
            <w:tabs>
              <w:tab w:val="clear" w:pos="900"/>
              <w:tab w:val="clear" w:pos="9350"/>
              <w:tab w:val="right" w:pos="9025" w:leader="dot"/>
            </w:tabs>
            <w:rPr/>
          </w:pPr>
          <w:hyperlink w:anchor="__RefHeading___Toc9809_1894618434">
            <w:r>
              <w:rPr>
                <w:webHidden/>
                <w:rStyle w:val="IndexLink"/>
              </w:rPr>
              <w:t>5. Functional modules</w:t>
              <w:tab/>
              <w:t>10</w:t>
            </w:r>
          </w:hyperlink>
        </w:p>
        <w:p>
          <w:pPr>
            <w:pStyle w:val="TOC2"/>
            <w:tabs>
              <w:tab w:val="clear" w:pos="900"/>
              <w:tab w:val="clear" w:pos="9350"/>
              <w:tab w:val="right" w:pos="9025" w:leader="dot"/>
            </w:tabs>
            <w:rPr/>
          </w:pPr>
          <w:hyperlink w:anchor="__RefHeading___Toc9811_1894618434">
            <w:r>
              <w:rPr>
                <w:webHidden/>
                <w:rStyle w:val="IndexLink"/>
              </w:rPr>
              <w:t>5.1 Dashboards</w:t>
              <w:tab/>
              <w:t>10</w:t>
            </w:r>
          </w:hyperlink>
        </w:p>
        <w:p>
          <w:pPr>
            <w:pStyle w:val="TOC2"/>
            <w:tabs>
              <w:tab w:val="clear" w:pos="900"/>
              <w:tab w:val="clear" w:pos="9350"/>
              <w:tab w:val="right" w:pos="9025" w:leader="dot"/>
            </w:tabs>
            <w:rPr/>
          </w:pPr>
          <w:hyperlink w:anchor="__RefHeading___Toc9813_1894618434">
            <w:r>
              <w:rPr>
                <w:webHidden/>
                <w:rStyle w:val="IndexLink"/>
              </w:rPr>
              <w:t>5.2 Prospects and clients</w:t>
              <w:tab/>
              <w:t>11</w:t>
            </w:r>
          </w:hyperlink>
        </w:p>
        <w:p>
          <w:pPr>
            <w:pStyle w:val="TOC2"/>
            <w:tabs>
              <w:tab w:val="clear" w:pos="900"/>
              <w:tab w:val="clear" w:pos="9350"/>
              <w:tab w:val="right" w:pos="9025" w:leader="dot"/>
            </w:tabs>
            <w:rPr/>
          </w:pPr>
          <w:hyperlink w:anchor="__RefHeading___Toc9815_1894618434">
            <w:r>
              <w:rPr>
                <w:webHidden/>
                <w:rStyle w:val="IndexLink"/>
              </w:rPr>
              <w:t>5.3 Quick Quote and Compare Insurers</w:t>
              <w:tab/>
              <w:t>12</w:t>
            </w:r>
          </w:hyperlink>
        </w:p>
        <w:p>
          <w:pPr>
            <w:pStyle w:val="TOC2"/>
            <w:tabs>
              <w:tab w:val="clear" w:pos="900"/>
              <w:tab w:val="clear" w:pos="9350"/>
              <w:tab w:val="right" w:pos="9025" w:leader="dot"/>
            </w:tabs>
            <w:rPr/>
          </w:pPr>
          <w:hyperlink w:anchor="__RefHeading___Toc9817_1894618434">
            <w:r>
              <w:rPr>
                <w:webHidden/>
                <w:rStyle w:val="IndexLink"/>
              </w:rPr>
              <w:t>5.4 Motor quotation and customer approval</w:t>
              <w:tab/>
              <w:t>13</w:t>
            </w:r>
          </w:hyperlink>
        </w:p>
        <w:p>
          <w:pPr>
            <w:pStyle w:val="TOC2"/>
            <w:tabs>
              <w:tab w:val="clear" w:pos="900"/>
              <w:tab w:val="clear" w:pos="9350"/>
              <w:tab w:val="right" w:pos="9025" w:leader="dot"/>
            </w:tabs>
            <w:rPr/>
          </w:pPr>
          <w:hyperlink w:anchor="__RefHeading___Toc9819_1894618434">
            <w:r>
              <w:rPr>
                <w:webHidden/>
                <w:rStyle w:val="IndexLink"/>
              </w:rPr>
              <w:t>5.5 Request for Quotation and placement</w:t>
              <w:tab/>
              <w:t>14</w:t>
            </w:r>
          </w:hyperlink>
        </w:p>
        <w:p>
          <w:pPr>
            <w:pStyle w:val="TOC2"/>
            <w:tabs>
              <w:tab w:val="clear" w:pos="900"/>
              <w:tab w:val="clear" w:pos="9350"/>
              <w:tab w:val="right" w:pos="9025" w:leader="dot"/>
            </w:tabs>
            <w:rPr/>
          </w:pPr>
          <w:hyperlink w:anchor="__RefHeading___Toc9821_1894618434">
            <w:r>
              <w:rPr>
                <w:webHidden/>
                <w:rStyle w:val="IndexLink"/>
              </w:rPr>
              <w:t>5.6 Policy issuance and servicing</w:t>
              <w:tab/>
              <w:t>16</w:t>
            </w:r>
          </w:hyperlink>
        </w:p>
        <w:p>
          <w:pPr>
            <w:pStyle w:val="TOC2"/>
            <w:tabs>
              <w:tab w:val="clear" w:pos="900"/>
              <w:tab w:val="clear" w:pos="9350"/>
              <w:tab w:val="right" w:pos="9025" w:leader="dot"/>
            </w:tabs>
            <w:rPr/>
          </w:pPr>
          <w:hyperlink w:anchor="__RefHeading___Toc9823_1894618434">
            <w:r>
              <w:rPr>
                <w:webHidden/>
                <w:rStyle w:val="IndexLink"/>
              </w:rPr>
              <w:t>5.7 Endorsements and cancellations</w:t>
              <w:tab/>
              <w:t>18</w:t>
            </w:r>
          </w:hyperlink>
        </w:p>
        <w:p>
          <w:pPr>
            <w:pStyle w:val="TOC2"/>
            <w:tabs>
              <w:tab w:val="clear" w:pos="900"/>
              <w:tab w:val="clear" w:pos="9350"/>
              <w:tab w:val="right" w:pos="9025" w:leader="dot"/>
            </w:tabs>
            <w:rPr/>
          </w:pPr>
          <w:hyperlink w:anchor="__RefHeading___Toc9825_1894618434">
            <w:r>
              <w:rPr>
                <w:webHidden/>
                <w:rStyle w:val="IndexLink"/>
              </w:rPr>
              <w:t>5.8 Claims</w:t>
              <w:tab/>
              <w:t>18</w:t>
            </w:r>
          </w:hyperlink>
        </w:p>
        <w:p>
          <w:pPr>
            <w:pStyle w:val="TOC2"/>
            <w:tabs>
              <w:tab w:val="clear" w:pos="900"/>
              <w:tab w:val="clear" w:pos="9350"/>
              <w:tab w:val="right" w:pos="9025" w:leader="dot"/>
            </w:tabs>
            <w:rPr/>
          </w:pPr>
          <w:hyperlink w:anchor="__RefHeading___Toc9827_1894618434">
            <w:r>
              <w:rPr>
                <w:webHidden/>
                <w:rStyle w:val="IndexLink"/>
              </w:rPr>
              <w:t>5.9 Renewals</w:t>
              <w:tab/>
              <w:t>20</w:t>
            </w:r>
          </w:hyperlink>
        </w:p>
        <w:p>
          <w:pPr>
            <w:pStyle w:val="TOC2"/>
            <w:tabs>
              <w:tab w:val="clear" w:pos="900"/>
              <w:tab w:val="clear" w:pos="9350"/>
              <w:tab w:val="right" w:pos="9025" w:leader="dot"/>
            </w:tabs>
            <w:rPr/>
          </w:pPr>
          <w:hyperlink w:anchor="__RefHeading___Toc9829_1894618434">
            <w:r>
              <w:rPr>
                <w:webHidden/>
                <w:rStyle w:val="IndexLink"/>
              </w:rPr>
              <w:t>5.10 Billing, payments and official receipts</w:t>
              <w:tab/>
              <w:t>21</w:t>
            </w:r>
          </w:hyperlink>
        </w:p>
        <w:p>
          <w:pPr>
            <w:pStyle w:val="TOC2"/>
            <w:tabs>
              <w:tab w:val="clear" w:pos="900"/>
              <w:tab w:val="clear" w:pos="9350"/>
              <w:tab w:val="right" w:pos="9025" w:leader="dot"/>
            </w:tabs>
            <w:rPr/>
          </w:pPr>
          <w:hyperlink w:anchor="__RefHeading___Toc9831_1894618434">
            <w:r>
              <w:rPr>
                <w:webHidden/>
                <w:rStyle w:val="IndexLink"/>
              </w:rPr>
              <w:t>5.11 Collections and credit control</w:t>
              <w:tab/>
              <w:t>22</w:t>
            </w:r>
          </w:hyperlink>
        </w:p>
        <w:p>
          <w:pPr>
            <w:pStyle w:val="TOC2"/>
            <w:tabs>
              <w:tab w:val="clear" w:pos="900"/>
              <w:tab w:val="clear" w:pos="9350"/>
              <w:tab w:val="right" w:pos="9025" w:leader="dot"/>
            </w:tabs>
            <w:rPr/>
          </w:pPr>
          <w:hyperlink w:anchor="__RefHeading___Toc9833_1894618434">
            <w:r>
              <w:rPr>
                <w:webHidden/>
                <w:rStyle w:val="IndexLink"/>
              </w:rPr>
              <w:t>5.12 Accounts payable and fixed assets</w:t>
              <w:tab/>
              <w:t>23</w:t>
            </w:r>
          </w:hyperlink>
        </w:p>
        <w:p>
          <w:pPr>
            <w:pStyle w:val="TOC2"/>
            <w:tabs>
              <w:tab w:val="clear" w:pos="900"/>
              <w:tab w:val="clear" w:pos="9350"/>
              <w:tab w:val="right" w:pos="9025" w:leader="dot"/>
            </w:tabs>
            <w:rPr/>
          </w:pPr>
          <w:hyperlink w:anchor="__RefHeading___Toc9835_1894618434">
            <w:r>
              <w:rPr>
                <w:webHidden/>
                <w:rStyle w:val="IndexLink"/>
              </w:rPr>
              <w:t>5.13 Disbursement and petty cash</w:t>
              <w:tab/>
              <w:t>24</w:t>
            </w:r>
          </w:hyperlink>
        </w:p>
        <w:p>
          <w:pPr>
            <w:pStyle w:val="TOC2"/>
            <w:tabs>
              <w:tab w:val="clear" w:pos="900"/>
              <w:tab w:val="clear" w:pos="9350"/>
              <w:tab w:val="right" w:pos="9025" w:leader="dot"/>
            </w:tabs>
            <w:rPr/>
          </w:pPr>
          <w:hyperlink w:anchor="__RefHeading___Toc9837_1894618434">
            <w:r>
              <w:rPr>
                <w:webHidden/>
                <w:rStyle w:val="IndexLink"/>
              </w:rPr>
              <w:t>5.14 Remittance to insurers and direct bill</w:t>
              <w:tab/>
              <w:t>25</w:t>
            </w:r>
          </w:hyperlink>
        </w:p>
        <w:p>
          <w:pPr>
            <w:pStyle w:val="TOC2"/>
            <w:tabs>
              <w:tab w:val="clear" w:pos="900"/>
              <w:tab w:val="clear" w:pos="9350"/>
              <w:tab w:val="right" w:pos="9025" w:leader="dot"/>
            </w:tabs>
            <w:rPr/>
          </w:pPr>
          <w:hyperlink w:anchor="__RefHeading___Toc9839_1894618434">
            <w:r>
              <w:rPr>
                <w:webHidden/>
                <w:rStyle w:val="IndexLink"/>
              </w:rPr>
              <w:t>5.15 Commission and referrers</w:t>
              <w:tab/>
              <w:t>26</w:t>
            </w:r>
          </w:hyperlink>
        </w:p>
        <w:p>
          <w:pPr>
            <w:pStyle w:val="TOC2"/>
            <w:tabs>
              <w:tab w:val="clear" w:pos="900"/>
              <w:tab w:val="clear" w:pos="9350"/>
              <w:tab w:val="right" w:pos="9025" w:leader="dot"/>
            </w:tabs>
            <w:rPr/>
          </w:pPr>
          <w:hyperlink w:anchor="__RefHeading___Toc9841_1894618434">
            <w:r>
              <w:rPr>
                <w:webHidden/>
                <w:rStyle w:val="IndexLink"/>
              </w:rPr>
              <w:t>5.16 Incentives</w:t>
              <w:tab/>
              <w:t>28</w:t>
            </w:r>
          </w:hyperlink>
        </w:p>
        <w:p>
          <w:pPr>
            <w:pStyle w:val="TOC2"/>
            <w:tabs>
              <w:tab w:val="clear" w:pos="900"/>
              <w:tab w:val="clear" w:pos="9350"/>
              <w:tab w:val="right" w:pos="9025" w:leader="dot"/>
            </w:tabs>
            <w:rPr/>
          </w:pPr>
          <w:hyperlink w:anchor="__RefHeading___Toc9843_1894618434">
            <w:r>
              <w:rPr>
                <w:webHidden/>
                <w:rStyle w:val="IndexLink"/>
              </w:rPr>
              <w:t>5.17 General ledger and journals</w:t>
              <w:tab/>
              <w:t>28</w:t>
            </w:r>
          </w:hyperlink>
        </w:p>
        <w:p>
          <w:pPr>
            <w:pStyle w:val="TOC2"/>
            <w:tabs>
              <w:tab w:val="clear" w:pos="900"/>
              <w:tab w:val="clear" w:pos="9350"/>
              <w:tab w:val="right" w:pos="9025" w:leader="dot"/>
            </w:tabs>
            <w:rPr/>
          </w:pPr>
          <w:hyperlink w:anchor="__RefHeading___Toc9845_1894618434">
            <w:r>
              <w:rPr>
                <w:webHidden/>
                <w:rStyle w:val="IndexLink"/>
              </w:rPr>
              <w:t>5.18 Period end</w:t>
              <w:tab/>
              <w:t>28</w:t>
            </w:r>
          </w:hyperlink>
        </w:p>
        <w:p>
          <w:pPr>
            <w:pStyle w:val="TOC2"/>
            <w:tabs>
              <w:tab w:val="clear" w:pos="900"/>
              <w:tab w:val="clear" w:pos="9350"/>
              <w:tab w:val="right" w:pos="9025" w:leader="dot"/>
            </w:tabs>
            <w:rPr/>
          </w:pPr>
          <w:hyperlink w:anchor="__RefHeading___Toc9847_1894618434">
            <w:r>
              <w:rPr>
                <w:webHidden/>
                <w:rStyle w:val="IndexLink"/>
              </w:rPr>
              <w:t>5.19 Bank reconciliation</w:t>
              <w:tab/>
              <w:t>29</w:t>
            </w:r>
          </w:hyperlink>
        </w:p>
        <w:p>
          <w:pPr>
            <w:pStyle w:val="TOC2"/>
            <w:tabs>
              <w:tab w:val="clear" w:pos="900"/>
              <w:tab w:val="clear" w:pos="9350"/>
              <w:tab w:val="right" w:pos="9025" w:leader="dot"/>
            </w:tabs>
            <w:rPr/>
          </w:pPr>
          <w:hyperlink w:anchor="__RefHeading___Toc9849_1894618434">
            <w:r>
              <w:rPr>
                <w:webHidden/>
                <w:rStyle w:val="IndexLink"/>
              </w:rPr>
              <w:t>5.20 Insurer reconciliation</w:t>
              <w:tab/>
              <w:t>31</w:t>
            </w:r>
          </w:hyperlink>
        </w:p>
        <w:p>
          <w:pPr>
            <w:pStyle w:val="TOC2"/>
            <w:tabs>
              <w:tab w:val="clear" w:pos="900"/>
              <w:tab w:val="clear" w:pos="9350"/>
              <w:tab w:val="right" w:pos="9025" w:leader="dot"/>
            </w:tabs>
            <w:rPr/>
          </w:pPr>
          <w:hyperlink w:anchor="__RefHeading___Toc9851_1894618434">
            <w:r>
              <w:rPr>
                <w:webHidden/>
                <w:rStyle w:val="IndexLink"/>
              </w:rPr>
              <w:t>5.21 BIR tax</w:t>
              <w:tab/>
              <w:t>31</w:t>
            </w:r>
          </w:hyperlink>
        </w:p>
        <w:p>
          <w:pPr>
            <w:pStyle w:val="TOC2"/>
            <w:tabs>
              <w:tab w:val="clear" w:pos="900"/>
              <w:tab w:val="clear" w:pos="9350"/>
              <w:tab w:val="right" w:pos="9025" w:leader="dot"/>
            </w:tabs>
            <w:rPr/>
          </w:pPr>
          <w:hyperlink w:anchor="__RefHeading___Toc9853_1894618434">
            <w:r>
              <w:rPr>
                <w:webHidden/>
                <w:rStyle w:val="IndexLink"/>
              </w:rPr>
              <w:t>5.22 Reinsurance</w:t>
              <w:tab/>
              <w:t>33</w:t>
            </w:r>
          </w:hyperlink>
        </w:p>
        <w:p>
          <w:pPr>
            <w:pStyle w:val="TOC2"/>
            <w:tabs>
              <w:tab w:val="clear" w:pos="900"/>
              <w:tab w:val="clear" w:pos="9350"/>
              <w:tab w:val="right" w:pos="9025" w:leader="dot"/>
            </w:tabs>
            <w:rPr/>
          </w:pPr>
          <w:hyperlink w:anchor="__RefHeading___Toc9855_1894618434">
            <w:r>
              <w:rPr>
                <w:webHidden/>
                <w:rStyle w:val="IndexLink"/>
              </w:rPr>
              <w:t>5.23 Distribution channels and lead assignment</w:t>
              <w:tab/>
              <w:t>34</w:t>
            </w:r>
          </w:hyperlink>
        </w:p>
        <w:p>
          <w:pPr>
            <w:pStyle w:val="TOC2"/>
            <w:tabs>
              <w:tab w:val="clear" w:pos="900"/>
              <w:tab w:val="clear" w:pos="9350"/>
              <w:tab w:val="right" w:pos="9025" w:leader="dot"/>
            </w:tabs>
            <w:rPr/>
          </w:pPr>
          <w:hyperlink w:anchor="__RefHeading___Toc9857_1894618434">
            <w:r>
              <w:rPr>
                <w:webHidden/>
                <w:rStyle w:val="IndexLink"/>
              </w:rPr>
              <w:t>5.24 Motor programmes, fleets and marine open covers</w:t>
              <w:tab/>
              <w:t>34</w:t>
            </w:r>
          </w:hyperlink>
        </w:p>
        <w:p>
          <w:pPr>
            <w:pStyle w:val="TOC2"/>
            <w:tabs>
              <w:tab w:val="clear" w:pos="900"/>
              <w:tab w:val="clear" w:pos="9350"/>
              <w:tab w:val="right" w:pos="9025" w:leader="dot"/>
            </w:tabs>
            <w:rPr/>
          </w:pPr>
          <w:hyperlink w:anchor="__RefHeading___Toc9859_1894618434">
            <w:r>
              <w:rPr>
                <w:webHidden/>
                <w:rStyle w:val="IndexLink"/>
              </w:rPr>
              <w:t>5.25 Facultative reinsurance placement</w:t>
              <w:tab/>
              <w:t>35</w:t>
            </w:r>
          </w:hyperlink>
        </w:p>
        <w:p>
          <w:pPr>
            <w:pStyle w:val="TOC2"/>
            <w:tabs>
              <w:tab w:val="clear" w:pos="900"/>
              <w:tab w:val="clear" w:pos="9350"/>
              <w:tab w:val="right" w:pos="9025" w:leader="dot"/>
            </w:tabs>
            <w:rPr/>
          </w:pPr>
          <w:hyperlink w:anchor="__RefHeading___Toc9861_1894618434">
            <w:r>
              <w:rPr>
                <w:webHidden/>
                <w:rStyle w:val="IndexLink"/>
              </w:rPr>
              <w:t>5.26 Client comparison report and marketing campaigns</w:t>
              <w:tab/>
              <w:t>35</w:t>
            </w:r>
          </w:hyperlink>
        </w:p>
        <w:p>
          <w:pPr>
            <w:pStyle w:val="TOC2"/>
            <w:tabs>
              <w:tab w:val="clear" w:pos="900"/>
              <w:tab w:val="clear" w:pos="9350"/>
              <w:tab w:val="right" w:pos="9025" w:leader="dot"/>
            </w:tabs>
            <w:rPr/>
          </w:pPr>
          <w:hyperlink w:anchor="__RefHeading___Toc9863_1894618434">
            <w:r>
              <w:rPr>
                <w:webHidden/>
                <w:rStyle w:val="IndexLink"/>
              </w:rPr>
              <w:t>5.27 Report Builder and BI extract</w:t>
              <w:tab/>
              <w:t>35</w:t>
            </w:r>
          </w:hyperlink>
        </w:p>
        <w:p>
          <w:pPr>
            <w:pStyle w:val="TOC2"/>
            <w:tabs>
              <w:tab w:val="clear" w:pos="900"/>
              <w:tab w:val="clear" w:pos="9350"/>
              <w:tab w:val="right" w:pos="9025" w:leader="dot"/>
            </w:tabs>
            <w:rPr/>
          </w:pPr>
          <w:hyperlink w:anchor="__RefHeading___Toc9865_1894618434">
            <w:r>
              <w:rPr>
                <w:webHidden/>
                <w:rStyle w:val="IndexLink"/>
              </w:rPr>
              <w:t>5.28 Product Configurator</w:t>
              <w:tab/>
              <w:t>35</w:t>
            </w:r>
          </w:hyperlink>
        </w:p>
        <w:p>
          <w:pPr>
            <w:pStyle w:val="TOC2"/>
            <w:tabs>
              <w:tab w:val="clear" w:pos="900"/>
              <w:tab w:val="clear" w:pos="9350"/>
              <w:tab w:val="right" w:pos="9025" w:leader="dot"/>
            </w:tabs>
            <w:rPr/>
          </w:pPr>
          <w:hyperlink w:anchor="__RefHeading___Toc9867_1894618434">
            <w:r>
              <w:rPr>
                <w:webHidden/>
                <w:rStyle w:val="IndexLink"/>
              </w:rPr>
              <w:t>5.29 Reports</w:t>
              <w:tab/>
              <w:t>37</w:t>
            </w:r>
          </w:hyperlink>
        </w:p>
        <w:p>
          <w:pPr>
            <w:pStyle w:val="TOC2"/>
            <w:tabs>
              <w:tab w:val="clear" w:pos="900"/>
              <w:tab w:val="clear" w:pos="9350"/>
              <w:tab w:val="right" w:pos="9025" w:leader="dot"/>
            </w:tabs>
            <w:rPr/>
          </w:pPr>
          <w:hyperlink w:anchor="__RefHeading___Toc9869_1894618434">
            <w:r>
              <w:rPr>
                <w:webHidden/>
                <w:rStyle w:val="IndexLink"/>
              </w:rPr>
              <w:t>5.30 Notifications and e-mail</w:t>
              <w:tab/>
              <w:t>39</w:t>
            </w:r>
          </w:hyperlink>
        </w:p>
        <w:p>
          <w:pPr>
            <w:pStyle w:val="TOC2"/>
            <w:tabs>
              <w:tab w:val="clear" w:pos="900"/>
              <w:tab w:val="clear" w:pos="9350"/>
              <w:tab w:val="right" w:pos="9025" w:leader="dot"/>
            </w:tabs>
            <w:rPr/>
          </w:pPr>
          <w:hyperlink w:anchor="__RefHeading___Toc9871_1894618434">
            <w:r>
              <w:rPr>
                <w:webHidden/>
                <w:rStyle w:val="IndexLink"/>
              </w:rPr>
              <w:t>5.31 Integrations: SMS, CTPL authentication, insurers and bank files</w:t>
              <w:tab/>
              <w:t>40</w:t>
            </w:r>
          </w:hyperlink>
        </w:p>
        <w:p>
          <w:pPr>
            <w:pStyle w:val="TOC2"/>
            <w:tabs>
              <w:tab w:val="clear" w:pos="900"/>
              <w:tab w:val="clear" w:pos="9350"/>
              <w:tab w:val="right" w:pos="9025" w:leader="dot"/>
            </w:tabs>
            <w:rPr/>
          </w:pPr>
          <w:hyperlink w:anchor="__RefHeading___Toc9873_1894618434">
            <w:r>
              <w:rPr>
                <w:webHidden/>
                <w:rStyle w:val="IndexLink"/>
              </w:rPr>
              <w:t>5.32 Data privacy</w:t>
              <w:tab/>
              <w:t>41</w:t>
            </w:r>
          </w:hyperlink>
        </w:p>
        <w:p>
          <w:pPr>
            <w:pStyle w:val="TOC2"/>
            <w:tabs>
              <w:tab w:val="clear" w:pos="900"/>
              <w:tab w:val="clear" w:pos="9350"/>
              <w:tab w:val="right" w:pos="9025" w:leader="dot"/>
            </w:tabs>
            <w:rPr/>
          </w:pPr>
          <w:hyperlink w:anchor="__RefHeading___Toc9875_1894618434">
            <w:r>
              <w:rPr>
                <w:webHidden/>
                <w:rStyle w:val="IndexLink"/>
              </w:rPr>
              <w:t>5.33 AML/CFT compliance</w:t>
              <w:tab/>
              <w:t>42</w:t>
            </w:r>
          </w:hyperlink>
        </w:p>
        <w:p>
          <w:pPr>
            <w:pStyle w:val="TOC2"/>
            <w:tabs>
              <w:tab w:val="clear" w:pos="900"/>
              <w:tab w:val="clear" w:pos="9350"/>
              <w:tab w:val="right" w:pos="9025" w:leader="dot"/>
            </w:tabs>
            <w:rPr/>
          </w:pPr>
          <w:hyperlink w:anchor="__RefHeading___Toc9877_1894618434">
            <w:r>
              <w:rPr>
                <w:webHidden/>
                <w:rStyle w:val="IndexLink"/>
              </w:rPr>
              <w:t>5.34 Insurance Commission compliance and complaints</w:t>
              <w:tab/>
              <w:t>42</w:t>
            </w:r>
          </w:hyperlink>
        </w:p>
        <w:p>
          <w:pPr>
            <w:pStyle w:val="TOC2"/>
            <w:tabs>
              <w:tab w:val="clear" w:pos="900"/>
              <w:tab w:val="clear" w:pos="9350"/>
              <w:tab w:val="right" w:pos="9025" w:leader="dot"/>
            </w:tabs>
            <w:rPr/>
          </w:pPr>
          <w:hyperlink w:anchor="__RefHeading___Toc9879_1894618434">
            <w:r>
              <w:rPr>
                <w:webHidden/>
                <w:rStyle w:val="IndexLink"/>
              </w:rPr>
              <w:t>5.35 My Work, menu and help</w:t>
              <w:tab/>
              <w:t>43</w:t>
            </w:r>
          </w:hyperlink>
        </w:p>
        <w:p>
          <w:pPr>
            <w:pStyle w:val="TOC2"/>
            <w:tabs>
              <w:tab w:val="clear" w:pos="900"/>
              <w:tab w:val="clear" w:pos="9350"/>
              <w:tab w:val="right" w:pos="9025" w:leader="dot"/>
            </w:tabs>
            <w:rPr/>
          </w:pPr>
          <w:hyperlink w:anchor="__RefHeading___Toc9881_1894618434">
            <w:r>
              <w:rPr>
                <w:webHidden/>
                <w:rStyle w:val="IndexLink"/>
              </w:rPr>
              <w:t>5.36 Philippine reference masters</w:t>
              <w:tab/>
              <w:t>43</w:t>
            </w:r>
          </w:hyperlink>
        </w:p>
        <w:p>
          <w:pPr>
            <w:pStyle w:val="TOC2"/>
            <w:tabs>
              <w:tab w:val="clear" w:pos="900"/>
              <w:tab w:val="clear" w:pos="9350"/>
              <w:tab w:val="right" w:pos="9025" w:leader="dot"/>
            </w:tabs>
            <w:rPr/>
          </w:pPr>
          <w:hyperlink w:anchor="__RefHeading___Toc9883_1894618434">
            <w:r>
              <w:rPr>
                <w:webHidden/>
                <w:rStyle w:val="IndexLink"/>
              </w:rPr>
              <w:t>5.37 Go-live data workbench and environments</w:t>
              <w:tab/>
              <w:t>44</w:t>
            </w:r>
          </w:hyperlink>
        </w:p>
        <w:p>
          <w:pPr>
            <w:pStyle w:val="TOC2"/>
            <w:tabs>
              <w:tab w:val="clear" w:pos="900"/>
              <w:tab w:val="clear" w:pos="9350"/>
              <w:tab w:val="right" w:pos="9025" w:leader="dot"/>
            </w:tabs>
            <w:rPr/>
          </w:pPr>
          <w:hyperlink w:anchor="__RefHeading___Toc9885_1894618434">
            <w:r>
              <w:rPr>
                <w:webHidden/>
                <w:rStyle w:val="IndexLink"/>
              </w:rPr>
              <w:t>5.38 Branding and e-signatures</w:t>
              <w:tab/>
              <w:t>44</w:t>
            </w:r>
          </w:hyperlink>
        </w:p>
        <w:p>
          <w:pPr>
            <w:pStyle w:val="TOC2"/>
            <w:tabs>
              <w:tab w:val="clear" w:pos="900"/>
              <w:tab w:val="clear" w:pos="9350"/>
              <w:tab w:val="right" w:pos="9025" w:leader="dot"/>
            </w:tabs>
            <w:rPr/>
          </w:pPr>
          <w:hyperlink w:anchor="__RefHeading___Toc9887_1894618434">
            <w:r>
              <w:rPr>
                <w:webHidden/>
                <w:rStyle w:val="IndexLink"/>
              </w:rPr>
              <w:t>5.39 Administration, security and configuration</w:t>
              <w:tab/>
              <w:t>44</w:t>
            </w:r>
          </w:hyperlink>
        </w:p>
        <w:p>
          <w:pPr>
            <w:pStyle w:val="TOC1"/>
            <w:tabs>
              <w:tab w:val="clear" w:pos="900"/>
              <w:tab w:val="clear" w:pos="9350"/>
              <w:tab w:val="right" w:pos="9025" w:leader="dot"/>
            </w:tabs>
            <w:rPr/>
          </w:pPr>
          <w:hyperlink w:anchor="__RefHeading___Toc9889_1894618434">
            <w:r>
              <w:rPr>
                <w:webHidden/>
                <w:rStyle w:val="IndexLink"/>
              </w:rPr>
              <w:t>6. OOTB scope and optional extras</w:t>
              <w:tab/>
              <w:t>46</w:t>
            </w:r>
          </w:hyperlink>
        </w:p>
        <w:p>
          <w:pPr>
            <w:pStyle w:val="TOC2"/>
            <w:tabs>
              <w:tab w:val="clear" w:pos="900"/>
              <w:tab w:val="clear" w:pos="9350"/>
              <w:tab w:val="right" w:pos="9025" w:leader="dot"/>
            </w:tabs>
            <w:rPr/>
          </w:pPr>
          <w:hyperlink w:anchor="__RefHeading___Toc9891_1894618434">
            <w:r>
              <w:rPr>
                <w:webHidden/>
                <w:rStyle w:val="IndexLink"/>
              </w:rPr>
              <w:t>6.1 What the OOTB edition includes</w:t>
              <w:tab/>
              <w:t>46</w:t>
            </w:r>
          </w:hyperlink>
        </w:p>
        <w:p>
          <w:pPr>
            <w:pStyle w:val="TOC2"/>
            <w:tabs>
              <w:tab w:val="clear" w:pos="900"/>
              <w:tab w:val="clear" w:pos="9350"/>
              <w:tab w:val="right" w:pos="9025" w:leader="dot"/>
            </w:tabs>
            <w:rPr/>
          </w:pPr>
          <w:hyperlink w:anchor="__RefHeading___Toc9893_1894618434">
            <w:r>
              <w:rPr>
                <w:webHidden/>
                <w:rStyle w:val="IndexLink"/>
              </w:rPr>
              <w:t>6.2 Optional extras and change requests</w:t>
              <w:tab/>
              <w:t>46</w:t>
            </w:r>
          </w:hyperlink>
        </w:p>
        <w:p>
          <w:pPr>
            <w:pStyle w:val="TOC2"/>
            <w:tabs>
              <w:tab w:val="clear" w:pos="900"/>
              <w:tab w:val="clear" w:pos="9350"/>
              <w:tab w:val="right" w:pos="9025" w:leader="dot"/>
            </w:tabs>
            <w:rPr/>
          </w:pPr>
          <w:hyperlink w:anchor="__RefHeading___Toc9895_1894618434">
            <w:r>
              <w:rPr>
                <w:webHidden/>
                <w:rStyle w:val="IndexLink"/>
              </w:rPr>
              <w:t>6.3 What remains with the broker</w:t>
              <w:tab/>
              <w:t>47</w:t>
            </w:r>
          </w:hyperlink>
        </w:p>
        <w:p>
          <w:pPr>
            <w:pStyle w:val="TOC1"/>
            <w:tabs>
              <w:tab w:val="clear" w:pos="900"/>
              <w:tab w:val="clear" w:pos="9350"/>
              <w:tab w:val="right" w:pos="9025" w:leader="dot"/>
            </w:tabs>
            <w:rPr/>
          </w:pPr>
          <w:hyperlink w:anchor="__RefHeading___Toc9897_1894618434">
            <w:r>
              <w:rPr>
                <w:webHidden/>
                <w:rStyle w:val="IndexLink"/>
              </w:rPr>
              <w:t>7. Non-functional capabilities</w:t>
              <w:tab/>
              <w:t>48</w:t>
            </w:r>
          </w:hyperlink>
        </w:p>
        <w:p>
          <w:pPr>
            <w:pStyle w:val="TOC2"/>
            <w:tabs>
              <w:tab w:val="clear" w:pos="900"/>
              <w:tab w:val="clear" w:pos="9350"/>
              <w:tab w:val="right" w:pos="9025" w:leader="dot"/>
            </w:tabs>
            <w:rPr/>
          </w:pPr>
          <w:hyperlink w:anchor="__RefHeading___Toc9899_1894618434">
            <w:r>
              <w:rPr>
                <w:webHidden/>
                <w:rStyle w:val="IndexLink"/>
              </w:rPr>
              <w:t>7.1 Security</w:t>
              <w:tab/>
              <w:t>48</w:t>
            </w:r>
          </w:hyperlink>
        </w:p>
        <w:p>
          <w:pPr>
            <w:pStyle w:val="TOC2"/>
            <w:tabs>
              <w:tab w:val="clear" w:pos="900"/>
              <w:tab w:val="clear" w:pos="9350"/>
              <w:tab w:val="right" w:pos="9025" w:leader="dot"/>
            </w:tabs>
            <w:rPr/>
          </w:pPr>
          <w:hyperlink w:anchor="__RefHeading___Toc9901_1894618434">
            <w:r>
              <w:rPr>
                <w:webHidden/>
                <w:rStyle w:val="IndexLink"/>
              </w:rPr>
              <w:t>7.2 Privacy</w:t>
              <w:tab/>
              <w:t>48</w:t>
            </w:r>
          </w:hyperlink>
        </w:p>
        <w:p>
          <w:pPr>
            <w:pStyle w:val="TOC2"/>
            <w:tabs>
              <w:tab w:val="clear" w:pos="900"/>
              <w:tab w:val="clear" w:pos="9350"/>
              <w:tab w:val="right" w:pos="9025" w:leader="dot"/>
            </w:tabs>
            <w:rPr/>
          </w:pPr>
          <w:hyperlink w:anchor="__RefHeading___Toc9903_1894618434">
            <w:r>
              <w:rPr>
                <w:webHidden/>
                <w:rStyle w:val="IndexLink"/>
              </w:rPr>
              <w:t>7.3 Availability and recovery</w:t>
              <w:tab/>
              <w:t>48</w:t>
            </w:r>
          </w:hyperlink>
        </w:p>
        <w:p>
          <w:pPr>
            <w:pStyle w:val="TOC2"/>
            <w:tabs>
              <w:tab w:val="clear" w:pos="900"/>
              <w:tab w:val="clear" w:pos="9350"/>
              <w:tab w:val="right" w:pos="9025" w:leader="dot"/>
            </w:tabs>
            <w:rPr/>
          </w:pPr>
          <w:hyperlink w:anchor="__RefHeading___Toc9905_1894618434">
            <w:r>
              <w:rPr>
                <w:webHidden/>
                <w:rStyle w:val="IndexLink"/>
              </w:rPr>
              <w:t>7.4 Performance and capacity</w:t>
              <w:tab/>
              <w:t>49</w:t>
            </w:r>
          </w:hyperlink>
        </w:p>
        <w:p>
          <w:pPr>
            <w:pStyle w:val="TOC2"/>
            <w:tabs>
              <w:tab w:val="clear" w:pos="900"/>
              <w:tab w:val="clear" w:pos="9350"/>
              <w:tab w:val="right" w:pos="9025" w:leader="dot"/>
            </w:tabs>
            <w:rPr/>
          </w:pPr>
          <w:hyperlink w:anchor="__RefHeading___Toc9907_1894618434">
            <w:r>
              <w:rPr>
                <w:webHidden/>
                <w:rStyle w:val="IndexLink"/>
              </w:rPr>
              <w:t>7.5 Audit and traceability</w:t>
              <w:tab/>
              <w:t>49</w:t>
            </w:r>
          </w:hyperlink>
        </w:p>
        <w:p>
          <w:pPr>
            <w:pStyle w:val="TOC2"/>
            <w:tabs>
              <w:tab w:val="clear" w:pos="900"/>
              <w:tab w:val="clear" w:pos="9350"/>
              <w:tab w:val="right" w:pos="9025" w:leader="dot"/>
            </w:tabs>
            <w:rPr/>
          </w:pPr>
          <w:hyperlink w:anchor="__RefHeading___Toc9909_1894618434">
            <w:r>
              <w:rPr>
                <w:webHidden/>
                <w:rStyle w:val="IndexLink"/>
              </w:rPr>
              <w:t>7.6 Usability and localisation</w:t>
              <w:tab/>
              <w:t>49</w:t>
            </w:r>
          </w:hyperlink>
        </w:p>
        <w:p>
          <w:pPr>
            <w:pStyle w:val="TOC2"/>
            <w:tabs>
              <w:tab w:val="clear" w:pos="900"/>
              <w:tab w:val="clear" w:pos="9350"/>
              <w:tab w:val="right" w:pos="9025" w:leader="dot"/>
            </w:tabs>
            <w:rPr/>
          </w:pPr>
          <w:hyperlink w:anchor="__RefHeading___Toc9911_1894618434">
            <w:r>
              <w:rPr>
                <w:webHidden/>
                <w:rStyle w:val="IndexLink"/>
              </w:rPr>
              <w:t>7.7 Maintainability and interfaces</w:t>
              <w:tab/>
              <w:t>49</w:t>
            </w:r>
          </w:hyperlink>
        </w:p>
        <w:p>
          <w:pPr>
            <w:pStyle w:val="TOC1"/>
            <w:tabs>
              <w:tab w:val="clear" w:pos="900"/>
              <w:tab w:val="clear" w:pos="9350"/>
              <w:tab w:val="right" w:pos="9025" w:leader="dot"/>
            </w:tabs>
            <w:rPr/>
          </w:pPr>
          <w:hyperlink w:anchor="__RefHeading___Toc9913_1894618434">
            <w:r>
              <w:rPr>
                <w:webHidden/>
                <w:rStyle w:val="IndexLink"/>
              </w:rPr>
              <w:t>8. Deployment and support</w:t>
              <w:tab/>
              <w:t>50</w:t>
            </w:r>
          </w:hyperlink>
        </w:p>
        <w:p>
          <w:pPr>
            <w:pStyle w:val="TOC2"/>
            <w:tabs>
              <w:tab w:val="clear" w:pos="900"/>
              <w:tab w:val="clear" w:pos="9350"/>
              <w:tab w:val="right" w:pos="9025" w:leader="dot"/>
            </w:tabs>
            <w:rPr/>
          </w:pPr>
          <w:hyperlink w:anchor="__RefHeading___Toc9915_1894618434">
            <w:r>
              <w:rPr>
                <w:webHidden/>
                <w:rStyle w:val="IndexLink"/>
              </w:rPr>
              <w:t>8.1 Deployment options</w:t>
              <w:tab/>
              <w:t>50</w:t>
            </w:r>
          </w:hyperlink>
        </w:p>
        <w:p>
          <w:pPr>
            <w:pStyle w:val="TOC2"/>
            <w:tabs>
              <w:tab w:val="clear" w:pos="900"/>
              <w:tab w:val="clear" w:pos="9350"/>
              <w:tab w:val="right" w:pos="9025" w:leader="dot"/>
            </w:tabs>
            <w:rPr/>
          </w:pPr>
          <w:hyperlink w:anchor="__RefHeading___Toc9917_1894618434">
            <w:r>
              <w:rPr>
                <w:webHidden/>
                <w:rStyle w:val="IndexLink"/>
              </w:rPr>
              <w:t>8.2 Implementation</w:t>
              <w:tab/>
              <w:t>50</w:t>
            </w:r>
          </w:hyperlink>
        </w:p>
        <w:p>
          <w:pPr>
            <w:pStyle w:val="TOC2"/>
            <w:tabs>
              <w:tab w:val="clear" w:pos="900"/>
              <w:tab w:val="clear" w:pos="9350"/>
              <w:tab w:val="right" w:pos="9025" w:leader="dot"/>
            </w:tabs>
            <w:rPr/>
          </w:pPr>
          <w:hyperlink w:anchor="__RefHeading___Toc9919_1894618434">
            <w:r>
              <w:rPr>
                <w:webHidden/>
                <w:rStyle w:val="IndexLink"/>
              </w:rPr>
              <w:t>8.3 Support</w:t>
              <w:tab/>
              <w:t>50</w:t>
            </w:r>
          </w:hyperlink>
        </w:p>
        <w:p>
          <w:pPr>
            <w:pStyle w:val="TOC1"/>
            <w:tabs>
              <w:tab w:val="clear" w:pos="900"/>
              <w:tab w:val="clear" w:pos="9350"/>
              <w:tab w:val="right" w:pos="9025" w:leader="dot"/>
            </w:tabs>
            <w:rPr/>
          </w:pPr>
          <w:hyperlink w:anchor="__RefHeading___Toc9921_1894618434">
            <w:r>
              <w:rPr>
                <w:webHidden/>
                <w:rStyle w:val="IndexLink"/>
              </w:rPr>
              <w:t>9. Feature checklist for vendor comparison</w:t>
              <w:tab/>
              <w:t>51</w:t>
            </w:r>
          </w:hyperlink>
        </w:p>
        <w:p>
          <w:pPr>
            <w:pStyle w:val="TOC1"/>
            <w:tabs>
              <w:tab w:val="clear" w:pos="900"/>
              <w:tab w:val="clear" w:pos="9350"/>
              <w:tab w:val="right" w:pos="9025" w:leader="dot"/>
            </w:tabs>
            <w:rPr/>
          </w:pPr>
          <w:hyperlink w:anchor="__RefHeading___Toc9923_1894618434">
            <w:r>
              <w:rPr>
                <w:webHidden/>
                <w:rStyle w:val="IndexLink"/>
              </w:rPr>
              <w:t>10. Points to note in this release</w:t>
              <w:tab/>
              <w:t>54</w:t>
            </w:r>
          </w:hyperlink>
        </w:p>
        <w:p>
          <w:pPr>
            <w:pStyle w:val="TOC1"/>
            <w:tabs>
              <w:tab w:val="clear" w:pos="900"/>
              <w:tab w:val="clear" w:pos="9350"/>
              <w:tab w:val="right" w:pos="9025" w:leader="dot"/>
            </w:tabs>
            <w:rPr/>
          </w:pPr>
          <w:hyperlink w:anchor="__RefHeading___Toc9925_1894618434">
            <w:r>
              <w:rPr>
                <w:webHidden/>
                <w:rStyle w:val="IndexLink"/>
                <w:i w:val="false"/>
                <w:iCs w:val="false"/>
              </w:rPr>
              <w:t>11. Document Sign-Off</w:t>
            </w:r>
            <w:r>
              <w:rPr>
                <w:rStyle w:val="IndexLink"/>
              </w:rPr>
              <w:tab/>
              <w:t>55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787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Client brand packs: basis is the client's contract with iorta TechNXT (management decision of 04 October 2026). Version 1.1.1: release figures aligned with the release verification of 04 October 2026 (Test Summary Report 1.3). Version 1.1: compliance (IC, NPC, AML), BIR returns, operations and accounting, distribution, integrations, branding and e-signatures, go-live and environment tools, My Work, Philippine masters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789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746"/>
      </w:tblGrid>
      <w:tr>
        <w:trPr>
          <w:trHeight w:val="440"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791_1894618434"/>
      <w:bookmarkEnd w:id="6"/>
      <w:r>
        <w:rPr>
          <w:rFonts w:eastAsia="Segoe UI" w:cs="Segoe UI" w:ascii="Segoe UI" w:hAnsi="Segoe UI"/>
          <w:b/>
          <w:color w:val="0F4761"/>
          <w:sz w:val="32"/>
        </w:rPr>
        <w:t>3.  Introduction</w:t>
      </w:r>
    </w:p>
    <w:p>
      <w:pPr>
        <w:pStyle w:val="Heading2"/>
        <w:rPr/>
      </w:pPr>
      <w:bookmarkStart w:id="7" w:name="__RefHeading___Toc9793_189461843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what iNXT BrokerVerse OOTB does, module by module, for a Philippine non-life insurance broker. It is written for the broker's management, process owners, finance, compliance and IT teams after the product presentation, as a reference for the evaluation and for the comparison with other vendors.</w:t>
      </w:r>
    </w:p>
    <w:p>
      <w:pPr>
        <w:pStyle w:val="Normal"/>
        <w:spacing w:lineRule="auto" w:line="276" w:before="0" w:after="120"/>
        <w:rPr/>
      </w:pPr>
      <w:r>
        <w:rPr>
          <w:rFonts w:eastAsia="Segoe UI" w:cs="Segoe UI" w:ascii="Segoe UI" w:hAnsi="Segoe UI"/>
          <w:color w:val="101820"/>
          <w:sz w:val="21"/>
        </w:rPr>
        <w:t>For each module it gives what the module does, its key features, the Philippine specifics, the personas who use it, the key reports, the approvals and controls, and the integrations. Later chapters describe the end-to-end process, the scope of the OOTB edition against optional extras, the non-functional capabilities, the deployment and support model, and a feature checklist the broker can use to compare vendors.</w:t>
      </w:r>
    </w:p>
    <w:p>
      <w:pPr>
        <w:pStyle w:val="Heading2"/>
        <w:rPr/>
      </w:pPr>
      <w:bookmarkStart w:id="8" w:name="__RefHeading___Toc9795_1894618434"/>
      <w:bookmarkEnd w:id="8"/>
      <w:r>
        <w:rPr>
          <w:rFonts w:eastAsia="Segoe UI" w:cs="Segoe UI"/>
          <w:b/>
          <w:color w:val="0F4761"/>
          <w:sz w:val="26"/>
        </w:rPr>
        <w:t>3.2  Conventions</w:t>
      </w:r>
    </w:p>
    <w:p>
      <w:pPr>
        <w:pStyle w:val="Normal"/>
        <w:numPr>
          <w:ilvl w:val="0"/>
          <w:numId w:val="1"/>
        </w:numPr>
        <w:spacing w:before="0" w:after="60"/>
        <w:rPr/>
      </w:pPr>
      <w:r>
        <w:rPr>
          <w:rFonts w:eastAsia="Segoe UI" w:cs="Segoe UI" w:ascii="Segoe UI" w:hAnsi="Segoe UI"/>
          <w:color w:val="101820"/>
          <w:sz w:val="21"/>
        </w:rPr>
        <w:t>Menu paths are written as on screen, for example Accounts &gt; Bank Reconciliation &gt; Reconciliation Workspace.</w:t>
      </w:r>
    </w:p>
    <w:p>
      <w:pPr>
        <w:pStyle w:val="Normal"/>
        <w:numPr>
          <w:ilvl w:val="0"/>
          <w:numId w:val="1"/>
        </w:numPr>
        <w:spacing w:before="0" w:after="60"/>
        <w:rPr/>
      </w:pPr>
      <w:r>
        <w:rPr>
          <w:rFonts w:eastAsia="Segoe UI" w:cs="Segoe UI" w:ascii="Segoe UI" w:hAnsi="Segoe UI"/>
          <w:color w:val="101820"/>
          <w:sz w:val="21"/>
        </w:rPr>
        <w:t xml:space="preserve">Settings are named by their key in Master &gt; Configuration, for example </w:t>
      </w:r>
      <w:r>
        <w:rPr>
          <w:rFonts w:eastAsia="Consolas" w:cs="Consolas" w:ascii="Consolas" w:hAnsi="Consolas"/>
          <w:color w:val="101820"/>
          <w:sz w:val="19"/>
        </w:rPr>
        <w:t>claims.sla_days</w:t>
      </w:r>
      <w:r>
        <w:rPr>
          <w:rFonts w:eastAsia="Segoe UI" w:cs="Segoe UI" w:ascii="Segoe UI" w:hAnsi="Segoe UI"/>
          <w:color w:val="101820"/>
          <w:sz w:val="21"/>
        </w:rPr>
        <w:t>. The value given is the delivered value; the broker can change it.</w:t>
      </w:r>
    </w:p>
    <w:p>
      <w:pPr>
        <w:pStyle w:val="Normal"/>
        <w:numPr>
          <w:ilvl w:val="0"/>
          <w:numId w:val="1"/>
        </w:numPr>
        <w:spacing w:before="0" w:after="60"/>
        <w:rPr/>
      </w:pPr>
      <w:r>
        <w:rPr>
          <w:rFonts w:eastAsia="Segoe UI" w:cs="Segoe UI" w:ascii="Segoe UI" w:hAnsi="Segoe UI"/>
          <w:color w:val="101820"/>
          <w:sz w:val="21"/>
        </w:rPr>
        <w:t>Money is in Philippine pesos (PHP). The business time zone is Asia/Manila.</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advice from iorta TechNXT that is not built into the product.</w:t>
      </w:r>
    </w:p>
    <w:p>
      <w:pPr>
        <w:pStyle w:val="Normal"/>
        <w:numPr>
          <w:ilvl w:val="0"/>
          <w:numId w:val="1"/>
        </w:numPr>
        <w:spacing w:before="0" w:after="60"/>
        <w:rPr/>
      </w:pPr>
      <w:r>
        <w:rPr>
          <w:rFonts w:eastAsia="Segoe UI" w:cs="Segoe UI" w:ascii="Segoe UI" w:hAnsi="Segoe UI"/>
          <w:color w:val="101820"/>
          <w:sz w:val="21"/>
        </w:rPr>
        <w:t>The figures in this document come from the product (code, configuration and screens), from the release test of 03 and 04 October 2026 and from the release verification of 04 October 2026 on the merged release (Test Summary Report 1.3); the counts in The product at a glance are those of the release verification.</w:t>
      </w:r>
    </w:p>
    <w:p>
      <w:pPr>
        <w:pStyle w:val="Heading2"/>
        <w:rPr/>
      </w:pPr>
      <w:bookmarkStart w:id="9" w:name="__RefHeading___Toc9797_1894618434"/>
      <w:bookmarkEnd w:id="9"/>
      <w:r>
        <w:rPr>
          <w:rFonts w:eastAsia="Segoe UI" w:cs="Segoe UI"/>
          <w:b/>
          <w:color w:val="0F4761"/>
          <w:sz w:val="26"/>
        </w:rPr>
        <w:t>3.3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for the release test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Added: Compliance Officer role; IC compliance (licence register and commission block, fit and proper, insurer authority, complaints, IC annual statement and production report); NPC breach register, masking by role and field encryption; My Work, the enterprise menu and the Help panel; Philippine reference masters (PSGC); Product Configurator rules in the business flow; audit trail screen; go-live data workbench, environment comparison, transaction reset, data masking and the release pipeline; branding and e-signatures; sales activities, quote wizard covers and risk fields from the Product Configurator, BIR Form 2307 for supplier payments, fixed asset disposals. Updated the integrations, disbursement, data privacy, administration, feature checklist and points to note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figures aligned with the release verification on the merged release (Test Summary Report 1.3): product at a glance (API routes, jobs, number series, release test, user manual), upload templates, performance observations</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packs: basis is the client's contract with iorta TechNXT (management decision of 04 October 2026)</w:t>
            </w:r>
          </w:p>
        </w:tc>
      </w:tr>
    </w:tbl>
    <w:p>
      <w:pPr>
        <w:pStyle w:val="Normal"/>
        <w:spacing w:before="0" w:after="80"/>
        <w:rPr/>
      </w:pPr>
      <w:r>
        <w:rPr/>
      </w:r>
    </w:p>
    <w:p>
      <w:pPr>
        <w:pStyle w:val="Heading2"/>
        <w:rPr/>
      </w:pPr>
      <w:bookmarkStart w:id="10" w:name="__RefHeading___Toc9799_1894618434"/>
      <w:bookmarkEnd w:id="10"/>
      <w:r>
        <w:rPr>
          <w:rFonts w:eastAsia="Segoe UI" w:cs="Segoe UI"/>
          <w:b/>
          <w:color w:val="0F4761"/>
          <w:sz w:val="26"/>
        </w:rPr>
        <w:t>3.4  The product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roles: System Administrator, Sales &amp; Marketing, Processing Team, Operations, Claims, Accounting, Accounting Manager, Compliance Officer (AML/CFT); IC compliance, complaints and privacy permissions given to the roles the broker chooses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 registered API routes, documented in OpenAPI, a Postman collection and an Excel touchpoint list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jobs in Asia/Manila time; 14 are delivered switched off (among them the remittance schedules job and the overdue data subject request reminder)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document number series, counters only move forward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629 test cases (617 passed, 1 failed, 3 blocked, 8 not run; Test Summary Report 1.3 of 04 October 2026); 1,113 automated backend tests in 104 files and 175 front-end tests in 33 suites, all passed on the merged release; a full UAT cycle of 433 business steps in 12 phases (2,168 API calls) and a go-live rehearsal of 52 checks on the final code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documentation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version 1.2 of 279 pages for the eight roles, seven role decks</w:t>
            </w:r>
          </w:p>
        </w:tc>
      </w:tr>
    </w:tbl>
    <w:p>
      <w:pPr>
        <w:pStyle w:val="Heading1"/>
        <w:rPr/>
      </w:pPr>
      <w:r>
        <w:br w:type="page"/>
      </w:r>
      <w:bookmarkStart w:id="11" w:name="__RefHeading___Toc9801_1894618434"/>
      <w:bookmarkEnd w:id="11"/>
      <w:r>
        <w:rPr>
          <w:rFonts w:eastAsia="Segoe UI" w:cs="Segoe UI" w:ascii="Segoe UI" w:hAnsi="Segoe UI"/>
          <w:b/>
          <w:color w:val="0F4761"/>
          <w:sz w:val="32"/>
        </w:rPr>
        <w:t>4.  The end-to-end process</w:t>
      </w:r>
    </w:p>
    <w:p>
      <w:pPr>
        <w:pStyle w:val="Heading2"/>
        <w:rPr/>
      </w:pPr>
      <w:bookmarkStart w:id="12" w:name="__RefHeading___Toc9803_1894618434"/>
      <w:bookmarkEnd w:id="12"/>
      <w:r>
        <w:rPr>
          <w:rFonts w:eastAsia="Segoe UI" w:cs="Segoe UI"/>
          <w:b/>
          <w:color w:val="0F4761"/>
          <w:sz w:val="26"/>
        </w:rPr>
        <w:t>4.1  The broking cycle</w:t>
      </w:r>
    </w:p>
    <w:p>
      <w:pPr>
        <w:pStyle w:val="Normal"/>
        <w:spacing w:lineRule="auto" w:line="276" w:before="0" w:after="120"/>
        <w:rPr/>
      </w:pPr>
      <w:r>
        <w:rPr>
          <w:rFonts w:eastAsia="Segoe UI" w:cs="Segoe UI" w:ascii="Segoe UI" w:hAnsi="Segoe UI"/>
          <w:color w:val="101820"/>
          <w:sz w:val="21"/>
        </w:rPr>
        <w:t>Every piece of business passes through the same steps. Each step is done on its own screen, usually by a different team, and each leaves a numbered document behind.</w:t>
      </w:r>
    </w:p>
    <w:p>
      <w:pPr>
        <w:pStyle w:val="Normal"/>
        <w:jc w:val="center"/>
        <w:rPr/>
      </w:pPr>
      <w:r>
        <w:rPr/>
        <w:drawing>
          <wp:inline distT="0" distB="0" distL="0" distR="0">
            <wp:extent cx="5760085" cy="262699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End-to-end process: sales and placement, policy and money, servicing and finance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
        <w:gridCol w:w="1927"/>
        <w:gridCol w:w="4310"/>
        <w:gridCol w:w="2324"/>
      </w:tblGrid>
      <w:tr>
        <w:trPr>
          <w:tblHeader w:val="true"/>
        </w:trPr>
        <w:tc>
          <w:tcPr>
            <w:tcW w:w="4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23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recorded with contact details and address (LD-)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or Request for 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are quoted from insurer rate tables; other risks go to several insurers on a broker slip (BS-, OFR-)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chosen terms are priced for the client with taxes and commission; the client accepts online (QT-)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goes to the lead insurer and co-insurers; each confirms its share (PS-)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with its participants, the client is created and the premium is billed (POL-, CL-, INV-)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payment is recorded for Accounting to verify</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the official receipt against the open bill (OR-)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when the premium is collected and is paid less withholding tax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net of commission, is remitted to each insurer by its share (REM-, SET-,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the policy is recorded and additional or return premium is billed (END-)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loss is registered, followed with the insurer and settled (CLM-)</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enter the pipeline 90 days before expiry; notices at 60, 30 and 15 days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month-end close, BIR reports (BRC-, MEC-, CWT-)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bl>
    <w:p>
      <w:pPr>
        <w:pStyle w:val="Normal"/>
        <w:spacing w:before="0" w:after="80"/>
        <w:rPr/>
      </w:pPr>
      <w:r>
        <w:rPr/>
      </w:r>
    </w:p>
    <w:p>
      <w:pPr>
        <w:pStyle w:val="Heading2"/>
        <w:rPr/>
      </w:pPr>
      <w:bookmarkStart w:id="13" w:name="__RefHeading___Toc9805_1894618434"/>
      <w:bookmarkEnd w:id="13"/>
      <w:r>
        <w:rPr>
          <w:rFonts w:eastAsia="Segoe UI" w:cs="Segoe UI"/>
          <w:b/>
          <w:color w:val="0F4761"/>
          <w:sz w:val="26"/>
        </w:rPr>
        <w:t>4.2  Placement journey by line of business</w:t>
      </w:r>
    </w:p>
    <w:p>
      <w:pPr>
        <w:pStyle w:val="Normal"/>
        <w:spacing w:lineRule="auto" w:line="276" w:before="0" w:after="120"/>
        <w:rPr/>
      </w:pPr>
      <w:r>
        <w:rPr>
          <w:rFonts w:eastAsia="Segoe UI" w:cs="Segoe UI" w:ascii="Segoe UI" w:hAnsi="Segoe UI"/>
          <w:color w:val="101820"/>
          <w:sz w:val="21"/>
        </w:rPr>
        <w:t xml:space="preserve">Not every line uses every step. The journey of each line is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Placement). The screens show the journey of each record as a progress bar and refuse a step the journey does not allow.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4"/>
        <w:gridCol w:w="1588"/>
        <w:gridCol w:w="1587"/>
        <w:gridCol w:w="1588"/>
        <w:gridCol w:w="1588"/>
      </w:tblGrid>
      <w:tr>
        <w:trPr>
          <w:tblHeader w:val="true"/>
        </w:trPr>
        <w:tc>
          <w:tcPr>
            <w:tcW w:w="26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Request for Quotation</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Quotation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Placement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Record Issued Policy</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 IAR, Marine, Casualty, Engineering</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lines (default)</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bl>
    <w:p>
      <w:pPr>
        <w:pStyle w:val="Normal"/>
        <w:spacing w:before="0" w:after="80"/>
        <w:rPr/>
      </w:pPr>
      <w:r>
        <w:rPr/>
      </w:r>
    </w:p>
    <w:p>
      <w:pPr>
        <w:pStyle w:val="Heading2"/>
        <w:rPr/>
      </w:pPr>
      <w:bookmarkStart w:id="14" w:name="__RefHeading___Toc9807_1894618434"/>
      <w:bookmarkEnd w:id="14"/>
      <w:r>
        <w:rPr>
          <w:rFonts w:eastAsia="Segoe UI" w:cs="Segoe UI"/>
          <w:b/>
          <w:color w:val="0F4761"/>
          <w:sz w:val="26"/>
        </w:rPr>
        <w:t>4.3  The money trail</w:t>
      </w:r>
    </w:p>
    <w:p>
      <w:pPr>
        <w:pStyle w:val="Normal"/>
        <w:spacing w:lineRule="auto" w:line="276" w:before="0" w:after="120"/>
        <w:rPr/>
      </w:pPr>
      <w:r>
        <w:rPr>
          <w:rFonts w:eastAsia="Segoe UI" w:cs="Segoe UI" w:ascii="Segoe UI" w:hAnsi="Segoe UI"/>
          <w:color w:val="101820"/>
          <w:sz w:val="21"/>
        </w:rPr>
        <w:t>Every business event posts a balanced journal through its posting rule. On a co-insured policy each payable and commission line carries its insurer, so remittance, reports and claim recoveries split by share.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6520"/>
      </w:tblGrid>
      <w:tr>
        <w:trPr>
          <w:tblHeader w:val="true"/>
        </w:trPr>
        <w:tc>
          <w:tcPr>
            <w:tcW w:w="24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6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Cr Premiums Payable to Insurers (per insurer), premium VAT, DST and LGT due to insurers, Brokerage Commission Income (per insurer)</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 Premiums Receivable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 Insurers (Direct Bill); Cr Brokerage Commission Income, Output VAT Payable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commission collected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Creditable Withholding Tax (BIR 2307); Cr Commission Receivable - Insurers</w:t>
            </w:r>
          </w:p>
        </w:tc>
      </w:tr>
    </w:tbl>
    <w:p>
      <w:pPr>
        <w:pStyle w:val="Heading1"/>
        <w:rPr/>
      </w:pPr>
      <w:r>
        <w:br w:type="page"/>
      </w:r>
      <w:bookmarkStart w:id="15" w:name="__RefHeading___Toc9809_1894618434"/>
      <w:bookmarkEnd w:id="15"/>
      <w:r>
        <w:rPr>
          <w:rFonts w:eastAsia="Segoe UI" w:cs="Segoe UI" w:ascii="Segoe UI" w:hAnsi="Segoe UI"/>
          <w:b/>
          <w:color w:val="0F4761"/>
          <w:sz w:val="32"/>
        </w:rPr>
        <w:t>5.  Functional modules</w:t>
      </w:r>
    </w:p>
    <w:p>
      <w:pPr>
        <w:pStyle w:val="Heading2"/>
        <w:rPr/>
      </w:pPr>
      <w:bookmarkStart w:id="16" w:name="__RefHeading___Toc9811_1894618434"/>
      <w:bookmarkEnd w:id="16"/>
      <w:r>
        <w:rPr>
          <w:rFonts w:eastAsia="Segoe UI" w:cs="Segoe UI"/>
          <w:b/>
          <w:color w:val="0F4761"/>
          <w:sz w:val="26"/>
        </w:rPr>
        <w:t>5.1  Dashboards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Shows live figures from policies, bills, claims and commission lines, updated as soon as a transaction is saved.</w:t>
      </w:r>
    </w:p>
    <w:p>
      <w:pPr>
        <w:pStyle w:val="Normal"/>
        <w:numPr>
          <w:ilvl w:val="0"/>
          <w:numId w:val="1"/>
        </w:numPr>
        <w:spacing w:before="0" w:after="60"/>
        <w:rPr/>
      </w:pPr>
      <w:r>
        <w:rPr>
          <w:rFonts w:eastAsia="Segoe UI" w:cs="Segoe UI" w:ascii="Segoe UI" w:hAnsi="Segoe UI"/>
          <w:color w:val="101820"/>
          <w:sz w:val="21"/>
        </w:rPr>
        <w:t xml:space="preserve">Executive Dashboard: Total Revenue, Active Policies, New Business, Claims Rate, Retention Rate, Premium Receivable (Clients) and Commission Receivable (Insurers, Direct Bill), against targets in </w:t>
      </w:r>
      <w:r>
        <w:rPr>
          <w:rFonts w:eastAsia="Consolas" w:cs="Consolas" w:ascii="Consolas" w:hAnsi="Consolas"/>
          <w:color w:val="101820"/>
          <w:sz w:val="19"/>
        </w:rPr>
        <w:t>dashboard.targets</w:t>
      </w:r>
      <w:r>
        <w:rPr>
          <w:rFonts w:eastAsia="Segoe UI" w:cs="Segoe UI" w:ascii="Segoe UI" w:hAnsi="Segoe UI"/>
          <w:color w:val="101820"/>
          <w:sz w:val="21"/>
        </w:rPr>
        <w:t>; trends by product line, region, product and agent; export of the Production Register.</w:t>
      </w:r>
    </w:p>
    <w:p>
      <w:pPr>
        <w:pStyle w:val="Normal"/>
        <w:numPr>
          <w:ilvl w:val="0"/>
          <w:numId w:val="1"/>
        </w:numPr>
        <w:spacing w:before="0" w:after="60"/>
        <w:rPr/>
      </w:pPr>
      <w:r>
        <w:rPr>
          <w:rFonts w:eastAsia="Segoe UI" w:cs="Segoe UI" w:ascii="Segoe UI" w:hAnsi="Segoe UI"/>
          <w:color w:val="101820"/>
          <w:sz w:val="21"/>
        </w:rPr>
        <w:t>Sales Dashboard: prospects, quotations, conversion, policies issued, premium and open pipeline of the sales team or one account executive.</w:t>
      </w:r>
    </w:p>
    <w:p>
      <w:pPr>
        <w:pStyle w:val="Normal"/>
        <w:numPr>
          <w:ilvl w:val="0"/>
          <w:numId w:val="1"/>
        </w:numPr>
        <w:spacing w:before="0" w:after="60"/>
        <w:rPr/>
      </w:pPr>
      <w:r>
        <w:rPr>
          <w:rFonts w:eastAsia="Segoe UI" w:cs="Segoe UI" w:ascii="Segoe UI" w:hAnsi="Segoe UI"/>
          <w:color w:val="101820"/>
          <w:sz w:val="21"/>
        </w:rPr>
        <w:t>Processing Dashboard (Processing Workbench): submissions received this week and older, average cycle time, data-quality alerts, workload by assignment group; high priority from PHP 5,000,000 sum insured.</w:t>
      </w:r>
    </w:p>
    <w:p>
      <w:pPr>
        <w:pStyle w:val="Normal"/>
        <w:numPr>
          <w:ilvl w:val="0"/>
          <w:numId w:val="1"/>
        </w:numPr>
        <w:spacing w:before="0" w:after="60"/>
        <w:rPr/>
      </w:pPr>
      <w:r>
        <w:rPr>
          <w:rFonts w:eastAsia="Segoe UI" w:cs="Segoe UI" w:ascii="Segoe UI" w:hAnsi="Segoe UI"/>
          <w:color w:val="101820"/>
          <w:sz w:val="21"/>
        </w:rPr>
        <w:t xml:space="preserve">Claims Dashboard: open, overdue (past </w:t>
      </w:r>
      <w:r>
        <w:rPr>
          <w:rFonts w:eastAsia="Consolas" w:cs="Consolas" w:ascii="Consolas" w:hAnsi="Consolas"/>
          <w:color w:val="101820"/>
          <w:sz w:val="19"/>
        </w:rPr>
        <w:t>claims.sla_days</w:t>
      </w:r>
      <w:r>
        <w:rPr>
          <w:rFonts w:eastAsia="Segoe UI" w:cs="Segoe UI" w:ascii="Segoe UI" w:hAnsi="Segoe UI"/>
          <w:color w:val="101820"/>
          <w:sz w:val="21"/>
        </w:rPr>
        <w:t>, 20 days) and today's claims, highest line and location, recent claims, export.</w:t>
      </w:r>
    </w:p>
    <w:p>
      <w:pPr>
        <w:pStyle w:val="Normal"/>
        <w:numPr>
          <w:ilvl w:val="0"/>
          <w:numId w:val="1"/>
        </w:numPr>
        <w:spacing w:before="0" w:after="60"/>
        <w:rPr/>
      </w:pPr>
      <w:r>
        <w:rPr>
          <w:rFonts w:eastAsia="Segoe UI" w:cs="Segoe UI" w:ascii="Segoe UI" w:hAnsi="Segoe UI"/>
          <w:color w:val="101820"/>
          <w:sz w:val="21"/>
        </w:rPr>
        <w:t>Commission Dashboard: brokerage income, comsub, net margin, outstanding payable and withholding tax, in Accounting and Management views.</w:t>
      </w:r>
    </w:p>
    <w:p>
      <w:pPr>
        <w:pStyle w:val="Normal"/>
        <w:jc w:val="center"/>
        <w:rPr/>
      </w:pPr>
      <w:r>
        <w:rPr/>
        <w:drawing>
          <wp:inline distT="0" distB="0" distL="0" distR="0">
            <wp:extent cx="5760085" cy="44691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Executive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figures; calendar periods in Philippine time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sees the Executive Dashboard except Claims; Sales, Processing and Claims have their 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export; claims data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limited by role; scoped roles see only their own records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7" w:name="__RefHeading___Toc9813_1894618434"/>
      <w:bookmarkEnd w:id="17"/>
      <w:r>
        <w:rPr>
          <w:rFonts w:eastAsia="Segoe UI" w:cs="Segoe UI"/>
          <w:b/>
          <w:color w:val="0F4761"/>
          <w:sz w:val="26"/>
        </w:rPr>
        <w:t>5.2  Prospects and clients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prospects (leads), turns them into clients when the first policy is issued, and shows each client's policies, claims, renewals and endorsements in one view.</w:t>
      </w:r>
    </w:p>
    <w:p>
      <w:pPr>
        <w:pStyle w:val="Normal"/>
        <w:numPr>
          <w:ilvl w:val="0"/>
          <w:numId w:val="1"/>
        </w:numPr>
        <w:spacing w:before="0" w:after="60"/>
        <w:rPr/>
      </w:pPr>
      <w:r>
        <w:rPr>
          <w:rFonts w:eastAsia="Segoe UI" w:cs="Segoe UI" w:ascii="Segoe UI" w:hAnsi="Segoe UI"/>
          <w:color w:val="101820"/>
          <w:sz w:val="21"/>
        </w:rPr>
        <w:t>Prospects for Motor, Fire and Allied Perils, Industrial All Risks and Employee Benefit, retail or corporate; corporate prospects require company name and TIN.</w:t>
      </w:r>
    </w:p>
    <w:p>
      <w:pPr>
        <w:pStyle w:val="Normal"/>
        <w:numPr>
          <w:ilvl w:val="0"/>
          <w:numId w:val="1"/>
        </w:numPr>
        <w:spacing w:before="0" w:after="60"/>
        <w:rPr/>
      </w:pPr>
      <w:r>
        <w:rPr>
          <w:rFonts w:eastAsia="Segoe UI" w:cs="Segoe UI" w:ascii="Segoe UI" w:hAnsi="Segoe UI"/>
          <w:color w:val="101820"/>
          <w:sz w:val="21"/>
        </w:rPr>
        <w:t>Bulk upload of prospects from a template (up to 1,000 rows per file) with row-level error report.</w:t>
      </w:r>
    </w:p>
    <w:p>
      <w:pPr>
        <w:pStyle w:val="Normal"/>
        <w:numPr>
          <w:ilvl w:val="0"/>
          <w:numId w:val="1"/>
        </w:numPr>
        <w:spacing w:before="0" w:after="60"/>
        <w:rPr/>
      </w:pPr>
      <w:r>
        <w:rPr>
          <w:rFonts w:eastAsia="Segoe UI" w:cs="Segoe UI" w:ascii="Segoe UI" w:hAnsi="Segoe UI"/>
          <w:color w:val="101820"/>
          <w:sz w:val="21"/>
        </w:rPr>
        <w:t>Lead statuses New, Contacted, Qualified, QuoteGenerated, Converted, Lost.</w:t>
      </w:r>
    </w:p>
    <w:p>
      <w:pPr>
        <w:pStyle w:val="Normal"/>
        <w:numPr>
          <w:ilvl w:val="0"/>
          <w:numId w:val="1"/>
        </w:numPr>
        <w:spacing w:before="0" w:after="60"/>
        <w:rPr/>
      </w:pPr>
      <w:r>
        <w:rPr>
          <w:rFonts w:eastAsia="Segoe UI" w:cs="Segoe UI" w:ascii="Segoe UI" w:hAnsi="Segoe UI"/>
          <w:color w:val="101820"/>
          <w:sz w:val="21"/>
        </w:rPr>
        <w:t>Client onboarding before the first policy (</w:t>
      </w:r>
      <w:r>
        <w:rPr>
          <w:rFonts w:eastAsia="Segoe UI" w:cs="Segoe UI" w:ascii="Segoe UI" w:hAnsi="Segoe UI"/>
          <w:b/>
          <w:color w:val="101820"/>
          <w:sz w:val="21"/>
        </w:rPr>
        <w:t>Onboard client</w:t>
      </w:r>
      <w:r>
        <w:rPr>
          <w:rFonts w:eastAsia="Segoe UI" w:cs="Segoe UI" w:ascii="Segoe UI" w:hAnsi="Segoe UI"/>
          <w:color w:val="101820"/>
          <w:sz w:val="21"/>
        </w:rPr>
        <w:t>): individual or juridical, government ID, TIN, PSGC address, signatories and beneficial owners (see AML/CFT compliance); otherwise the client code CL- is created at first policy issue; client view with Policy, Claim, Renewal, Endorsement and Data privacy tabs.</w:t>
      </w:r>
    </w:p>
    <w:p>
      <w:pPr>
        <w:pStyle w:val="Normal"/>
        <w:numPr>
          <w:ilvl w:val="0"/>
          <w:numId w:val="1"/>
        </w:numPr>
        <w:spacing w:before="0" w:after="60"/>
        <w:rPr/>
      </w:pPr>
      <w:r>
        <w:rPr>
          <w:rFonts w:eastAsia="Segoe UI" w:cs="Segoe UI" w:ascii="Segoe UI" w:hAnsi="Segoe UI"/>
          <w:color w:val="101820"/>
          <w:sz w:val="21"/>
        </w:rPr>
        <w:t>Consent per purpose recorded on the prospect and client screens (see Data privacy).</w:t>
      </w:r>
    </w:p>
    <w:p>
      <w:pPr>
        <w:pStyle w:val="Normal"/>
        <w:numPr>
          <w:ilvl w:val="0"/>
          <w:numId w:val="1"/>
        </w:numPr>
        <w:spacing w:before="0" w:after="60"/>
        <w:rPr/>
      </w:pPr>
      <w:r>
        <w:rPr>
          <w:rFonts w:eastAsia="Segoe UI" w:cs="Segoe UI" w:ascii="Segoe UI" w:hAnsi="Segoe UI"/>
          <w:color w:val="101820"/>
          <w:sz w:val="21"/>
        </w:rPr>
        <w:t>Sales activities (Operations &gt; Sales &amp; Marketing &gt; Sales Activities, and the Activities tab of a prospect, a quotation or a client): account executives log calls, meetings, e-mails and visits on a prospect, a quotation or a client (activity type and outcome from the masters Sales Activity Types and Sales Activity Outcomes under Master &gt; Organization, contact, duration, notes, next step with its date). Each prospect, client and quotation shows its activity timeline (a prospect and a client also show those of their quotations) and the open next step. The next step becomes a follow-up task in the account executive's My Work; a later activity on the same record completes it.</w:t>
      </w:r>
    </w:p>
    <w:p>
      <w:pPr>
        <w:pStyle w:val="Normal"/>
        <w:numPr>
          <w:ilvl w:val="0"/>
          <w:numId w:val="1"/>
        </w:numPr>
        <w:spacing w:before="0" w:after="60"/>
        <w:rPr/>
      </w:pPr>
      <w:r>
        <w:rPr>
          <w:rFonts w:eastAsia="Segoe UI" w:cs="Segoe UI" w:ascii="Segoe UI" w:hAnsi="Segoe UI"/>
          <w:color w:val="101820"/>
          <w:sz w:val="21"/>
        </w:rPr>
        <w:t>Activity report by account executive and period: activities by channel, prospects, clients and quotations worked, positive outcomes, next steps and how their follow-ups stand (done, open, overdue); Excel export.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mobile number formats, 4-digit ZIP code, province, city and barangay address,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 lead list by category; Sales Activity Report by account executive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client details on an issued policy go through a Personal Details Change endorsement; audit trail on every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(XLSX or CSV)</w:t>
            </w:r>
          </w:p>
        </w:tc>
      </w:tr>
    </w:tbl>
    <w:p>
      <w:pPr>
        <w:pStyle w:val="Normal"/>
        <w:spacing w:before="0" w:after="80"/>
        <w:rPr/>
      </w:pPr>
      <w:r>
        <w:rPr/>
      </w:r>
    </w:p>
    <w:p>
      <w:pPr>
        <w:pStyle w:val="Heading2"/>
        <w:rPr/>
      </w:pPr>
      <w:bookmarkStart w:id="18" w:name="__RefHeading___Toc9815_1894618434"/>
      <w:bookmarkEnd w:id="18"/>
      <w:r>
        <w:rPr>
          <w:rFonts w:eastAsia="Segoe UI" w:cs="Segoe UI"/>
          <w:b/>
          <w:color w:val="0F4761"/>
          <w:sz w:val="26"/>
        </w:rPr>
        <w:t>5.3  Quick Quote and Compare Insurers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Quotes packaged products on the spot from each insurer's rate table, and compares the premiums of several insurers side by side. Non-package risks go to the insurers through a Request for Quotation.</w:t>
      </w:r>
    </w:p>
    <w:p>
      <w:pPr>
        <w:pStyle w:val="Normal"/>
        <w:numPr>
          <w:ilvl w:val="0"/>
          <w:numId w:val="1"/>
        </w:numPr>
        <w:spacing w:before="0" w:after="60"/>
        <w:rPr/>
      </w:pPr>
      <w:r>
        <w:rPr>
          <w:rFonts w:eastAsia="Segoe UI" w:cs="Segoe UI" w:ascii="Segoe UI" w:hAnsi="Segoe UI"/>
          <w:color w:val="101820"/>
          <w:sz w:val="21"/>
        </w:rPr>
        <w:t>Packaged products delivered with the sample set-up include Burglary and Robbery, CTPL, Group Personal Accident, Householder, Micro-insurance, Motor Vehicle, Personal Accident and Travel.</w:t>
      </w:r>
    </w:p>
    <w:p>
      <w:pPr>
        <w:pStyle w:val="Normal"/>
        <w:numPr>
          <w:ilvl w:val="0"/>
          <w:numId w:val="1"/>
        </w:numPr>
        <w:spacing w:before="0" w:after="60"/>
        <w:rPr/>
      </w:pPr>
      <w:r>
        <w:rPr>
          <w:rFonts w:eastAsia="Segoe UI" w:cs="Segoe UI" w:ascii="Segoe UI" w:hAnsi="Segoe UI"/>
          <w:color w:val="101820"/>
          <w:sz w:val="21"/>
        </w:rPr>
        <w:t>Package Bundles and Insurer Rate Tables (rate basis, minimum premium, deductible, commission) in Master &gt; Finance.</w:t>
      </w:r>
    </w:p>
    <w:p>
      <w:pPr>
        <w:pStyle w:val="Normal"/>
        <w:numPr>
          <w:ilvl w:val="0"/>
          <w:numId w:val="1"/>
        </w:numPr>
        <w:spacing w:before="0" w:after="60"/>
        <w:rPr/>
      </w:pPr>
      <w:r>
        <w:rPr>
          <w:rFonts w:eastAsia="Segoe UI" w:cs="Segoe UI" w:ascii="Segoe UI" w:hAnsi="Segoe UI"/>
          <w:color w:val="101820"/>
          <w:sz w:val="21"/>
        </w:rPr>
        <w:t>Premium taxes and LGU rates applied per product (Master &gt; Finance &gt; Premium Taxes &amp; LGU Rates).</w:t>
      </w:r>
    </w:p>
    <w:p>
      <w:pPr>
        <w:pStyle w:val="Normal"/>
        <w:numPr>
          <w:ilvl w:val="0"/>
          <w:numId w:val="1"/>
        </w:numPr>
        <w:spacing w:before="0" w:after="60"/>
        <w:rPr/>
      </w:pPr>
      <w:r>
        <w:rPr>
          <w:rFonts w:eastAsia="Segoe UI" w:cs="Segoe UI" w:ascii="Segoe UI" w:hAnsi="Segoe UI"/>
          <w:color w:val="101820"/>
          <w:sz w:val="21"/>
        </w:rPr>
        <w:t>Payment links for a package quotation; a paid link creates the official receipt and can issue the package policy.</w:t>
      </w:r>
    </w:p>
    <w:p>
      <w:pPr>
        <w:pStyle w:val="Normal"/>
        <w:jc w:val="center"/>
        <w:rPr/>
      </w:pPr>
      <w:r>
        <w:rPr/>
        <w:drawing>
          <wp:inline distT="0" distB="0" distL="0" distR="0">
            <wp:extent cx="5760085" cy="408686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Quick Quote of packaged products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per PHP 4.00 of premium, a fraction counting as a whole unit; LGT per city or municipality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is never printed on the package quotation or insurer comparison sent to the client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payment links (sandbox provider for training and UAT)</w:t>
            </w:r>
          </w:p>
        </w:tc>
      </w:tr>
    </w:tbl>
    <w:p>
      <w:pPr>
        <w:pStyle w:val="Normal"/>
        <w:spacing w:before="0" w:after="80"/>
        <w:rPr/>
      </w:pPr>
      <w:r>
        <w:rPr/>
      </w:r>
    </w:p>
    <w:p>
      <w:pPr>
        <w:pStyle w:val="Heading2"/>
        <w:rPr/>
      </w:pPr>
      <w:bookmarkStart w:id="19" w:name="__RefHeading___Toc9817_1894618434"/>
      <w:bookmarkEnd w:id="19"/>
      <w:r>
        <w:rPr>
          <w:rFonts w:eastAsia="Segoe UI" w:cs="Segoe UI"/>
          <w:b/>
          <w:color w:val="0F4761"/>
          <w:sz w:val="26"/>
        </w:rPr>
        <w:t>5.4  Motor quotation and customer approval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Prices a motor risk in five steps, sends the quotation to the client for online approval and turns the accepted quotation into a policy.</w:t>
      </w:r>
    </w:p>
    <w:p>
      <w:pPr>
        <w:pStyle w:val="Normal"/>
        <w:numPr>
          <w:ilvl w:val="0"/>
          <w:numId w:val="1"/>
        </w:numPr>
        <w:spacing w:before="0" w:after="60"/>
        <w:rPr/>
      </w:pPr>
      <w:r>
        <w:rPr>
          <w:rFonts w:eastAsia="Segoe UI" w:cs="Segoe UI" w:ascii="Segoe UI" w:hAnsi="Segoe UI"/>
          <w:color w:val="101820"/>
          <w:sz w:val="21"/>
        </w:rPr>
        <w:t>Steps: policy and vehicle details, plan recommendations (CTPL, Basic, Comprehensive), coverage with Calculate, accessories and policy limits, order summary with discount, referrer and signatory.</w:t>
      </w:r>
    </w:p>
    <w:p>
      <w:pPr>
        <w:pStyle w:val="Normal"/>
        <w:numPr>
          <w:ilvl w:val="0"/>
          <w:numId w:val="1"/>
        </w:numPr>
        <w:spacing w:before="0" w:after="60"/>
        <w:rPr/>
      </w:pPr>
      <w:r>
        <w:rPr>
          <w:rFonts w:eastAsia="Segoe UI" w:cs="Segoe UI" w:ascii="Segoe UI" w:hAnsi="Segoe UI"/>
          <w:color w:val="101820"/>
          <w:sz w:val="21"/>
        </w:rPr>
        <w:t>Own damage, acts of nature, roadside assistance, personal accident, excess bodily injury and property damage, Auto Passenger PA per seat, accessories.</w:t>
      </w:r>
    </w:p>
    <w:p>
      <w:pPr>
        <w:pStyle w:val="Normal"/>
        <w:numPr>
          <w:ilvl w:val="0"/>
          <w:numId w:val="1"/>
        </w:numPr>
        <w:spacing w:before="0" w:after="60"/>
        <w:rPr/>
      </w:pPr>
      <w:r>
        <w:rPr>
          <w:rFonts w:eastAsia="Segoe UI" w:cs="Segoe UI" w:ascii="Segoe UI" w:hAnsi="Segoe UI"/>
          <w:color w:val="101820"/>
          <w:sz w:val="21"/>
        </w:rPr>
        <w:t xml:space="preserve">The product rules drive the quotation: the covers offered are those of the governing product template's Coverage Builder (mandatory covers always included, optional covers added or removed, each priced on its "Priced on quotation as" premium; the server prices on the same choice), and the wizard asks for the risk details the template's acceptance rules and rating factors test (driver's date of birth, claims in the last 3 years, fair market value, modifications, claim-free years, number of members for group risks), so every rule is evaluated. </w:t>
      </w:r>
      <w:r>
        <w:rPr>
          <w:rFonts w:eastAsia="Consolas" w:cs="Consolas" w:ascii="Consolas" w:hAnsi="Consolas"/>
          <w:color w:val="101820"/>
          <w:sz w:val="19"/>
        </w:rPr>
        <w:t>underwriting.require_rule_fields</w:t>
      </w:r>
      <w:r>
        <w:rPr>
          <w:rFonts w:eastAsia="Segoe UI" w:cs="Segoe UI" w:ascii="Segoe UI" w:hAnsi="Segoe UI"/>
          <w:color w:val="101820"/>
          <w:sz w:val="21"/>
        </w:rPr>
        <w:t xml:space="preserve"> makes the server refuse a quotation without them.</w:t>
      </w:r>
    </w:p>
    <w:p>
      <w:pPr>
        <w:pStyle w:val="Normal"/>
        <w:numPr>
          <w:ilvl w:val="0"/>
          <w:numId w:val="1"/>
        </w:numPr>
        <w:spacing w:before="0" w:after="60"/>
        <w:rPr/>
      </w:pPr>
      <w:r>
        <w:rPr>
          <w:rFonts w:eastAsia="Segoe UI" w:cs="Segoe UI" w:ascii="Segoe UI" w:hAnsi="Segoe UI"/>
          <w:color w:val="101820"/>
          <w:sz w:val="21"/>
        </w:rPr>
        <w:t>Co-insurance on the quotation, with shares totalling 100% and one lead.</w:t>
      </w:r>
    </w:p>
    <w:p>
      <w:pPr>
        <w:pStyle w:val="Normal"/>
        <w:numPr>
          <w:ilvl w:val="0"/>
          <w:numId w:val="1"/>
        </w:numPr>
        <w:spacing w:before="0" w:after="60"/>
        <w:rPr/>
      </w:pPr>
      <w:r>
        <w:rPr>
          <w:rFonts w:eastAsia="Segoe UI" w:cs="Segoe UI" w:ascii="Segoe UI" w:hAnsi="Segoe UI"/>
          <w:color w:val="101820"/>
          <w:sz w:val="21"/>
        </w:rPr>
        <w:t xml:space="preserve">Brokerage rate from the Commission Rate Matrix, then the insurer default,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 comsub for the referrer chain; discount up to 30% taken from the broker's commission.</w:t>
      </w:r>
    </w:p>
    <w:p>
      <w:pPr>
        <w:pStyle w:val="Normal"/>
        <w:numPr>
          <w:ilvl w:val="0"/>
          <w:numId w:val="1"/>
        </w:numPr>
        <w:spacing w:before="0" w:after="60"/>
        <w:rPr/>
      </w:pPr>
      <w:r>
        <w:rPr>
          <w:rFonts w:eastAsia="Segoe UI" w:cs="Segoe UI" w:ascii="Segoe UI" w:hAnsi="Segoe UI"/>
          <w:color w:val="101820"/>
          <w:sz w:val="21"/>
        </w:rPr>
        <w:t>Send for Customer Approval e-mails a signed link valid for 168 hours; the client approves without signing in. Share by download, e-mail, WhatsApp, Send to Insurer or copied link.</w:t>
      </w:r>
    </w:p>
    <w:p>
      <w:pPr>
        <w:pStyle w:val="Normal"/>
        <w:numPr>
          <w:ilvl w:val="0"/>
          <w:numId w:val="1"/>
        </w:numPr>
        <w:spacing w:before="0" w:after="60"/>
        <w:rPr/>
      </w:pPr>
      <w:r>
        <w:rPr>
          <w:rFonts w:eastAsia="Segoe UI" w:cs="Segoe UI" w:ascii="Segoe UI" w:hAnsi="Segoe UI"/>
          <w:color w:val="101820"/>
          <w:sz w:val="21"/>
        </w:rPr>
        <w:t>Quotation validity 30 days (</w:t>
      </w:r>
      <w:r>
        <w:rPr>
          <w:rFonts w:eastAsia="Consolas" w:cs="Consolas" w:ascii="Consolas" w:hAnsi="Consolas"/>
          <w:color w:val="101820"/>
          <w:sz w:val="19"/>
        </w:rPr>
        <w:t>limits.quote_validity_days</w:t>
      </w:r>
      <w:r>
        <w:rPr>
          <w:rFonts w:eastAsia="Segoe UI" w:cs="Segoe UI" w:ascii="Segoe UI" w:hAnsi="Segoe UI"/>
          <w:color w:val="101820"/>
          <w:sz w:val="21"/>
        </w:rPr>
        <w:t>); the Quotation expiry job runs daily.</w:t>
      </w:r>
    </w:p>
    <w:p>
      <w:pPr>
        <w:pStyle w:val="Normal"/>
        <w:numPr>
          <w:ilvl w:val="0"/>
          <w:numId w:val="1"/>
        </w:numPr>
        <w:spacing w:before="0" w:after="60"/>
        <w:rPr/>
      </w:pPr>
      <w:r>
        <w:rPr>
          <w:rFonts w:eastAsia="Segoe UI" w:cs="Segoe UI" w:ascii="Segoe UI" w:hAnsi="Segoe UI"/>
          <w:color w:val="101820"/>
          <w:sz w:val="21"/>
        </w:rPr>
        <w:t>Audit Trail tab with every field change.</w:t>
      </w:r>
    </w:p>
    <w:p>
      <w:pPr>
        <w:pStyle w:val="Normal"/>
        <w:jc w:val="center"/>
        <w:rPr/>
      </w:pPr>
      <w:r>
        <w:rPr/>
        <w:drawing>
          <wp:inline distT="0" distB="0" distL="0" distR="0">
            <wp:extent cx="5760085" cy="44691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list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class per Insurance Commission tariff; CTPL 1-year and 3-year amounts, inclusive of taxes and never discounted; VAT 12%, DST PHP 0.50 per PHP 4.00 or fraction, LGT 0.75% on the net premium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prepare; Processing Team is notified (</w:t>
            </w:r>
            <w:r>
              <w:rPr>
                <w:rFonts w:eastAsia="Consolas" w:cs="Consolas" w:ascii="Consolas" w:hAnsi="Consolas"/>
                <w:color w:val="101820"/>
                <w:kern w:val="0"/>
                <w:sz w:val="16"/>
                <w:szCs w:val="24"/>
                <w:lang w:val="en-US" w:eastAsia="ja-JP" w:bidi="ar-SA"/>
              </w:rPr>
              <w:t>quotations.approval_notify_roles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New Business vs Renewals, Lead Conversion Funnel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again from the configured rates; a premium changed in the browser is refused. A quotation cannot be approved by its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(approval link, share); public approval page</w:t>
            </w:r>
          </w:p>
        </w:tc>
      </w:tr>
    </w:tbl>
    <w:p>
      <w:pPr>
        <w:pStyle w:val="Normal"/>
        <w:spacing w:before="0" w:after="80"/>
        <w:rPr/>
      </w:pPr>
      <w:r>
        <w:rPr/>
      </w:r>
    </w:p>
    <w:p>
      <w:pPr>
        <w:pStyle w:val="Heading2"/>
        <w:rPr/>
      </w:pPr>
      <w:bookmarkStart w:id="20" w:name="__RefHeading___Toc9819_1894618434"/>
      <w:bookmarkEnd w:id="20"/>
      <w:r>
        <w:rPr>
          <w:rFonts w:eastAsia="Segoe UI" w:cs="Segoe UI"/>
          <w:b/>
          <w:color w:val="0F4761"/>
          <w:sz w:val="26"/>
        </w:rPr>
        <w:t>5.5  Request for Quotation and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a risk to several insurers, records their offers and declines, compares them, and binds the cover with a firm order to the lead insurer and co-insurers.</w:t>
      </w:r>
    </w:p>
    <w:p>
      <w:pPr>
        <w:pStyle w:val="Normal"/>
        <w:numPr>
          <w:ilvl w:val="0"/>
          <w:numId w:val="1"/>
        </w:numPr>
        <w:spacing w:before="0" w:after="60"/>
        <w:rPr/>
      </w:pPr>
      <w:r>
        <w:rPr>
          <w:rFonts w:eastAsia="Segoe UI" w:cs="Segoe UI" w:ascii="Segoe UI" w:hAnsi="Segoe UI"/>
          <w:color w:val="101820"/>
          <w:sz w:val="21"/>
        </w:rPr>
        <w:t>Request for Quotation (broker slip): customer and risk, risk details as items and values, requested covers with sums insured and deductibles, insurers approached, response due date, remarks. Submitting creates one offer record per insurer and e-mails each insurer's placement address.</w:t>
      </w:r>
    </w:p>
    <w:p>
      <w:pPr>
        <w:pStyle w:val="Normal"/>
        <w:numPr>
          <w:ilvl w:val="0"/>
          <w:numId w:val="1"/>
        </w:numPr>
        <w:spacing w:before="0" w:after="60"/>
        <w:rPr/>
      </w:pPr>
      <w:r>
        <w:rPr>
          <w:rFonts w:eastAsia="Segoe UI" w:cs="Segoe UI" w:ascii="Segoe UI" w:hAnsi="Segoe UI"/>
          <w:color w:val="101820"/>
          <w:sz w:val="21"/>
        </w:rPr>
        <w:t>Offers recorded as Offered, Declined or Pending, with net premium, rate, line offered, taxes, validity, deductibles, special terms and the insurer's reference and offer letter.</w:t>
      </w:r>
    </w:p>
    <w:p>
      <w:pPr>
        <w:pStyle w:val="Normal"/>
        <w:numPr>
          <w:ilvl w:val="0"/>
          <w:numId w:val="1"/>
        </w:numPr>
        <w:spacing w:before="0" w:after="60"/>
        <w:rPr/>
      </w:pPr>
      <w:r>
        <w:rPr>
          <w:rFonts w:eastAsia="Segoe UI" w:cs="Segoe UI" w:ascii="Segoe UI" w:hAnsi="Segoe UI"/>
          <w:color w:val="101820"/>
          <w:sz w:val="21"/>
        </w:rPr>
        <w:t>Compare offers ranks by gross premium, marks the best offer, shows the market capacity, and lets the user select offers, the lead insurer and the shares.</w:t>
      </w:r>
    </w:p>
    <w:p>
      <w:pPr>
        <w:pStyle w:val="Normal"/>
        <w:numPr>
          <w:ilvl w:val="0"/>
          <w:numId w:val="1"/>
        </w:numPr>
        <w:spacing w:before="0" w:after="60"/>
        <w:rPr/>
      </w:pPr>
      <w:r>
        <w:rPr>
          <w:rFonts w:eastAsia="Segoe UI" w:cs="Segoe UI" w:ascii="Segoe UI" w:hAnsi="Segoe UI"/>
          <w:color w:val="101820"/>
          <w:sz w:val="21"/>
        </w:rPr>
        <w:t>Placement Slip from a broker slip, from an accepted quotation, as a direct placement, or with Record Issued Policy for a policy the insurer already issued.</w:t>
      </w:r>
    </w:p>
    <w:p>
      <w:pPr>
        <w:pStyle w:val="Normal"/>
        <w:numPr>
          <w:ilvl w:val="0"/>
          <w:numId w:val="1"/>
        </w:numPr>
        <w:spacing w:before="0" w:after="60"/>
        <w:rPr/>
      </w:pPr>
      <w:r>
        <w:rPr>
          <w:rFonts w:eastAsia="Segoe UI" w:cs="Segoe UI" w:ascii="Segoe UI" w:hAnsi="Segoe UI"/>
          <w:color w:val="101820"/>
          <w:sz w:val="21"/>
        </w:rPr>
        <w:t>Send to insurer(s) e-mails each participant a slip showing its own share; Confirm records the insurer's policy or certificate number; a decline prompts a change of participants.</w:t>
      </w:r>
    </w:p>
    <w:p>
      <w:pPr>
        <w:pStyle w:val="Normal"/>
        <w:numPr>
          <w:ilvl w:val="0"/>
          <w:numId w:val="1"/>
        </w:numPr>
        <w:spacing w:before="0" w:after="60"/>
        <w:rPr/>
      </w:pPr>
      <w:r>
        <w:rPr>
          <w:rFonts w:eastAsia="Segoe UI" w:cs="Segoe UI" w:ascii="Segoe UI" w:hAnsi="Segoe UI"/>
          <w:color w:val="101820"/>
          <w:sz w:val="21"/>
        </w:rPr>
        <w:t>Slip PDFs for the whole market or for one insurer.</w:t>
      </w:r>
    </w:p>
    <w:p>
      <w:pPr>
        <w:pStyle w:val="Normal"/>
        <w:jc w:val="center"/>
        <w:rPr/>
      </w:pPr>
      <w:r>
        <w:rPr/>
        <w:drawing>
          <wp:inline distT="0" distB="0" distL="0" distR="0">
            <wp:extent cx="5760085" cy="405193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Compare offers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common in the Philippine market; taxes split per participant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follow their accounts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Market Response (hit ratio per insurer), Co-insurance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with one lead; a line that requires a Placement Slip cannot be issued until every participant has confirmed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insurers (broker slip, placement slip); PDF, no insurer API</w:t>
            </w:r>
          </w:p>
        </w:tc>
      </w:tr>
    </w:tbl>
    <w:p>
      <w:pPr>
        <w:pStyle w:val="Normal"/>
        <w:spacing w:before="0" w:after="80"/>
        <w:rPr/>
      </w:pPr>
      <w:r>
        <w:rPr/>
      </w:r>
    </w:p>
    <w:p>
      <w:pPr>
        <w:pStyle w:val="Heading2"/>
        <w:rPr/>
      </w:pPr>
      <w:bookmarkStart w:id="21" w:name="__RefHeading___Toc9821_1894618434"/>
      <w:bookmarkEnd w:id="21"/>
      <w:r>
        <w:rPr>
          <w:rFonts w:eastAsia="Segoe UI" w:cs="Segoe UI"/>
          <w:b/>
          <w:color w:val="0F4761"/>
          <w:sz w:val="26"/>
        </w:rPr>
        <w:t>5.6  Policy issuance and servicing</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Issues the policy with its participants, creates the client, bills the premium or books the direct-bill commission, and holds the policy record for servicing.</w:t>
      </w:r>
    </w:p>
    <w:p>
      <w:pPr>
        <w:pStyle w:val="Normal"/>
        <w:numPr>
          <w:ilvl w:val="0"/>
          <w:numId w:val="1"/>
        </w:numPr>
        <w:spacing w:before="0" w:after="60"/>
        <w:rPr/>
      </w:pPr>
      <w:r>
        <w:rPr>
          <w:rFonts w:eastAsia="Segoe UI" w:cs="Segoe UI" w:ascii="Segoe UI" w:hAnsi="Segoe UI"/>
          <w:color w:val="101820"/>
          <w:sz w:val="21"/>
        </w:rPr>
        <w:t>Issue from a bound Placement Slip, convert an accepted motor quotation, or Record Issued Policy.</w:t>
      </w:r>
    </w:p>
    <w:p>
      <w:pPr>
        <w:pStyle w:val="Normal"/>
        <w:numPr>
          <w:ilvl w:val="0"/>
          <w:numId w:val="1"/>
        </w:numPr>
        <w:spacing w:before="0" w:after="60"/>
        <w:rPr/>
      </w:pPr>
      <w:r>
        <w:rPr>
          <w:rFonts w:eastAsia="Segoe UI" w:cs="Segoe UI" w:ascii="Segoe UI" w:hAnsi="Segoe UI"/>
          <w:color w:val="101820"/>
          <w:sz w:val="21"/>
        </w:rPr>
        <w:t>Motor issue captures government ID type, number and image, chassis, motor and plate or MV file number, mortgagee, CTPL certificate number and authentication code, and five vehicle photos.</w:t>
      </w:r>
    </w:p>
    <w:p>
      <w:pPr>
        <w:pStyle w:val="Normal"/>
        <w:numPr>
          <w:ilvl w:val="0"/>
          <w:numId w:val="1"/>
        </w:numPr>
        <w:spacing w:before="0" w:after="60"/>
        <w:rPr/>
      </w:pPr>
      <w:r>
        <w:rPr>
          <w:rFonts w:eastAsia="Segoe UI" w:cs="Segoe UI" w:ascii="Segoe UI" w:hAnsi="Segoe UI"/>
          <w:color w:val="101820"/>
          <w:sz w:val="21"/>
        </w:rPr>
        <w:t xml:space="preserve">Billing mode per policy: broker billed or direct bill; default from the insurer, else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Policy details with coverage, premium breakdown, participants, endorsements, payment status, documents, policy invoice and Premium Accounting Entries.</w:t>
      </w:r>
    </w:p>
    <w:p>
      <w:pPr>
        <w:pStyle w:val="Normal"/>
        <w:numPr>
          <w:ilvl w:val="0"/>
          <w:numId w:val="1"/>
        </w:numPr>
        <w:spacing w:before="0" w:after="60"/>
        <w:rPr/>
      </w:pPr>
      <w:r>
        <w:rPr>
          <w:rFonts w:eastAsia="Segoe UI" w:cs="Segoe UI" w:ascii="Segoe UI" w:hAnsi="Segoe UI"/>
          <w:color w:val="101820"/>
          <w:sz w:val="21"/>
        </w:rPr>
        <w:t>Policy statuses Active, Expired, Renewed, Lapsed, Cancelled; payment statuses Pending, Reviewing, Partial, Completed, Refunded.</w:t>
      </w:r>
    </w:p>
    <w:p>
      <w:pPr>
        <w:pStyle w:val="Normal"/>
        <w:numPr>
          <w:ilvl w:val="0"/>
          <w:numId w:val="1"/>
        </w:numPr>
        <w:spacing w:before="0" w:after="60"/>
        <w:rPr/>
      </w:pPr>
      <w:r>
        <w:rPr>
          <w:rFonts w:eastAsia="Segoe UI" w:cs="Segoe UI" w:ascii="Segoe UI" w:hAnsi="Segoe UI"/>
          <w:color w:val="101820"/>
          <w:sz w:val="21"/>
        </w:rPr>
        <w:t>Bulk upload for new business, or for the in-force book at go-live without bills or journals.</w:t>
      </w:r>
    </w:p>
    <w:p>
      <w:pPr>
        <w:pStyle w:val="Normal"/>
        <w:numPr>
          <w:ilvl w:val="0"/>
          <w:numId w:val="1"/>
        </w:numPr>
        <w:spacing w:before="0" w:after="60"/>
        <w:rPr/>
      </w:pPr>
      <w:r>
        <w:rPr>
          <w:rFonts w:eastAsia="Segoe UI" w:cs="Segoe UI" w:ascii="Segoe UI" w:hAnsi="Segoe UI"/>
          <w:color w:val="101820"/>
          <w:sz w:val="21"/>
        </w:rPr>
        <w:t>Policy issued e-mail to the client with the policy schedule attached.</w:t>
      </w:r>
    </w:p>
    <w:p>
      <w:pPr>
        <w:pStyle w:val="Normal"/>
        <w:numPr>
          <w:ilvl w:val="0"/>
          <w:numId w:val="1"/>
        </w:numPr>
        <w:spacing w:before="0" w:after="60"/>
        <w:rPr/>
      </w:pPr>
      <w:r>
        <w:rPr>
          <w:rFonts w:eastAsia="Segoe UI" w:cs="Segoe UI" w:ascii="Segoe UI" w:hAnsi="Segoe UI"/>
          <w:color w:val="101820"/>
          <w:sz w:val="21"/>
        </w:rPr>
        <w:t xml:space="preserve">Cover notes (CVN-) while the policy is pending: issued from an accepted quotation or a sent / bound placement slip for </w:t>
      </w:r>
      <w:r>
        <w:rPr>
          <w:rFonts w:eastAsia="Consolas" w:cs="Consolas" w:ascii="Consolas" w:hAnsi="Consolas"/>
          <w:color w:val="101820"/>
          <w:sz w:val="19"/>
        </w:rPr>
        <w:t>cover_note.validity_days</w:t>
      </w:r>
      <w:r>
        <w:rPr>
          <w:rFonts w:eastAsia="Segoe UI" w:cs="Segoe UI" w:ascii="Segoe UI" w:hAnsi="Segoe UI"/>
          <w:color w:val="101820"/>
          <w:sz w:val="21"/>
        </w:rPr>
        <w:t xml:space="preserve"> (30), printed on the letterhead and e-mailed; superseded and linked when the policy is issued, expired after the cover period, reminder to the owner before expiry (Operations &gt; Cover Notes).</w:t>
      </w:r>
    </w:p>
    <w:p>
      <w:pPr>
        <w:pStyle w:val="Normal"/>
        <w:jc w:val="center"/>
        <w:rPr/>
      </w:pPr>
      <w:r>
        <w:rPr/>
        <w:drawing>
          <wp:inline distT="0" distB="0" distL="0" distR="0">
            <wp:extent cx="5760085" cy="645541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IDs accepted: PhilSys ID, UMID, passport, driver's licence, PRC, SSS, GSIS, TIN, postal, voter's and senior citizen ID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LTO MV file number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issues; Operations and Sales &amp; Marketing service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Co-insurance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Motor issue refused without the fields in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client credit limit checked at issue with an exception notice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template; insurer policy document upload (PDF or image, 10 MB)</w:t>
            </w:r>
          </w:p>
        </w:tc>
      </w:tr>
    </w:tbl>
    <w:p>
      <w:pPr>
        <w:pStyle w:val="Normal"/>
        <w:spacing w:before="0" w:after="80"/>
        <w:rPr/>
      </w:pPr>
      <w:r>
        <w:rPr/>
      </w:r>
    </w:p>
    <w:p>
      <w:pPr>
        <w:pStyle w:val="Heading2"/>
        <w:rPr/>
      </w:pPr>
      <w:bookmarkStart w:id="22" w:name="__RefHeading___Toc9823_1894618434"/>
      <w:bookmarkEnd w:id="22"/>
      <w:r>
        <w:rPr>
          <w:rFonts w:eastAsia="Segoe UI" w:cs="Segoe UI"/>
          <w:b/>
          <w:color w:val="0F4761"/>
          <w:sz w:val="26"/>
        </w:rPr>
        <w:t>5.7  Endorsements and cancellations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changes to an issued policy, sends them to the insurer, and bills additional premium or credits return premium.</w:t>
      </w:r>
    </w:p>
    <w:p>
      <w:pPr>
        <w:pStyle w:val="Normal"/>
        <w:numPr>
          <w:ilvl w:val="0"/>
          <w:numId w:val="1"/>
        </w:numPr>
        <w:spacing w:before="0" w:after="60"/>
        <w:rPr/>
      </w:pPr>
      <w:r>
        <w:rPr>
          <w:rFonts w:eastAsia="Segoe UI" w:cs="Segoe UI" w:ascii="Segoe UI" w:hAnsi="Segoe UI"/>
          <w:color w:val="101820"/>
          <w:sz w:val="21"/>
        </w:rPr>
        <w:t>Motor: Personal Details Change, Motor Details Change, Coverage Change, Policy Extend, Policy Cancel.</w:t>
      </w:r>
    </w:p>
    <w:p>
      <w:pPr>
        <w:pStyle w:val="Normal"/>
        <w:numPr>
          <w:ilvl w:val="0"/>
          <w:numId w:val="1"/>
        </w:numPr>
        <w:spacing w:before="0" w:after="60"/>
        <w:rPr/>
      </w:pPr>
      <w:r>
        <w:rPr>
          <w:rFonts w:eastAsia="Segoe UI" w:cs="Segoe UI" w:ascii="Segoe UI" w:hAnsi="Segoe UI"/>
          <w:color w:val="101820"/>
          <w:sz w:val="21"/>
        </w:rPr>
        <w:t>Fire and Allied Perils: Regular / Premium Change; Policy Cancellation full, partial, pro-rata or pro-rata partial.</w:t>
      </w:r>
    </w:p>
    <w:p>
      <w:pPr>
        <w:pStyle w:val="Normal"/>
        <w:numPr>
          <w:ilvl w:val="0"/>
          <w:numId w:val="1"/>
        </w:numPr>
        <w:spacing w:before="0" w:after="60"/>
        <w:rPr/>
      </w:pPr>
      <w:r>
        <w:rPr>
          <w:rFonts w:eastAsia="Segoe UI" w:cs="Segoe UI" w:ascii="Segoe UI" w:hAnsi="Segoe UI"/>
          <w:color w:val="101820"/>
          <w:sz w:val="21"/>
        </w:rPr>
        <w:t>Coverage changes priced again with the configured rates; CTPL stays as issued.</w:t>
      </w:r>
    </w:p>
    <w:p>
      <w:pPr>
        <w:pStyle w:val="Normal"/>
        <w:numPr>
          <w:ilvl w:val="0"/>
          <w:numId w:val="1"/>
        </w:numPr>
        <w:spacing w:before="0" w:after="60"/>
        <w:rPr/>
      </w:pPr>
      <w:r>
        <w:rPr>
          <w:rFonts w:eastAsia="Segoe UI" w:cs="Segoe UI" w:ascii="Segoe UI" w:hAnsi="Segoe UI"/>
          <w:color w:val="101820"/>
          <w:sz w:val="21"/>
        </w:rPr>
        <w:t>Completion with the insurer's endorsement document; the change is applied to the policy and the client.</w:t>
      </w:r>
    </w:p>
    <w:p>
      <w:pPr>
        <w:pStyle w:val="Normal"/>
        <w:numPr>
          <w:ilvl w:val="0"/>
          <w:numId w:val="1"/>
        </w:numPr>
        <w:spacing w:before="0" w:after="60"/>
        <w:rPr/>
      </w:pPr>
      <w:r>
        <w:rPr>
          <w:rFonts w:eastAsia="Segoe UI" w:cs="Segoe UI" w:ascii="Segoe UI" w:hAnsi="Segoe UI"/>
          <w:color w:val="101820"/>
          <w:sz w:val="21"/>
        </w:rPr>
        <w:t>Return premium on premium already remitted is booked as a refund due from each insurer and netted on its next remittance; commission clawed back on the returned part.</w:t>
      </w:r>
    </w:p>
    <w:p>
      <w:pPr>
        <w:pStyle w:val="Normal"/>
        <w:numPr>
          <w:ilvl w:val="0"/>
          <w:numId w:val="1"/>
        </w:numPr>
        <w:spacing w:before="0" w:after="60"/>
        <w:rPr/>
      </w:pPr>
      <w:r>
        <w:rPr>
          <w:rFonts w:eastAsia="Segoe UI" w:cs="Segoe UI" w:ascii="Segoe UI" w:hAnsi="Segoe UI"/>
          <w:color w:val="101820"/>
          <w:sz w:val="21"/>
        </w:rPr>
        <w:t>Cancellation return premium computed from the days left (Operations &gt; Policy Cancellation and every cancellation endorsement): pro-rata when the insurer cancels, the short-period scale (Master &gt; Insurance Management &gt; Short-Period Rates) when the insured cancels, flat from inception; partial cancellation on the part cancelled; premium taxes from the charge engine (</w:t>
      </w:r>
      <w:r>
        <w:rPr>
          <w:rFonts w:eastAsia="Consolas" w:cs="Consolas" w:ascii="Consolas" w:hAnsi="Consolas"/>
          <w:color w:val="101820"/>
          <w:sz w:val="19"/>
        </w:rPr>
        <w:t>endorsements.cancellation_returned_taxes</w:t>
      </w:r>
      <w:r>
        <w:rPr>
          <w:rFonts w:eastAsia="Segoe UI" w:cs="Segoe UI" w:ascii="Segoe UI" w:hAnsi="Segoe UI"/>
          <w:color w:val="101820"/>
          <w:sz w:val="21"/>
        </w:rPr>
        <w:t>) and the commission reversed through posting rule policy.cancel.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follow the premium: return premium gives negative VAT, DST and LGT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raises; Processing Team completes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client view Endorsement tab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not offered for expired, lapsed, cancelled or renewed policies, or while payment is pending; numbered 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the client on completion or cancellation</w:t>
            </w:r>
          </w:p>
        </w:tc>
      </w:tr>
    </w:tbl>
    <w:p>
      <w:pPr>
        <w:pStyle w:val="Normal"/>
        <w:spacing w:before="0" w:after="80"/>
        <w:rPr/>
      </w:pPr>
      <w:r>
        <w:rPr/>
      </w:r>
    </w:p>
    <w:p>
      <w:pPr>
        <w:pStyle w:val="Heading2"/>
        <w:rPr/>
      </w:pPr>
      <w:bookmarkStart w:id="23" w:name="__RefHeading___Toc9825_1894618434"/>
      <w:bookmarkEnd w:id="23"/>
      <w:r>
        <w:rPr>
          <w:rFonts w:eastAsia="Segoe UI" w:cs="Segoe UI"/>
          <w:b/>
          <w:color w:val="0F4761"/>
          <w:sz w:val="26"/>
        </w:rPr>
        <w:t>5.8  Claims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Registers a loss under a policy, notifies the insurer, follows the adjuster and settles the claim with a second approver.</w:t>
      </w:r>
    </w:p>
    <w:p>
      <w:pPr>
        <w:pStyle w:val="Normal"/>
        <w:numPr>
          <w:ilvl w:val="0"/>
          <w:numId w:val="1"/>
        </w:numPr>
        <w:spacing w:before="0" w:after="60"/>
        <w:rPr/>
      </w:pPr>
      <w:r>
        <w:rPr>
          <w:rFonts w:eastAsia="Segoe UI" w:cs="Segoe UI" w:ascii="Segoe UI" w:hAnsi="Segoe UI"/>
          <w:color w:val="101820"/>
          <w:sz w:val="21"/>
        </w:rPr>
        <w:t>Registration with incident, driver and third-party details and documents; the Preliminary Loss Advice is e-mailed to the insurer's claims address.</w:t>
      </w:r>
    </w:p>
    <w:p>
      <w:pPr>
        <w:pStyle w:val="Normal"/>
        <w:numPr>
          <w:ilvl w:val="0"/>
          <w:numId w:val="1"/>
        </w:numPr>
        <w:spacing w:before="0" w:after="60"/>
        <w:rPr/>
      </w:pPr>
      <w:r>
        <w:rPr>
          <w:rFonts w:eastAsia="Segoe UI" w:cs="Segoe UI" w:ascii="Segoe UI" w:hAnsi="Segoe UI"/>
          <w:color w:val="101820"/>
          <w:sz w:val="21"/>
        </w:rPr>
        <w:t>Adjuster details and the insurer's claim number; statuses Pending, Processing, Pending Approval, Approved, Settled, Closed, Rejected.</w:t>
      </w:r>
    </w:p>
    <w:p>
      <w:pPr>
        <w:pStyle w:val="Normal"/>
        <w:numPr>
          <w:ilvl w:val="0"/>
          <w:numId w:val="1"/>
        </w:numPr>
        <w:spacing w:before="0" w:after="60"/>
        <w:rPr/>
      </w:pPr>
      <w:r>
        <w:rPr>
          <w:rFonts w:eastAsia="Segoe UI" w:cs="Segoe UI" w:ascii="Segoe UI" w:hAnsi="Segoe UI"/>
          <w:color w:val="101820"/>
          <w:sz w:val="21"/>
        </w:rPr>
        <w:t>Settlement by cash, card or cheque with documents; approval by a second Claims user; claim settled on approval (</w:t>
      </w:r>
      <w:r>
        <w:rPr>
          <w:rFonts w:eastAsia="Consolas" w:cs="Consolas" w:ascii="Consolas" w:hAnsi="Consolas"/>
          <w:color w:val="101820"/>
          <w:sz w:val="19"/>
        </w:rPr>
        <w:t>claims.auto_settle_on_approval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Co-insured policies show each insurer's share of the claim and the settlement.</w:t>
      </w:r>
    </w:p>
    <w:p>
      <w:pPr>
        <w:pStyle w:val="Normal"/>
        <w:numPr>
          <w:ilvl w:val="0"/>
          <w:numId w:val="1"/>
        </w:numPr>
        <w:spacing w:before="0" w:after="60"/>
        <w:rPr/>
      </w:pPr>
      <w:r>
        <w:rPr>
          <w:rFonts w:eastAsia="Segoe UI" w:cs="Segoe UI" w:ascii="Segoe UI" w:hAnsi="Segoe UI"/>
          <w:color w:val="101820"/>
          <w:sz w:val="21"/>
        </w:rPr>
        <w:t>Claims paid through the broker: funds received from each insurer and payment to the claimant, each posted with its journal.</w:t>
      </w:r>
    </w:p>
    <w:p>
      <w:pPr>
        <w:pStyle w:val="Normal"/>
        <w:numPr>
          <w:ilvl w:val="0"/>
          <w:numId w:val="1"/>
        </w:numPr>
        <w:spacing w:before="0" w:after="60"/>
        <w:rPr/>
      </w:pPr>
      <w:r>
        <w:rPr>
          <w:rFonts w:eastAsia="Segoe UI" w:cs="Segoe UI" w:ascii="Segoe UI" w:hAnsi="Segoe UI"/>
          <w:color w:val="101820"/>
          <w:sz w:val="21"/>
        </w:rPr>
        <w:t>Claim letters on the letterhead: Acknowledgment letter, Claims Discharge Voucher, Claims Data sheet and FIR.</w:t>
      </w:r>
    </w:p>
    <w:p>
      <w:pPr>
        <w:pStyle w:val="Normal"/>
        <w:numPr>
          <w:ilvl w:val="0"/>
          <w:numId w:val="1"/>
        </w:numPr>
        <w:spacing w:before="0" w:after="60"/>
        <w:rPr/>
      </w:pPr>
      <w:r>
        <w:rPr>
          <w:rFonts w:eastAsia="Segoe UI" w:cs="Segoe UI" w:ascii="Segoe UI" w:hAnsi="Segoe UI"/>
          <w:color w:val="101820"/>
          <w:sz w:val="21"/>
        </w:rPr>
        <w:t>Claim Audit Trail and field change history.</w:t>
      </w:r>
    </w:p>
    <w:p>
      <w:pPr>
        <w:pStyle w:val="Normal"/>
        <w:numPr>
          <w:ilvl w:val="0"/>
          <w:numId w:val="1"/>
        </w:numPr>
        <w:spacing w:before="0" w:after="60"/>
        <w:rPr/>
      </w:pPr>
      <w:r>
        <w:rPr>
          <w:rFonts w:eastAsia="Segoe UI" w:cs="Segoe UI" w:ascii="Segoe UI" w:hAnsi="Segoe UI"/>
          <w:color w:val="101820"/>
          <w:sz w:val="21"/>
        </w:rPr>
        <w:t>Claim document checklist by line of business and claim type (Master &gt; Insurance Management &gt; Claim Document Checklist), received / waived status, missing-document reminders to the claimant (manual and daily), submission to the insurer refused while a required document is missing (</w:t>
      </w:r>
      <w:r>
        <w:rPr>
          <w:rFonts w:eastAsia="Consolas" w:cs="Consolas" w:ascii="Consolas" w:hAnsi="Consolas"/>
          <w:color w:val="101820"/>
          <w:sz w:val="19"/>
        </w:rPr>
        <w:t>claims.require_documents_before_submission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Motor claim repairs: estimates of accredited repair shops, the adjuster's decision, supplementary estimates, letter of authority (LOA-) with the insured's participation (</w:t>
      </w:r>
      <w:r>
        <w:rPr>
          <w:rFonts w:eastAsia="Consolas" w:cs="Consolas" w:ascii="Consolas" w:hAnsi="Consolas"/>
          <w:color w:val="101820"/>
          <w:sz w:val="19"/>
        </w:rPr>
        <w:t>motor_claims.participation</w:t>
      </w:r>
      <w:r>
        <w:rPr>
          <w:rFonts w:eastAsia="Segoe UI" w:cs="Segoe UI" w:ascii="Segoe UI" w:hAnsi="Segoe UI"/>
          <w:color w:val="101820"/>
          <w:sz w:val="21"/>
        </w:rPr>
        <w:t>) and the vehicle release acknowledgement.</w:t>
      </w:r>
    </w:p>
    <w:p>
      <w:pPr>
        <w:pStyle w:val="Normal"/>
        <w:numPr>
          <w:ilvl w:val="0"/>
          <w:numId w:val="1"/>
        </w:numPr>
        <w:spacing w:before="0" w:after="60"/>
        <w:rPr/>
      </w:pPr>
      <w:r>
        <w:rPr>
          <w:rFonts w:eastAsia="Segoe UI" w:cs="Segoe UI" w:ascii="Segoe UI" w:hAnsi="Segoe UI"/>
          <w:color w:val="101820"/>
          <w:sz w:val="21"/>
        </w:rPr>
        <w:t>Accounts &gt; Claims Settlements: funds received from insurers and payment to the claimant from the Accounting menu, with the claim payment voucher (CPV-) and the release and quitclaim.</w:t>
      </w:r>
    </w:p>
    <w:p>
      <w:pPr>
        <w:pStyle w:val="Normal"/>
        <w:jc w:val="center"/>
        <w:rPr/>
      </w:pPr>
      <w:r>
        <w:rPr/>
        <w:drawing>
          <wp:inline distT="0" distB="0" distL="0" distR="0">
            <wp:extent cx="5760085" cy="4469130"/>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Accounting records the cash of claims paid through the broker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 Claims Ageing; Claims Dashboard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refused outside the policy period, for a future loss date, and while premium is unpaid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handling time 20 days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 reinsurance recovery (see Reinsurance)</w:t>
            </w:r>
          </w:p>
        </w:tc>
      </w:tr>
    </w:tbl>
    <w:p>
      <w:pPr>
        <w:pStyle w:val="Normal"/>
        <w:spacing w:before="0" w:after="80"/>
        <w:rPr/>
      </w:pPr>
      <w:r>
        <w:rPr/>
      </w:r>
    </w:p>
    <w:p>
      <w:pPr>
        <w:pStyle w:val="Heading2"/>
        <w:rPr/>
      </w:pPr>
      <w:bookmarkStart w:id="24" w:name="__RefHeading___Toc9827_1894618434"/>
      <w:bookmarkEnd w:id="24"/>
      <w:r>
        <w:rPr>
          <w:rFonts w:eastAsia="Segoe UI" w:cs="Segoe UI"/>
          <w:b/>
          <w:color w:val="0F4761"/>
          <w:sz w:val="26"/>
        </w:rPr>
        <w:t>5.9  Renewals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Puts every policy into a renewal pipeline before expiry, sends notices, supports negotiation and turns the accepted renewal quotation into the next term.</w:t>
      </w:r>
    </w:p>
    <w:p>
      <w:pPr>
        <w:pStyle w:val="Normal"/>
        <w:numPr>
          <w:ilvl w:val="0"/>
          <w:numId w:val="1"/>
        </w:numPr>
        <w:spacing w:before="0" w:after="60"/>
        <w:rPr/>
      </w:pPr>
      <w:r>
        <w:rPr>
          <w:rFonts w:eastAsia="Segoe UI" w:cs="Segoe UI" w:ascii="Segoe UI" w:hAnsi="Segoe UI"/>
          <w:color w:val="101820"/>
          <w:sz w:val="21"/>
        </w:rPr>
        <w:t>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notices at 60, 30 and 15 days (</w:t>
      </w:r>
      <w:r>
        <w:rPr>
          <w:rFonts w:eastAsia="Consolas" w:cs="Consolas" w:ascii="Consolas" w:hAnsi="Consolas"/>
          <w:color w:val="101820"/>
          <w:sz w:val="19"/>
        </w:rPr>
        <w:t>limits.renewal_notice_days</w:t>
      </w:r>
      <w:r>
        <w:rPr>
          <w:rFonts w:eastAsia="Segoe UI" w:cs="Segoe UI" w:ascii="Segoe UI" w:hAnsi="Segoe UI"/>
          <w:color w:val="101820"/>
          <w:sz w:val="21"/>
        </w:rPr>
        <w:t>); lapse 30 days after expiry (</w:t>
      </w:r>
      <w:r>
        <w:rPr>
          <w:rFonts w:eastAsia="Consolas" w:cs="Consolas" w:ascii="Consolas" w:hAnsi="Consolas"/>
          <w:color w:val="101820"/>
          <w:sz w:val="19"/>
        </w:rPr>
        <w:t>renewals.grace_period_days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Renewal Policy, Renewal Batch (up to 500 policies), Renewal Queue, Retention Analytics, At-Risk Policies, Negotiations, Lapse Management with win-back campaigns, Performance.</w:t>
      </w:r>
    </w:p>
    <w:p>
      <w:pPr>
        <w:pStyle w:val="Normal"/>
        <w:numPr>
          <w:ilvl w:val="0"/>
          <w:numId w:val="1"/>
        </w:numPr>
        <w:spacing w:before="0" w:after="60"/>
        <w:rPr/>
      </w:pPr>
      <w:r>
        <w:rPr>
          <w:rFonts w:eastAsia="Segoe UI" w:cs="Segoe UI" w:ascii="Segoe UI" w:hAnsi="Segoe UI"/>
          <w:color w:val="101820"/>
          <w:sz w:val="21"/>
        </w:rPr>
        <w:t>At-risk score from claims in the term, unpaid premium, expiry within 30 days, premium increase, no contact and first renewal (</w:t>
      </w:r>
      <w:r>
        <w:rPr>
          <w:rFonts w:eastAsia="Consolas" w:cs="Consolas" w:ascii="Consolas" w:hAnsi="Consolas"/>
          <w:color w:val="101820"/>
          <w:sz w:val="19"/>
        </w:rPr>
        <w:t>renewals.risk_weights</w:t>
      </w:r>
      <w:r>
        <w:rPr>
          <w:rFonts w:eastAsia="Segoe UI" w:cs="Segoe UI" w:ascii="Segoe UI" w:hAnsi="Segoe UI"/>
          <w:color w:val="101820"/>
          <w:sz w:val="21"/>
        </w:rPr>
        <w:t>), with recommended actions.</w:t>
      </w:r>
    </w:p>
    <w:p>
      <w:pPr>
        <w:pStyle w:val="Normal"/>
        <w:numPr>
          <w:ilvl w:val="0"/>
          <w:numId w:val="1"/>
        </w:numPr>
        <w:spacing w:before="0" w:after="60"/>
        <w:rPr/>
      </w:pPr>
      <w:r>
        <w:rPr>
          <w:rFonts w:eastAsia="Segoe UI" w:cs="Segoe UI" w:ascii="Segoe UI" w:hAnsi="Segoe UI"/>
          <w:color w:val="101820"/>
          <w:sz w:val="21"/>
        </w:rPr>
        <w:t>Renewal issues the new term, marks the old policy Renewed, bills the premium and accrues commission to the original referrer.</w:t>
      </w:r>
    </w:p>
    <w:p>
      <w:pPr>
        <w:pStyle w:val="Normal"/>
        <w:jc w:val="center"/>
        <w:rPr/>
      </w:pPr>
      <w:r>
        <w:rPr/>
        <w:drawing>
          <wp:inline distT="0" distB="0" distL="0" distR="0">
            <wp:extent cx="5760085" cy="4469130"/>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Renewal Queue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Sales &amp; Marketing work renewals; Processing Team approves renewal terms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 (retained, lost, pending, retention rate); Retention Analytics; Performance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optional placement journey for renewals (</w:t>
            </w:r>
            <w:r>
              <w:rPr>
                <w:rFonts w:eastAsia="Consolas" w:cs="Consolas" w:ascii="Consolas" w:hAnsi="Consolas"/>
                <w:color w:val="101820"/>
                <w:kern w:val="0"/>
                <w:sz w:val="16"/>
                <w:szCs w:val="24"/>
                <w:lang w:val="en-US" w:eastAsia="ja-JP" w:bidi="ar-SA"/>
              </w:rPr>
              <w:t>placement.journey_applies_to_renewals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and reminders by e-mail through the renewal notice queue</w:t>
            </w:r>
          </w:p>
        </w:tc>
      </w:tr>
    </w:tbl>
    <w:p>
      <w:pPr>
        <w:pStyle w:val="Normal"/>
        <w:spacing w:before="0" w:after="80"/>
        <w:rPr/>
      </w:pPr>
      <w:r>
        <w:rPr/>
      </w:r>
    </w:p>
    <w:p>
      <w:pPr>
        <w:pStyle w:val="Heading2"/>
        <w:rPr/>
      </w:pPr>
      <w:bookmarkStart w:id="25" w:name="__RefHeading___Toc9829_1894618434"/>
      <w:bookmarkEnd w:id="25"/>
      <w:r>
        <w:rPr>
          <w:rFonts w:eastAsia="Segoe UI" w:cs="Segoe UI"/>
          <w:b/>
          <w:color w:val="0F4761"/>
          <w:sz w:val="26"/>
        </w:rPr>
        <w:t>5.10  Billing, payments and official receipts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Bills the premium, records how the client paid, and posts the official receipt.</w:t>
      </w:r>
    </w:p>
    <w:p>
      <w:pPr>
        <w:pStyle w:val="Normal"/>
        <w:numPr>
          <w:ilvl w:val="0"/>
          <w:numId w:val="1"/>
        </w:numPr>
        <w:spacing w:before="0" w:after="60"/>
        <w:rPr/>
      </w:pPr>
      <w:r>
        <w:rPr>
          <w:rFonts w:eastAsia="Segoe UI" w:cs="Segoe UI" w:ascii="Segoe UI" w:hAnsi="Segoe UI"/>
          <w:color w:val="101820"/>
          <w:sz w:val="21"/>
        </w:rPr>
        <w:t>Premium bill (INV-) on policy issue, endorsement and renewal; policy invoice printable and e-mailed to the client with the PDF attached (E-mail invoice on the collection detail).</w:t>
      </w:r>
    </w:p>
    <w:p>
      <w:pPr>
        <w:pStyle w:val="Normal"/>
        <w:numPr>
          <w:ilvl w:val="0"/>
          <w:numId w:val="1"/>
        </w:numPr>
        <w:spacing w:before="0" w:after="60"/>
        <w:rPr/>
      </w:pPr>
      <w:r>
        <w:rPr>
          <w:rFonts w:eastAsia="Segoe UI" w:cs="Segoe UI" w:ascii="Segoe UI" w:hAnsi="Segoe UI"/>
          <w:color w:val="101820"/>
          <w:sz w:val="21"/>
        </w:rPr>
        <w:t>Payment capture by Operations, Sales &amp; Marketing or the Processing Team: pay later, bank transfer, cheque, online payment or cash, with reference and proof; Accounting is notified to verify.</w:t>
      </w:r>
    </w:p>
    <w:p>
      <w:pPr>
        <w:pStyle w:val="Normal"/>
        <w:numPr>
          <w:ilvl w:val="0"/>
          <w:numId w:val="1"/>
        </w:numPr>
        <w:spacing w:before="0" w:after="60"/>
        <w:rPr/>
      </w:pPr>
      <w:r>
        <w:rPr>
          <w:rFonts w:eastAsia="Segoe UI" w:cs="Segoe UI" w:ascii="Segoe UI" w:hAnsi="Segoe UI"/>
          <w:color w:val="101820"/>
          <w:sz w:val="21"/>
        </w:rPr>
        <w:t>Official receipts from the Official Receipt series, posted only by Accounting, against open bills; partial payments; returned cheques cancel the receipt and reopen the bill.</w:t>
      </w:r>
    </w:p>
    <w:p>
      <w:pPr>
        <w:pStyle w:val="Normal"/>
        <w:numPr>
          <w:ilvl w:val="0"/>
          <w:numId w:val="1"/>
        </w:numPr>
        <w:spacing w:before="0" w:after="60"/>
        <w:rPr/>
      </w:pPr>
      <w:r>
        <w:rPr>
          <w:rFonts w:eastAsia="Segoe UI" w:cs="Segoe UI" w:ascii="Segoe UI" w:hAnsi="Segoe UI"/>
          <w:color w:val="101820"/>
          <w:sz w:val="21"/>
        </w:rPr>
        <w:t>E-mail receipt on the receipt view sends the official receipt PDF to the client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switches automatic sending on).</w:t>
      </w:r>
    </w:p>
    <w:p>
      <w:pPr>
        <w:pStyle w:val="Normal"/>
        <w:numPr>
          <w:ilvl w:val="0"/>
          <w:numId w:val="1"/>
        </w:numPr>
        <w:spacing w:before="0" w:after="60"/>
        <w:rPr/>
      </w:pPr>
      <w:r>
        <w:rPr>
          <w:rFonts w:eastAsia="Segoe UI" w:cs="Segoe UI" w:ascii="Segoe UI" w:hAnsi="Segoe UI"/>
          <w:color w:val="101820"/>
          <w:sz w:val="21"/>
        </w:rPr>
        <w:t>Bulk Print on the letterhead; bulk upload of receipts (up to 1,000 rows).</w:t>
      </w:r>
    </w:p>
    <w:p>
      <w:pPr>
        <w:pStyle w:val="Normal"/>
        <w:numPr>
          <w:ilvl w:val="0"/>
          <w:numId w:val="1"/>
        </w:numPr>
        <w:spacing w:before="0" w:after="60"/>
        <w:rPr/>
      </w:pPr>
      <w:r>
        <w:rPr>
          <w:rFonts w:eastAsia="Segoe UI" w:cs="Segoe UI" w:ascii="Segoe UI" w:hAnsi="Segoe UI"/>
          <w:color w:val="101820"/>
          <w:sz w:val="21"/>
        </w:rPr>
        <w:t>Payment links (PL-) for a quotation, a package quotation or a policy's open premium.</w:t>
      </w:r>
    </w:p>
    <w:p>
      <w:pPr>
        <w:pStyle w:val="Normal"/>
        <w:jc w:val="center"/>
        <w:rPr/>
      </w:pPr>
      <w:r>
        <w:rPr/>
        <w:drawing>
          <wp:inline distT="0" distB="0" distL="0" distR="0">
            <wp:extent cx="5760085" cy="4245610"/>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numbering can continue the old system's numbering to match the BIR registration; letterhead with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Operations, Sales &amp; Marketing and Processing Team capture payments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 SOA / Premium Receivable, Collection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amount cannot exceed the bill balance; receipts cancelled with a reason,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(Checkout Session), Dragonpay (Payment Switch), sandbox provider; signed and idempotent webhooks; e-mail with PDF attachment</w:t>
            </w:r>
          </w:p>
        </w:tc>
      </w:tr>
    </w:tbl>
    <w:p>
      <w:pPr>
        <w:pStyle w:val="Normal"/>
        <w:spacing w:before="0" w:after="80"/>
        <w:rPr/>
      </w:pPr>
      <w:r>
        <w:rPr/>
      </w:r>
    </w:p>
    <w:p>
      <w:pPr>
        <w:pStyle w:val="Heading2"/>
        <w:rPr/>
      </w:pPr>
      <w:bookmarkStart w:id="26" w:name="__RefHeading___Toc9831_1894618434"/>
      <w:bookmarkEnd w:id="26"/>
      <w:r>
        <w:rPr>
          <w:rFonts w:eastAsia="Segoe UI" w:cs="Segoe UI"/>
          <w:b/>
          <w:color w:val="0F4761"/>
          <w:sz w:val="26"/>
        </w:rPr>
        <w:t>5.11  Collections and credit control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Follows up unpaid premium by age and manages credit risk on broker-billed business.</w:t>
      </w:r>
    </w:p>
    <w:p>
      <w:pPr>
        <w:pStyle w:val="Normal"/>
        <w:numPr>
          <w:ilvl w:val="0"/>
          <w:numId w:val="1"/>
        </w:numPr>
        <w:spacing w:before="0" w:after="60"/>
        <w:rPr/>
      </w:pPr>
      <w:r>
        <w:rPr>
          <w:rFonts w:eastAsia="Segoe UI" w:cs="Segoe UI" w:ascii="Segoe UI" w:hAnsi="Segoe UI"/>
          <w:color w:val="101820"/>
          <w:sz w:val="21"/>
        </w:rPr>
        <w:t xml:space="preserve">Collections list with ageing buckets (current, 1-30, 31-60, 61-90, over 90 days), due date from the insurer's Premium Payment Warranty days,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Collection reminders e-mailed 7 days before the due date and every 7 days after (daily job); Send Payment Reminders Now.</w:t>
      </w:r>
    </w:p>
    <w:p>
      <w:pPr>
        <w:pStyle w:val="Normal"/>
        <w:numPr>
          <w:ilvl w:val="0"/>
          <w:numId w:val="1"/>
        </w:numPr>
        <w:spacing w:before="0" w:after="60"/>
        <w:rPr/>
      </w:pPr>
      <w:r>
        <w:rPr>
          <w:rFonts w:eastAsia="Segoe UI" w:cs="Segoe UI" w:ascii="Segoe UI" w:hAnsi="Segoe UI"/>
          <w:color w:val="101820"/>
          <w:sz w:val="21"/>
        </w:rPr>
        <w:t>Collection items with assignments, commitments, escalation and a log of calls, e-mails and visits.</w:t>
      </w:r>
    </w:p>
    <w:p>
      <w:pPr>
        <w:pStyle w:val="Normal"/>
        <w:numPr>
          <w:ilvl w:val="0"/>
          <w:numId w:val="1"/>
        </w:numPr>
        <w:spacing w:before="0" w:after="60"/>
        <w:rPr/>
      </w:pPr>
      <w:r>
        <w:rPr>
          <w:rFonts w:eastAsia="Segoe UI" w:cs="Segoe UI" w:ascii="Segoe UI" w:hAnsi="Segoe UI"/>
          <w:color w:val="101820"/>
          <w:sz w:val="21"/>
        </w:rPr>
        <w:t>Credit Control: Instalment Plans (split a bill into instalments, or issue a separate invoice per instalment with its own due date and booking journal), Premium Warranty Monitor (reminders, extension requests approved by the Accounting Manager, cancellation requests that create a draft cancellation endorsement), Client Credit Limits, Remittance Ageing.</w:t>
      </w:r>
    </w:p>
    <w:p>
      <w:pPr>
        <w:pStyle w:val="Normal"/>
        <w:numPr>
          <w:ilvl w:val="0"/>
          <w:numId w:val="1"/>
        </w:numPr>
        <w:spacing w:before="0" w:after="60"/>
        <w:rPr/>
      </w:pPr>
      <w:r>
        <w:rPr>
          <w:rFonts w:eastAsia="Segoe UI" w:cs="Segoe UI" w:ascii="Segoe UI" w:hAnsi="Segoe UI"/>
          <w:color w:val="101820"/>
          <w:sz w:val="21"/>
        </w:rPr>
        <w:t>Import open items at go-live from the old system's ageing.</w:t>
      </w:r>
    </w:p>
    <w:p>
      <w:pPr>
        <w:pStyle w:val="Normal"/>
        <w:numPr>
          <w:ilvl w:val="0"/>
          <w:numId w:val="1"/>
        </w:numPr>
        <w:spacing w:before="0" w:after="60"/>
        <w:rPr/>
      </w:pPr>
      <w:r>
        <w:rPr>
          <w:rFonts w:eastAsia="Segoe UI" w:cs="Segoe UI" w:ascii="Segoe UI" w:hAnsi="Segoe UI"/>
          <w:color w:val="101820"/>
          <w:sz w:val="21"/>
        </w:rPr>
        <w:t>Post-dated cheque register (Accounts &gt; Post-Dated Cheques): cheques on hand with their vault location, deposit due list and daily reminder, deposit on the cheque date creating the official receipt, cleared, bounced (receipt cancelled, client e-mailed), replacement and return.</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Warranty Monitor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 per insurer, reflecting the broker's credit terms with each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SOA / Premium Receivable, Collection Report, Remittance Ageing</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extensions need approve:credit-control; nothing is cancelled automatically; credit limit exceptions reported to collections users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reminders</w:t>
            </w:r>
          </w:p>
        </w:tc>
      </w:tr>
    </w:tbl>
    <w:p>
      <w:pPr>
        <w:pStyle w:val="Normal"/>
        <w:spacing w:before="0" w:after="80"/>
        <w:rPr/>
      </w:pPr>
      <w:r>
        <w:rPr/>
      </w:r>
    </w:p>
    <w:p>
      <w:pPr>
        <w:pStyle w:val="Heading2"/>
        <w:rPr/>
      </w:pPr>
      <w:bookmarkStart w:id="27" w:name="__RefHeading___Toc9833_1894618434"/>
      <w:bookmarkEnd w:id="27"/>
      <w:r>
        <w:rPr>
          <w:rFonts w:eastAsia="Segoe UI" w:cs="Segoe UI"/>
          <w:b/>
          <w:color w:val="0F4761"/>
          <w:sz w:val="26"/>
        </w:rPr>
        <w:t>5.12  Accounts payable and fixed assets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the broker's own payables and assets: supplier invoices, supplier payments, the BIR Form 2307 of the tax withheld from suppliers, and the fixed asset register with its monthly depreciation and disposals.</w:t>
      </w:r>
    </w:p>
    <w:p>
      <w:pPr>
        <w:pStyle w:val="Normal"/>
        <w:numPr>
          <w:ilvl w:val="0"/>
          <w:numId w:val="1"/>
        </w:numPr>
        <w:spacing w:before="0" w:after="60"/>
        <w:rPr/>
      </w:pPr>
      <w:r>
        <w:rPr>
          <w:rFonts w:eastAsia="Segoe UI" w:cs="Segoe UI" w:ascii="Segoe UI" w:hAnsi="Segoe UI"/>
          <w:color w:val="101820"/>
          <w:sz w:val="21"/>
        </w:rPr>
        <w:t>Suppliers (TIN, VAT registration, EWT tax code, terms, default expense account); supplier invoices (APV-) with input VAT and expanded withholding tax, approved by a second user (approve:payables) and posted (posting rule ap.invoice); supplier payments (SPV-, posting rule ap.payment); AP ageing; AP and payment vouchers.</w:t>
      </w:r>
    </w:p>
    <w:p>
      <w:pPr>
        <w:pStyle w:val="Normal"/>
        <w:numPr>
          <w:ilvl w:val="0"/>
          <w:numId w:val="1"/>
        </w:numPr>
        <w:spacing w:before="0" w:after="60"/>
        <w:rPr/>
      </w:pPr>
      <w:r>
        <w:rPr>
          <w:rFonts w:eastAsia="Segoe UI" w:cs="Segoe UI" w:ascii="Segoe UI" w:hAnsi="Segoe UI"/>
          <w:color w:val="101820"/>
          <w:sz w:val="21"/>
        </w:rPr>
        <w:t>Fixed asset register (FA-): asset classes with useful life and accounts, assets from supplier invoice lines or registered by hand (with the go-live accumulated depreciation), straight-line schedule, monthly depreciation run per asset class (posting rule fa.depreciation), also a step of the month-end close.</w:t>
      </w:r>
    </w:p>
    <w:p>
      <w:pPr>
        <w:pStyle w:val="Normal"/>
        <w:numPr>
          <w:ilvl w:val="0"/>
          <w:numId w:val="1"/>
        </w:numPr>
        <w:spacing w:before="0" w:after="60"/>
        <w:rPr/>
      </w:pPr>
      <w:r>
        <w:rPr>
          <w:rFonts w:eastAsia="Segoe UI" w:cs="Segoe UI" w:ascii="Segoe UI" w:hAnsi="Segoe UI"/>
          <w:color w:val="101820"/>
          <w:sz w:val="21"/>
        </w:rPr>
        <w:t>Supplier 2307: BIR Form 2307 per supplier and quarter for the expanded withholding tax withheld on supplier invoices (ATC of the invoice's EWT code), from the same generator as the commission payees' certificates, issued one by one or all at once; the supplier EWT is in the QAP, the 0619-E and 1601-EQ (reconciled with the ledger), the 1604-E alphalist and the DAT files.</w:t>
      </w:r>
    </w:p>
    <w:p>
      <w:pPr>
        <w:pStyle w:val="Normal"/>
        <w:numPr>
          <w:ilvl w:val="0"/>
          <w:numId w:val="1"/>
        </w:numPr>
        <w:spacing w:before="0" w:after="60"/>
        <w:rPr/>
      </w:pPr>
      <w:r>
        <w:rPr>
          <w:rFonts w:eastAsia="Segoe UI" w:cs="Segoe UI" w:ascii="Segoe UI" w:hAnsi="Segoe UI"/>
          <w:color w:val="101820"/>
          <w:sz w:val="21"/>
        </w:rPr>
        <w:t>Asset disposal (FAD-): sale or write-off of an asset; cost and accumulated depreciation removed, proceeds and output VAT of a sale, gain or loss on disposal (posting rule fa.disposal); a sale issues its BIR sales invoice (received into a bank account, or collected on the invoice); disposal voucher, disposal register with Excel export; a disposal is cancelled by reversal and the asset restored.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 VAT at the VAT12-IN code; EWT codes of the BIR (WC158, WC160, WC100 ...) withheld from suppliers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records and pays;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 Ageing, Fixed Asset Register (Excel), Disposal Register (Excel), Supplier 2307</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on supplier invoices (</w:t>
            </w:r>
            <w:r>
              <w:rPr>
                <w:rFonts w:eastAsia="Consolas" w:cs="Consolas" w:ascii="Consolas" w:hAnsi="Consolas"/>
                <w:color w:val="101820"/>
                <w:kern w:val="0"/>
                <w:sz w:val="16"/>
                <w:szCs w:val="24"/>
                <w:lang w:val="en-US" w:eastAsia="ja-JP" w:bidi="ar-SA"/>
              </w:rPr>
              <w:t>payables.maker_checker</w:t>
            </w:r>
            <w:r>
              <w:rPr>
                <w:rFonts w:eastAsia="Segoe UI" w:cs="Segoe UI" w:ascii="Segoe UI" w:hAnsi="Segoe UI"/>
                <w:color w:val="101820"/>
                <w:kern w:val="0"/>
                <w:sz w:val="18"/>
                <w:szCs w:val="24"/>
                <w:lang w:val="en-US" w:eastAsia="ja-JP" w:bidi="ar-SA"/>
              </w:rPr>
              <w:t>); one invoice number per supplier; an asset is depreciated once per period; an asset is disposed only after its depreciation up to the month before (</w:t>
            </w:r>
            <w:r>
              <w:rPr>
                <w:rFonts w:eastAsia="Consolas" w:cs="Consolas" w:ascii="Consolas" w:hAnsi="Consolas"/>
                <w:color w:val="101820"/>
                <w:kern w:val="0"/>
                <w:sz w:val="16"/>
                <w:szCs w:val="24"/>
                <w:lang w:val="en-US" w:eastAsia="ja-JP" w:bidi="ar-SA"/>
              </w:rPr>
              <w:t>fixed_assets.disposal_requires_depreciation_to_date</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and go-live sheets for suppliers and asset classes</w:t>
            </w:r>
          </w:p>
        </w:tc>
      </w:tr>
    </w:tbl>
    <w:p>
      <w:pPr>
        <w:pStyle w:val="Normal"/>
        <w:spacing w:before="0" w:after="80"/>
        <w:rPr/>
      </w:pPr>
      <w:r>
        <w:rPr/>
      </w:r>
    </w:p>
    <w:p>
      <w:pPr>
        <w:pStyle w:val="Heading2"/>
        <w:rPr/>
      </w:pPr>
      <w:bookmarkStart w:id="28" w:name="__RefHeading___Toc9835_1894618434"/>
      <w:bookmarkEnd w:id="28"/>
      <w:r>
        <w:rPr>
          <w:rFonts w:eastAsia="Segoe UI" w:cs="Segoe UI"/>
          <w:b/>
          <w:color w:val="0F4761"/>
          <w:sz w:val="26"/>
        </w:rPr>
        <w:t>5.13  Disbursement and petty cash</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Pays insurers, referrers, clients and suppliers by payment voucher and cheque, and runs petty cash funds.</w:t>
      </w:r>
    </w:p>
    <w:p>
      <w:pPr>
        <w:pStyle w:val="Normal"/>
        <w:numPr>
          <w:ilvl w:val="0"/>
          <w:numId w:val="1"/>
        </w:numPr>
        <w:spacing w:before="0" w:after="60"/>
        <w:rPr/>
      </w:pPr>
      <w:r>
        <w:rPr>
          <w:rFonts w:eastAsia="Segoe UI" w:cs="Segoe UI" w:ascii="Segoe UI" w:hAnsi="Segoe UI"/>
          <w:color w:val="101820"/>
          <w:sz w:val="21"/>
        </w:rPr>
        <w:t>Payment vouchers (PV-) by payee type (Customer, Insurer, Agent/Referrer, Supplier) against selected payables; bank account and cheque book; statuses Draft, For approval, Approved, Paid, Cancelled.</w:t>
      </w:r>
    </w:p>
    <w:p>
      <w:pPr>
        <w:pStyle w:val="Normal"/>
        <w:numPr>
          <w:ilvl w:val="0"/>
          <w:numId w:val="1"/>
        </w:numPr>
        <w:spacing w:before="0" w:after="60"/>
        <w:rPr/>
      </w:pPr>
      <w:r>
        <w:rPr>
          <w:rFonts w:eastAsia="Segoe UI" w:cs="Segoe UI" w:ascii="Segoe UI" w:hAnsi="Segoe UI"/>
          <w:color w:val="101820"/>
          <w:sz w:val="21"/>
        </w:rPr>
        <w:t>Bulk Disburse for referrer payouts; bulk upload and bulk print on the letterhead.</w:t>
      </w:r>
    </w:p>
    <w:p>
      <w:pPr>
        <w:pStyle w:val="Normal"/>
        <w:numPr>
          <w:ilvl w:val="0"/>
          <w:numId w:val="1"/>
        </w:numPr>
        <w:spacing w:before="0" w:after="60"/>
        <w:rPr/>
      </w:pPr>
      <w:r>
        <w:rPr>
          <w:rFonts w:eastAsia="Segoe UI" w:cs="Segoe UI" w:ascii="Segoe UI" w:hAnsi="Segoe UI"/>
          <w:color w:val="101820"/>
          <w:sz w:val="21"/>
        </w:rPr>
        <w:t>Petty cash: Initiate a fund, Request, Disbursement, Receipts, Replenish; custodian notified when a fund drops below its minimum.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tax posted on payments to agents, referrers and suppliers, feeding BIR Form 2307 and the QAP</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and cheque approval by a different user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 petty cash requests maker-checker; approval limits by Authority Matrix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printing; bank payment files (bulk credit, InstaPay, PESONet) through Accounts &gt; Bank Payment Files</w:t>
            </w:r>
          </w:p>
        </w:tc>
      </w:tr>
    </w:tbl>
    <w:p>
      <w:pPr>
        <w:pStyle w:val="Normal"/>
        <w:spacing w:before="0" w:after="80"/>
        <w:rPr/>
      </w:pPr>
      <w:r>
        <w:rPr/>
      </w:r>
    </w:p>
    <w:p>
      <w:pPr>
        <w:pStyle w:val="Heading2"/>
        <w:rPr/>
      </w:pPr>
      <w:bookmarkStart w:id="29" w:name="__RefHeading___Toc9837_1894618434"/>
      <w:bookmarkEnd w:id="29"/>
      <w:r>
        <w:rPr>
          <w:rFonts w:eastAsia="Segoe UI" w:cs="Segoe UI"/>
          <w:b/>
          <w:color w:val="0F4761"/>
          <w:sz w:val="26"/>
        </w:rPr>
        <w:t>5.14  Remittance to insurers and direct bill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Remits collected premium, net of commission, to each insurer by its share; for direct-bill policies, bills the broker's commission to the insurer.</w:t>
      </w:r>
    </w:p>
    <w:p>
      <w:pPr>
        <w:pStyle w:val="Normal"/>
        <w:numPr>
          <w:ilvl w:val="0"/>
          <w:numId w:val="1"/>
        </w:numPr>
        <w:spacing w:before="0" w:after="60"/>
        <w:rPr/>
      </w:pPr>
      <w:r>
        <w:rPr>
          <w:rFonts w:eastAsia="Segoe UI" w:cs="Segoe UI" w:ascii="Segoe UI" w:hAnsi="Segoe UI"/>
          <w:color w:val="101820"/>
          <w:sz w:val="21"/>
        </w:rPr>
        <w:t xml:space="preserve">Automated Processing creates draft remittances per insurer from collected, unremitted premium; due date from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Approval Workflow: each approver acts within the Remittance approval and Remittance settlement limits of the Authority Matrix (delivered: Accounting up to PHP 1,000,000, Accounting Manager without limit); cover during absence through Users and Access &gt; Delegations.</w:t>
      </w:r>
    </w:p>
    <w:p>
      <w:pPr>
        <w:pStyle w:val="Normal"/>
        <w:numPr>
          <w:ilvl w:val="0"/>
          <w:numId w:val="1"/>
        </w:numPr>
        <w:spacing w:before="0" w:after="60"/>
        <w:rPr/>
      </w:pPr>
      <w:r>
        <w:rPr>
          <w:rFonts w:eastAsia="Segoe UI" w:cs="Segoe UI" w:ascii="Segoe UI" w:hAnsi="Segoe UI"/>
          <w:color w:val="101820"/>
          <w:sz w:val="21"/>
        </w:rPr>
        <w:t>Settlement: premium less commission less tax plus or minus adjustments gives the net settlement; the insurer payment voucher is raised in Disbursement.</w:t>
      </w:r>
    </w:p>
    <w:p>
      <w:pPr>
        <w:pStyle w:val="Normal"/>
        <w:numPr>
          <w:ilvl w:val="0"/>
          <w:numId w:val="1"/>
        </w:numPr>
        <w:spacing w:before="0" w:after="60"/>
        <w:rPr/>
      </w:pPr>
      <w:r>
        <w:rPr>
          <w:rFonts w:eastAsia="Segoe UI" w:cs="Segoe UI" w:ascii="Segoe UI" w:hAnsi="Segoe UI"/>
          <w:color w:val="101820"/>
          <w:sz w:val="21"/>
        </w:rPr>
        <w:t xml:space="preserve">Tracking, Statements, Reconciliation of bank transactions (tolerance PHP 0.50), Bulk Processing, Scheduling (due schedules run by the </w:t>
      </w:r>
      <w:r>
        <w:rPr>
          <w:rFonts w:eastAsia="Consolas" w:cs="Consolas" w:ascii="Consolas" w:hAnsi="Consolas"/>
          <w:color w:val="101820"/>
          <w:sz w:val="19"/>
        </w:rPr>
        <w:t>remittance-schedules</w:t>
      </w:r>
      <w:r>
        <w:rPr>
          <w:rFonts w:eastAsia="Segoe UI" w:cs="Segoe UI" w:ascii="Segoe UI" w:hAnsi="Segoe UI"/>
          <w:color w:val="101820"/>
          <w:sz w:val="21"/>
        </w:rPr>
        <w:t xml:space="preserve"> job once switched on in Master &gt; Schedules), Electronic Transfer records (InstaPay, PESONet, RTGS, wire), Exception Management, Adjustments, Notifications, History, Analytics.</w:t>
      </w:r>
    </w:p>
    <w:p>
      <w:pPr>
        <w:pStyle w:val="Normal"/>
        <w:numPr>
          <w:ilvl w:val="0"/>
          <w:numId w:val="1"/>
        </w:numPr>
        <w:spacing w:before="0" w:after="60"/>
        <w:rPr/>
      </w:pPr>
      <w:r>
        <w:rPr>
          <w:rFonts w:eastAsia="Segoe UI" w:cs="Segoe UI" w:ascii="Segoe UI" w:hAnsi="Segoe UI"/>
          <w:color w:val="101820"/>
          <w:sz w:val="21"/>
        </w:rPr>
        <w:t>Direct Bill Processing: commission debit notes (DN-) with 12% output VAT, 10% EWT and net cash expected; due 30 days later; collection with tax withheld; change of billing mode with a reason.</w:t>
      </w:r>
    </w:p>
    <w:p>
      <w:pPr>
        <w:pStyle w:val="Normal"/>
        <w:numPr>
          <w:ilvl w:val="0"/>
          <w:numId w:val="1"/>
        </w:numPr>
        <w:spacing w:before="0" w:after="60"/>
        <w:rPr/>
      </w:pPr>
      <w:r>
        <w:rPr>
          <w:rFonts w:eastAsia="Segoe UI" w:cs="Segoe UI" w:ascii="Segoe UI" w:hAnsi="Segoe UI"/>
          <w:color w:val="101820"/>
          <w:sz w:val="21"/>
        </w:rPr>
        <w:t>Commission debit note e-mailed to the insurer with the PDF attached.</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Automated processing of remittances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held for insurers kept apart from commission income; VAT and EWT on direct-bill commission; Form 2307 received from insurers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 Due to Insurers by Co-insurer, Aged Payables to Insurers, Commission Receivable - Direct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Initiator cannot approve; approval limits from the Authority Matrix; debit notes maker-checker; billing mode change refused once premium was collected or remitted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and debit notes as PDF, CSV or XLSX; e-mail; transfers executed in the bank's own portal</w:t>
            </w:r>
          </w:p>
        </w:tc>
      </w:tr>
    </w:tbl>
    <w:p>
      <w:pPr>
        <w:pStyle w:val="Normal"/>
        <w:spacing w:before="0" w:after="80"/>
        <w:rPr/>
      </w:pPr>
      <w:r>
        <w:rPr/>
      </w:r>
    </w:p>
    <w:p>
      <w:pPr>
        <w:pStyle w:val="Heading2"/>
        <w:rPr/>
      </w:pPr>
      <w:bookmarkStart w:id="30" w:name="__RefHeading___Toc9839_1894618434"/>
      <w:bookmarkEnd w:id="30"/>
      <w:r>
        <w:rPr>
          <w:rFonts w:eastAsia="Segoe UI" w:cs="Segoe UI"/>
          <w:b/>
          <w:color w:val="0F4761"/>
          <w:sz w:val="26"/>
        </w:rPr>
        <w:t>5.15  Commission and referrers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Calculates the brokerage earned from insurers and the share paid to agents and referrers, and pays it when the premium is collected.</w:t>
      </w:r>
    </w:p>
    <w:p>
      <w:pPr>
        <w:pStyle w:val="Normal"/>
        <w:numPr>
          <w:ilvl w:val="0"/>
          <w:numId w:val="1"/>
        </w:numPr>
        <w:spacing w:before="0" w:after="60"/>
        <w:rPr/>
      </w:pPr>
      <w:r>
        <w:rPr>
          <w:rFonts w:eastAsia="Segoe UI" w:cs="Segoe UI" w:ascii="Segoe UI" w:hAnsi="Segoe UI"/>
          <w:color w:val="101820"/>
          <w:sz w:val="21"/>
        </w:rPr>
        <w:t xml:space="preserve">Commission Rate Matrix by insurer, product, line and policy type with effective dates; insurer default rate;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numPr>
          <w:ilvl w:val="0"/>
          <w:numId w:val="1"/>
        </w:numPr>
        <w:spacing w:before="0" w:after="60"/>
        <w:rPr/>
      </w:pPr>
      <w:r>
        <w:rPr>
          <w:rFonts w:eastAsia="Segoe UI" w:cs="Segoe UI" w:ascii="Segoe UI" w:hAnsi="Segoe UI"/>
          <w:color w:val="101820"/>
          <w:sz w:val="21"/>
        </w:rPr>
        <w:t>Commission line statuses Accrued, Eligible, Approved, Paid, Reversed; clawback on return premium.</w:t>
      </w:r>
    </w:p>
    <w:p>
      <w:pPr>
        <w:pStyle w:val="Normal"/>
        <w:numPr>
          <w:ilvl w:val="0"/>
          <w:numId w:val="1"/>
        </w:numPr>
        <w:spacing w:before="0" w:after="60"/>
        <w:rPr/>
      </w:pPr>
      <w:r>
        <w:rPr>
          <w:rFonts w:eastAsia="Segoe UI" w:cs="Segoe UI" w:ascii="Segoe UI" w:hAnsi="Segoe UI"/>
          <w:color w:val="101820"/>
          <w:sz w:val="21"/>
        </w:rPr>
        <w:t>Agents/Referrer Accounts with type (Agent, Sub-agent, External), level, net payable, withholding tax type and bank account; Generate payout creates the payout voucher.</w:t>
      </w:r>
    </w:p>
    <w:p>
      <w:pPr>
        <w:pStyle w:val="Normal"/>
        <w:numPr>
          <w:ilvl w:val="0"/>
          <w:numId w:val="1"/>
        </w:numPr>
        <w:spacing w:before="0" w:after="60"/>
        <w:rPr/>
      </w:pPr>
      <w:r>
        <w:rPr>
          <w:rFonts w:eastAsia="Segoe UI" w:cs="Segoe UI" w:ascii="Segoe UI" w:hAnsi="Segoe UI"/>
          <w:color w:val="101820"/>
          <w:sz w:val="21"/>
        </w:rPr>
        <w:t>Commission Dashboard with accounting and management views.</w:t>
      </w:r>
    </w:p>
    <w:p>
      <w:pPr>
        <w:pStyle w:val="Normal"/>
        <w:numPr>
          <w:ilvl w:val="0"/>
          <w:numId w:val="1"/>
        </w:numPr>
        <w:spacing w:before="0" w:after="60"/>
        <w:rPr/>
      </w:pPr>
      <w:r>
        <w:rPr>
          <w:rFonts w:eastAsia="Segoe UI" w:cs="Segoe UI" w:ascii="Segoe UI" w:hAnsi="Segoe UI"/>
          <w:color w:val="101820"/>
          <w:sz w:val="21"/>
        </w:rPr>
        <w:t>Overriding, profit and contingent commission from insurers (Commission &gt; Insurer Overrides): agreements per insurer with basis production volume, loss ratio or growth, period, lines of business and tiers (slab or banded); computation per period from production and claims (or the insurer's claims figure); approval by a second user posts the receivable, commission income and output VAT; sales invoice to the insurer; settlement against the insurer's statement with cash, creditable withholding and any difference.</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comsub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Agent 5%, Sub-agent 5%, External 10%); ATC per payee type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pays; Sales &amp; Marketing views its commission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 Commission Dashboard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and with a bank account on file; approval of lines and payout by a second user; no approval or payout to an agent or sub-agent without an IC licence in force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block as delivered)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 through Disbursement</w:t>
            </w:r>
          </w:p>
        </w:tc>
      </w:tr>
    </w:tbl>
    <w:p>
      <w:pPr>
        <w:pStyle w:val="Normal"/>
        <w:spacing w:before="0" w:after="80"/>
        <w:rPr/>
      </w:pPr>
      <w:r>
        <w:rPr/>
      </w:r>
    </w:p>
    <w:p>
      <w:pPr>
        <w:pStyle w:val="Heading2"/>
        <w:rPr/>
      </w:pPr>
      <w:bookmarkStart w:id="31" w:name="__RefHeading___Toc9841_1894618434"/>
      <w:bookmarkEnd w:id="31"/>
      <w:r>
        <w:rPr>
          <w:rFonts w:eastAsia="Segoe UI" w:cs="Segoe UI"/>
          <w:b/>
          <w:color w:val="0F4761"/>
          <w:sz w:val="26"/>
        </w:rPr>
        <w:t>5.16  Incentives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Rewards account executives who reach targets.</w:t>
      </w:r>
    </w:p>
    <w:p>
      <w:pPr>
        <w:pStyle w:val="Normal"/>
        <w:numPr>
          <w:ilvl w:val="0"/>
          <w:numId w:val="1"/>
        </w:numPr>
        <w:spacing w:before="0" w:after="60"/>
        <w:rPr/>
      </w:pPr>
      <w:r>
        <w:rPr>
          <w:rFonts w:eastAsia="Segoe UI" w:cs="Segoe UI" w:ascii="Segoe UI" w:hAnsi="Segoe UI"/>
          <w:color w:val="101820"/>
          <w:sz w:val="21"/>
        </w:rPr>
        <w:t>Incentive Programs (INC-) by target metric: premium volume, policy count, renewal rate or conversion; base target, frequency, dates.</w:t>
      </w:r>
    </w:p>
    <w:p>
      <w:pPr>
        <w:pStyle w:val="Normal"/>
        <w:numPr>
          <w:ilvl w:val="0"/>
          <w:numId w:val="1"/>
        </w:numPr>
        <w:spacing w:before="0" w:after="60"/>
        <w:rPr/>
      </w:pPr>
      <w:r>
        <w:rPr>
          <w:rFonts w:eastAsia="Segoe UI" w:cs="Segoe UI" w:ascii="Segoe UI" w:hAnsi="Segoe UI"/>
          <w:color w:val="101820"/>
          <w:sz w:val="21"/>
        </w:rPr>
        <w:t>Calculations per period (CALC-), Approvals (including bulk approve), Statement per person and month.</w:t>
      </w:r>
    </w:p>
    <w:p>
      <w:pPr>
        <w:pStyle w:val="Normal"/>
        <w:numPr>
          <w:ilvl w:val="0"/>
          <w:numId w:val="1"/>
        </w:numPr>
        <w:spacing w:before="0" w:after="60"/>
        <w:rPr/>
      </w:pPr>
      <w:r>
        <w:rPr>
          <w:rFonts w:eastAsia="Segoe UI" w:cs="Segoe UI" w:ascii="Segoe UI" w:hAnsi="Segoe UI"/>
          <w:color w:val="101820"/>
          <w:sz w:val="21"/>
        </w:rPr>
        <w:t>Approved amounts accrued and paid through posting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up programmes; Accounting calculates and pays; Sales &amp; Marketing take part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 second Accounting user; Accounting cannot change the programmes it pays</w:t>
            </w:r>
          </w:p>
        </w:tc>
      </w:tr>
    </w:tbl>
    <w:p>
      <w:pPr>
        <w:pStyle w:val="Normal"/>
        <w:spacing w:before="0" w:after="80"/>
        <w:rPr/>
      </w:pPr>
      <w:r>
        <w:rPr/>
      </w:r>
    </w:p>
    <w:p>
      <w:pPr>
        <w:pStyle w:val="Heading2"/>
        <w:rPr/>
      </w:pPr>
      <w:bookmarkStart w:id="32" w:name="__RefHeading___Toc9843_1894618434"/>
      <w:bookmarkEnd w:id="32"/>
      <w:r>
        <w:rPr>
          <w:rFonts w:eastAsia="Segoe UI" w:cs="Segoe UI"/>
          <w:b/>
          <w:color w:val="0F4761"/>
          <w:sz w:val="26"/>
        </w:rPr>
        <w:t>5.17  General ledger and journals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a double-entry general ledger fed by every operational event, with manual journals under approval.</w:t>
      </w:r>
    </w:p>
    <w:p>
      <w:pPr>
        <w:pStyle w:val="Normal"/>
        <w:numPr>
          <w:ilvl w:val="0"/>
          <w:numId w:val="1"/>
        </w:numPr>
        <w:spacing w:before="0" w:after="60"/>
        <w:rPr/>
      </w:pPr>
      <w:r>
        <w:rPr>
          <w:rFonts w:eastAsia="Segoe UI" w:cs="Segoe UI" w:ascii="Segoe UI" w:hAnsi="Segoe UI"/>
          <w:color w:val="101820"/>
          <w:sz w:val="21"/>
        </w:rPr>
        <w:t>Posting rules turn each business event into journal lines through account roles mapped in Account Determination; Simulate before approval.</w:t>
      </w:r>
    </w:p>
    <w:p>
      <w:pPr>
        <w:pStyle w:val="Normal"/>
        <w:numPr>
          <w:ilvl w:val="0"/>
          <w:numId w:val="1"/>
        </w:numPr>
        <w:spacing w:before="0" w:after="60"/>
        <w:rPr/>
      </w:pPr>
      <w:r>
        <w:rPr>
          <w:rFonts w:eastAsia="Segoe UI" w:cs="Segoe UI" w:ascii="Segoe UI" w:hAnsi="Segoe UI"/>
          <w:color w:val="101820"/>
          <w:sz w:val="21"/>
        </w:rPr>
        <w:t>Journal Voucher, Correction JV and Reversal JV with approval; Accounting Query; All Clients Accounting; Open Entry Matching and Un-Matching with write-off reasons and limits.</w:t>
      </w:r>
    </w:p>
    <w:p>
      <w:pPr>
        <w:pStyle w:val="Normal"/>
        <w:numPr>
          <w:ilvl w:val="0"/>
          <w:numId w:val="1"/>
        </w:numPr>
        <w:spacing w:before="0" w:after="60"/>
        <w:rPr/>
      </w:pPr>
      <w:r>
        <w:rPr>
          <w:rFonts w:eastAsia="Segoe UI" w:cs="Segoe UI" w:ascii="Segoe UI" w:hAnsi="Segoe UI"/>
          <w:color w:val="101820"/>
          <w:sz w:val="21"/>
        </w:rPr>
        <w:t>Delivered Philippine broker chart of accounts, including Cash in Bank - Premium Trust Account (Clients' Money).</w:t>
      </w:r>
    </w:p>
    <w:p>
      <w:pPr>
        <w:pStyle w:val="Normal"/>
        <w:numPr>
          <w:ilvl w:val="0"/>
          <w:numId w:val="1"/>
        </w:numPr>
        <w:spacing w:before="0" w:after="60"/>
        <w:rPr/>
      </w:pPr>
      <w:r>
        <w:rPr>
          <w:rFonts w:eastAsia="Segoe UI" w:cs="Segoe UI" w:ascii="Segoe UI" w:hAnsi="Segoe UI"/>
          <w:color w:val="101820"/>
          <w:sz w:val="21"/>
        </w:rPr>
        <w:t>Premium VAT, DST and LGT booked to their own accounts (</w:t>
      </w:r>
      <w:r>
        <w:rPr>
          <w:rFonts w:eastAsia="Consolas" w:cs="Consolas" w:ascii="Consolas" w:hAnsi="Consolas"/>
          <w:color w:val="101820"/>
          <w:sz w:val="19"/>
        </w:rPr>
        <w:t>accounting.split_premium_taxes</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System Administrator maintains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 General Ledger Detail, Trial Balance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Unbalanced journals, inactive accounts and closed periods refused; each journal points to its source document; changes to posting rules and account determination proposed by one user and approved by another (Configuration Approvals)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opening balance upload templates</w:t>
            </w:r>
          </w:p>
        </w:tc>
      </w:tr>
    </w:tbl>
    <w:p>
      <w:pPr>
        <w:pStyle w:val="Normal"/>
        <w:spacing w:before="0" w:after="80"/>
        <w:rPr/>
      </w:pPr>
      <w:r>
        <w:rPr/>
      </w:r>
    </w:p>
    <w:p>
      <w:pPr>
        <w:pStyle w:val="Heading2"/>
        <w:rPr/>
      </w:pPr>
      <w:bookmarkStart w:id="33" w:name="__RefHeading___Toc9845_1894618434"/>
      <w:bookmarkEnd w:id="33"/>
      <w:r>
        <w:rPr>
          <w:rFonts w:eastAsia="Segoe UI" w:cs="Segoe UI"/>
          <w:b/>
          <w:color w:val="0F4761"/>
          <w:sz w:val="26"/>
        </w:rPr>
        <w:t>5.18  Period end</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Runs the fiscal calendar, the month-end and year-end close and the financial statements.</w:t>
      </w:r>
    </w:p>
    <w:p>
      <w:pPr>
        <w:pStyle w:val="Normal"/>
        <w:numPr>
          <w:ilvl w:val="0"/>
          <w:numId w:val="1"/>
        </w:numPr>
        <w:spacing w:before="0" w:after="60"/>
        <w:rPr/>
      </w:pPr>
      <w:r>
        <w:rPr>
          <w:rFonts w:eastAsia="Segoe UI" w:cs="Segoe UI" w:ascii="Segoe UI" w:hAnsi="Segoe UI"/>
          <w:color w:val="101820"/>
          <w:sz w:val="21"/>
        </w:rPr>
        <w:t>Period Management: periods Open, Soft-closed, Closed, Locked; adjustment period 13; go-live opening balances import.</w:t>
      </w:r>
    </w:p>
    <w:p>
      <w:pPr>
        <w:pStyle w:val="Normal"/>
        <w:numPr>
          <w:ilvl w:val="0"/>
          <w:numId w:val="1"/>
        </w:numPr>
        <w:spacing w:before="0" w:after="60"/>
        <w:rPr/>
      </w:pPr>
      <w:r>
        <w:rPr>
          <w:rFonts w:eastAsia="Segoe UI" w:cs="Segoe UI" w:ascii="Segoe UI" w:hAnsi="Segoe UI"/>
          <w:color w:val="101820"/>
          <w:sz w:val="21"/>
        </w:rPr>
        <w:t>Month-End Close run (MEC-): accruals, recurring journals, commission deferral, FX revaluation and the close checklist with automatic and manual, blocking and warning items.</w:t>
      </w:r>
    </w:p>
    <w:p>
      <w:pPr>
        <w:pStyle w:val="Normal"/>
        <w:numPr>
          <w:ilvl w:val="0"/>
          <w:numId w:val="1"/>
        </w:numPr>
        <w:spacing w:before="0" w:after="60"/>
        <w:rPr/>
      </w:pPr>
      <w:r>
        <w:rPr>
          <w:rFonts w:eastAsia="Segoe UI" w:cs="Segoe UI" w:ascii="Segoe UI" w:hAnsi="Segoe UI"/>
          <w:color w:val="101820"/>
          <w:sz w:val="21"/>
        </w:rPr>
        <w:t>Recurring Journals (RJV-) and accruals with auto-reversal on day 1 of the next period.</w:t>
      </w:r>
    </w:p>
    <w:p>
      <w:pPr>
        <w:pStyle w:val="Normal"/>
        <w:numPr>
          <w:ilvl w:val="0"/>
          <w:numId w:val="1"/>
        </w:numPr>
        <w:spacing w:before="0" w:after="60"/>
        <w:rPr/>
      </w:pPr>
      <w:r>
        <w:rPr>
          <w:rFonts w:eastAsia="Segoe UI" w:cs="Segoe UI" w:ascii="Segoe UI" w:hAnsi="Segoe UI"/>
          <w:color w:val="101820"/>
          <w:sz w:val="21"/>
        </w:rPr>
        <w:t>Year-End Close (YEC-): pre-checks, adjustment journals in period 13, closing to retained earnings, opening balances of the next year; reversible until the first period of the next year is closed.</w:t>
      </w:r>
    </w:p>
    <w:p>
      <w:pPr>
        <w:pStyle w:val="Normal"/>
        <w:numPr>
          <w:ilvl w:val="0"/>
          <w:numId w:val="1"/>
        </w:numPr>
        <w:spacing w:before="0" w:after="60"/>
        <w:rPr/>
      </w:pPr>
      <w:r>
        <w:rPr>
          <w:rFonts w:eastAsia="Segoe UI" w:cs="Segoe UI" w:ascii="Segoe UI" w:hAnsi="Segoe UI"/>
          <w:color w:val="101820"/>
          <w:sz w:val="21"/>
        </w:rPr>
        <w:t>Financial Statements: Income Statement, Balance Sheet and Trial Balance for any dates.</w:t>
      </w:r>
    </w:p>
    <w:p>
      <w:pPr>
        <w:pStyle w:val="Normal"/>
        <w:jc w:val="center"/>
        <w:rPr/>
      </w:pPr>
      <w:r>
        <w:rPr/>
        <w:drawing>
          <wp:inline distT="0" distB="0" distL="0" distR="0">
            <wp:extent cx="5760085" cy="388302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88302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 Balance Sheet, Trial Balance (Opening / Movement / Closing), Month-End Close Status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approval by a different user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postings in soft-closed periods only by the Accounting Manager; reopening needs remarks and is recorded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for recurring journals, accrual reversal, period soft-close and close reminders (delivered switched off)</w:t>
            </w:r>
          </w:p>
        </w:tc>
      </w:tr>
    </w:tbl>
    <w:p>
      <w:pPr>
        <w:pStyle w:val="Normal"/>
        <w:spacing w:before="0" w:after="80"/>
        <w:rPr/>
      </w:pPr>
      <w:r>
        <w:rPr/>
      </w:r>
    </w:p>
    <w:p>
      <w:pPr>
        <w:pStyle w:val="Heading2"/>
        <w:rPr/>
      </w:pPr>
      <w:bookmarkStart w:id="34" w:name="__RefHeading___Toc9847_1894618434"/>
      <w:bookmarkEnd w:id="34"/>
      <w:r>
        <w:rPr>
          <w:rFonts w:eastAsia="Segoe UI" w:cs="Segoe UI"/>
          <w:b/>
          <w:color w:val="0F4761"/>
          <w:sz w:val="26"/>
        </w:rPr>
        <w:t>5.19  Bank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Matches each bank statement with the cash account in the ledger, posts bank items not yet in the books and produces the monthly reconciliation statement.</w:t>
      </w:r>
    </w:p>
    <w:p>
      <w:pPr>
        <w:pStyle w:val="Normal"/>
        <w:numPr>
          <w:ilvl w:val="0"/>
          <w:numId w:val="1"/>
        </w:numPr>
        <w:spacing w:before="0" w:after="60"/>
        <w:rPr/>
      </w:pPr>
      <w:r>
        <w:rPr>
          <w:rFonts w:eastAsia="Segoe UI" w:cs="Segoe UI" w:ascii="Segoe UI" w:hAnsi="Segoe UI"/>
          <w:color w:val="101820"/>
          <w:sz w:val="21"/>
        </w:rPr>
        <w:t>Statement import (CSV or XLSX) with formats BDO-SAMPLE, BPI-SAMPLE, MBT-SAMPLE and GENERIC, or entry by hand; balanced statement check; duplicate files refused.</w:t>
      </w:r>
    </w:p>
    <w:p>
      <w:pPr>
        <w:pStyle w:val="Normal"/>
        <w:numPr>
          <w:ilvl w:val="0"/>
          <w:numId w:val="1"/>
        </w:numPr>
        <w:spacing w:before="0" w:after="60"/>
        <w:rPr/>
      </w:pPr>
      <w:r>
        <w:rPr>
          <w:rFonts w:eastAsia="Segoe UI" w:cs="Segoe UI" w:ascii="Segoe UI" w:hAnsi="Segoe UI"/>
          <w:color w:val="101820"/>
          <w:sz w:val="21"/>
        </w:rPr>
        <w:t>Auto-match with six rules (adjustment journals, reversals, amount and reference, amount and date window, one-to-many, many-to-one) and manual matching with treatment of differences.</w:t>
      </w:r>
    </w:p>
    <w:p>
      <w:pPr>
        <w:pStyle w:val="Normal"/>
        <w:numPr>
          <w:ilvl w:val="0"/>
          <w:numId w:val="1"/>
        </w:numPr>
        <w:spacing w:before="0" w:after="60"/>
        <w:rPr/>
      </w:pPr>
      <w:r>
        <w:rPr>
          <w:rFonts w:eastAsia="Segoe UI" w:cs="Segoe UI" w:ascii="Segoe UI" w:hAnsi="Segoe UI"/>
          <w:color w:val="101820"/>
          <w:sz w:val="21"/>
        </w:rPr>
        <w:t>Create adjustment from a bank line using bank transaction types (charges, interest, final tax, returned cheque, direct credits); stale cheques after 180 days.</w:t>
      </w:r>
    </w:p>
    <w:p>
      <w:pPr>
        <w:pStyle w:val="Normal"/>
        <w:numPr>
          <w:ilvl w:val="0"/>
          <w:numId w:val="1"/>
        </w:numPr>
        <w:spacing w:before="0" w:after="60"/>
        <w:rPr/>
      </w:pPr>
      <w:r>
        <w:rPr>
          <w:rFonts w:eastAsia="Segoe UI" w:cs="Segoe UI" w:ascii="Segoe UI" w:hAnsi="Segoe UI"/>
          <w:color w:val="101820"/>
          <w:sz w:val="21"/>
        </w:rPr>
        <w:t>Reconciliation (BRC-) prepared, approved and locked; reopen with remarks.</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workspace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of BDO, BPI and Metrobank exports; returned cheques (DAIF, DAUD) cancel the receipt and reopen the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differs from preparer; month-end checklist looks for an approved reconciliation of each active account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 no bank API</w:t>
            </w:r>
          </w:p>
        </w:tc>
      </w:tr>
    </w:tbl>
    <w:p>
      <w:pPr>
        <w:pStyle w:val="Normal"/>
        <w:spacing w:before="0" w:after="80"/>
        <w:rPr/>
      </w:pPr>
      <w:r>
        <w:rPr/>
      </w:r>
    </w:p>
    <w:p>
      <w:pPr>
        <w:pStyle w:val="Heading2"/>
        <w:rPr/>
      </w:pPr>
      <w:bookmarkStart w:id="35" w:name="__RefHeading___Toc9849_1894618434"/>
      <w:bookmarkEnd w:id="35"/>
      <w:r>
        <w:rPr>
          <w:rFonts w:eastAsia="Segoe UI" w:cs="Segoe UI"/>
          <w:b/>
          <w:color w:val="0F4761"/>
          <w:sz w:val="26"/>
        </w:rPr>
        <w:t>5.20  Insurer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Imports insurers' statements of account and matches them with the broker's remittances, debit notes and policies.</w:t>
      </w:r>
    </w:p>
    <w:p>
      <w:pPr>
        <w:pStyle w:val="Normal"/>
        <w:numPr>
          <w:ilvl w:val="0"/>
          <w:numId w:val="1"/>
        </w:numPr>
        <w:spacing w:before="0" w:after="60"/>
        <w:rPr/>
      </w:pPr>
      <w:r>
        <w:rPr>
          <w:rFonts w:eastAsia="Segoe UI" w:cs="Segoe UI" w:ascii="Segoe UI" w:hAnsi="Segoe UI"/>
          <w:color w:val="101820"/>
          <w:sz w:val="21"/>
        </w:rPr>
        <w:t>Statement types: premium remittance confirmations (broker-billed premium the insurer received) and commission statements (direct-bill commission the insurer recognises).</w:t>
      </w:r>
    </w:p>
    <w:p>
      <w:pPr>
        <w:pStyle w:val="Normal"/>
        <w:numPr>
          <w:ilvl w:val="0"/>
          <w:numId w:val="1"/>
        </w:numPr>
        <w:spacing w:before="0" w:after="60"/>
        <w:rPr/>
      </w:pPr>
      <w:r>
        <w:rPr>
          <w:rFonts w:eastAsia="Segoe UI" w:cs="Segoe UI" w:ascii="Segoe UI" w:hAnsi="Segoe UI"/>
          <w:color w:val="101820"/>
          <w:sz w:val="21"/>
        </w:rPr>
        <w:t>Insurer Statement Formats map each insurer's CSV or XLSX columns.</w:t>
      </w:r>
    </w:p>
    <w:p>
      <w:pPr>
        <w:pStyle w:val="Normal"/>
        <w:numPr>
          <w:ilvl w:val="0"/>
          <w:numId w:val="1"/>
        </w:numPr>
        <w:spacing w:before="0" w:after="60"/>
        <w:rPr/>
      </w:pPr>
      <w:r>
        <w:rPr>
          <w:rFonts w:eastAsia="Segoe UI" w:cs="Segoe UI" w:ascii="Segoe UI" w:hAnsi="Segoe UI"/>
          <w:color w:val="101820"/>
          <w:sz w:val="21"/>
        </w:rPr>
        <w:t>Matching per line, resolutions with adjustment journals, approval of the reconciliation.</w:t>
      </w:r>
    </w:p>
    <w:p>
      <w:pPr>
        <w:pStyle w:val="Normal"/>
        <w:numPr>
          <w:ilvl w:val="0"/>
          <w:numId w:val="1"/>
        </w:numPr>
        <w:spacing w:before="0" w:after="60"/>
        <w:rPr/>
      </w:pPr>
      <w:r>
        <w:rPr>
          <w:rFonts w:eastAsia="Segoe UI" w:cs="Segoe UI" w:ascii="Segoe UI" w:hAnsi="Segoe UI"/>
          <w:color w:val="101820"/>
          <w:sz w:val="21"/>
        </w:rPr>
        <w:t>Differences report with the insurer's and the broker's premium, commission and amount side by side.</w:t>
      </w:r>
    </w:p>
    <w:p>
      <w:pPr>
        <w:pStyle w:val="Normal"/>
        <w:jc w:val="center"/>
        <w:rPr/>
      </w:pPr>
      <w:r>
        <w:rPr/>
        <w:drawing>
          <wp:inline distT="0" distB="0" distL="0" distR="0">
            <wp:extent cx="5760085" cy="429514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Insurer Statements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differences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insurer reconciliations by the Accounting Manager; adjustment journals through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files; no insurer API</w:t>
            </w:r>
          </w:p>
        </w:tc>
      </w:tr>
    </w:tbl>
    <w:p>
      <w:pPr>
        <w:pStyle w:val="Normal"/>
        <w:spacing w:before="0" w:after="80"/>
        <w:rPr/>
      </w:pPr>
      <w:r>
        <w:rPr/>
      </w:r>
    </w:p>
    <w:p>
      <w:pPr>
        <w:pStyle w:val="Heading2"/>
        <w:rPr/>
      </w:pPr>
      <w:bookmarkStart w:id="36" w:name="__RefHeading___Toc9851_1894618434"/>
      <w:bookmarkEnd w:id="36"/>
      <w:r>
        <w:rPr>
          <w:rFonts w:eastAsia="Segoe UI" w:cs="Segoe UI"/>
          <w:b/>
          <w:color w:val="0F4761"/>
          <w:sz w:val="26"/>
        </w:rPr>
        <w:t>5.21  BIR tax</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Prepares the BIR forms and working papers from the ledger.</w:t>
      </w:r>
    </w:p>
    <w:p>
      <w:pPr>
        <w:pStyle w:val="Normal"/>
        <w:numPr>
          <w:ilvl w:val="0"/>
          <w:numId w:val="1"/>
        </w:numPr>
        <w:spacing w:before="0" w:after="60"/>
        <w:rPr/>
      </w:pPr>
      <w:r>
        <w:rPr>
          <w:rFonts w:eastAsia="Segoe UI" w:cs="Segoe UI" w:ascii="Segoe UI" w:hAnsi="Segoe UI"/>
          <w:color w:val="101820"/>
          <w:sz w:val="21"/>
        </w:rPr>
        <w:t>BIR Form 2307: Issued by us (tax withheld on payments to agents, referrers and suppliers, and on the supplier invoices of accounts payable) and Received (tax withheld by insurers and clients); certificates per payee and quarter numbered from the CWT series, printed on the BIR layout, issued one by one or for every payee of the quarter; cancel with a reason.</w:t>
      </w:r>
    </w:p>
    <w:p>
      <w:pPr>
        <w:pStyle w:val="Normal"/>
        <w:numPr>
          <w:ilvl w:val="0"/>
          <w:numId w:val="1"/>
        </w:numPr>
        <w:spacing w:before="0" w:after="60"/>
        <w:rPr/>
      </w:pPr>
      <w:r>
        <w:rPr>
          <w:rFonts w:eastAsia="Segoe UI" w:cs="Segoe UI" w:ascii="Segoe UI" w:hAnsi="Segoe UI"/>
          <w:color w:val="101820"/>
          <w:sz w:val="21"/>
        </w:rPr>
        <w:t>VAT Summary: vatable revenue, output VAT, input VAT and net VAT payable per month or quarter, the working paper for the VAT return.</w:t>
      </w:r>
    </w:p>
    <w:p>
      <w:pPr>
        <w:pStyle w:val="Normal"/>
        <w:numPr>
          <w:ilvl w:val="0"/>
          <w:numId w:val="1"/>
        </w:numPr>
        <w:spacing w:before="0" w:after="60"/>
        <w:rPr/>
      </w:pPr>
      <w:r>
        <w:rPr>
          <w:rFonts w:eastAsia="Segoe UI" w:cs="Segoe UI" w:ascii="Segoe UI" w:hAnsi="Segoe UI"/>
          <w:color w:val="101820"/>
          <w:sz w:val="21"/>
        </w:rPr>
        <w:t>SAWT, QAP, SLSP Sales and SLSP Purchases in the BIR column order, as CSV, Excel or PDF.</w:t>
      </w:r>
    </w:p>
    <w:p>
      <w:pPr>
        <w:pStyle w:val="Normal"/>
        <w:numPr>
          <w:ilvl w:val="0"/>
          <w:numId w:val="1"/>
        </w:numPr>
        <w:spacing w:before="0" w:after="60"/>
        <w:rPr/>
      </w:pPr>
      <w:r>
        <w:rPr>
          <w:rFonts w:eastAsia="Segoe UI" w:cs="Segoe UI" w:ascii="Segoe UI" w:hAnsi="Segoe UI"/>
          <w:color w:val="101820"/>
          <w:sz w:val="21"/>
        </w:rPr>
        <w:t>Withholding Returns: 0619-E per month and 1601-EQ per quarter per ATC on the BIR layout (PDF and Excel), reconciled with the QAP and the ledger withholding accounts, with filing records (date filed, reference, amount paid, penalties, amended returns); annual 1604-E with the alphalist of payees (schedules 3 and 4).</w:t>
      </w:r>
    </w:p>
    <w:p>
      <w:pPr>
        <w:pStyle w:val="Normal"/>
        <w:numPr>
          <w:ilvl w:val="0"/>
          <w:numId w:val="1"/>
        </w:numPr>
        <w:spacing w:before="0" w:after="60"/>
        <w:rPr/>
      </w:pPr>
      <w:r>
        <w:rPr>
          <w:rFonts w:eastAsia="Segoe UI" w:cs="Segoe UI" w:ascii="Segoe UI" w:hAnsi="Segoe UI"/>
          <w:color w:val="101820"/>
          <w:sz w:val="21"/>
        </w:rPr>
        <w:t xml:space="preserve">Percentage Tax 2551Q working paper for a non-VAT broker or agent (rate </w:t>
      </w:r>
      <w:r>
        <w:rPr>
          <w:rFonts w:eastAsia="Consolas" w:cs="Consolas" w:ascii="Consolas" w:hAnsi="Consolas"/>
          <w:color w:val="101820"/>
          <w:sz w:val="19"/>
        </w:rPr>
        <w:t>bir.percentage_tax_rate</w:t>
      </w:r>
      <w:r>
        <w:rPr>
          <w:rFonts w:eastAsia="Segoe UI" w:cs="Segoe UI" w:ascii="Segoe UI" w:hAnsi="Segoe UI"/>
          <w:color w:val="101820"/>
          <w:sz w:val="21"/>
        </w:rPr>
        <w:t>, default 3%).</w:t>
      </w:r>
    </w:p>
    <w:p>
      <w:pPr>
        <w:pStyle w:val="Normal"/>
        <w:numPr>
          <w:ilvl w:val="0"/>
          <w:numId w:val="1"/>
        </w:numPr>
        <w:spacing w:before="0" w:after="60"/>
        <w:rPr/>
      </w:pPr>
      <w:r>
        <w:rPr>
          <w:rFonts w:eastAsia="Segoe UI" w:cs="Segoe UI" w:ascii="Segoe UI" w:hAnsi="Segoe UI"/>
          <w:color w:val="101820"/>
          <w:sz w:val="21"/>
        </w:rPr>
        <w:t>BIR DAT Files for the QAP, SAWT, SLSP sales and purchases and the 1604-E alphalist (BIR Alphalist Data Entry module v7.x and RELIEF layouts, version shown on screen).</w:t>
      </w:r>
    </w:p>
    <w:p>
      <w:pPr>
        <w:pStyle w:val="Normal"/>
        <w:numPr>
          <w:ilvl w:val="0"/>
          <w:numId w:val="1"/>
        </w:numPr>
        <w:spacing w:before="0" w:after="60"/>
        <w:rPr/>
      </w:pPr>
      <w:r>
        <w:rPr>
          <w:rFonts w:eastAsia="Segoe UI" w:cs="Segoe UI" w:ascii="Segoe UI" w:hAnsi="Segoe UI"/>
          <w:color w:val="101820"/>
          <w:sz w:val="21"/>
        </w:rPr>
        <w:t>Sales Invoices under the EOPT Act and RR 7-2024 for commission and fees, with every required field, sequential numbering within the registered serial range, cancellation with a reason and payment acknowledgements as supplementary documents.</w:t>
      </w:r>
    </w:p>
    <w:p>
      <w:pPr>
        <w:pStyle w:val="Normal"/>
        <w:numPr>
          <w:ilvl w:val="0"/>
          <w:numId w:val="1"/>
        </w:numPr>
        <w:spacing w:before="0" w:after="60"/>
        <w:rPr/>
      </w:pPr>
      <w:r>
        <w:rPr>
          <w:rFonts w:eastAsia="Segoe UI" w:cs="Segoe UI" w:ascii="Segoe UI" w:hAnsi="Segoe UI"/>
          <w:color w:val="101820"/>
          <w:sz w:val="21"/>
        </w:rPr>
        <w:t>E-Invoicing (EIS): e-invoice payloads, signing placeholder, outbox with status and retry, test mode with a fake provider, live adapter configured by settings; switched off until the broker's BIR certification.</w:t>
      </w:r>
    </w:p>
    <w:p>
      <w:pPr>
        <w:pStyle w:val="Normal"/>
        <w:numPr>
          <w:ilvl w:val="0"/>
          <w:numId w:val="1"/>
        </w:numPr>
        <w:spacing w:before="0" w:after="60"/>
        <w:rPr/>
      </w:pPr>
      <w:r>
        <w:rPr>
          <w:rFonts w:eastAsia="Segoe UI" w:cs="Segoe UI" w:ascii="Segoe UI" w:hAnsi="Segoe UI"/>
          <w:color w:val="101820"/>
          <w:sz w:val="21"/>
        </w:rPr>
        <w:t>CAS Books and Documents: loose-leaf books per month with running page numbers, system description and controls, backup procedure, audit trail extract.</w:t>
      </w:r>
    </w:p>
    <w:p>
      <w:pPr>
        <w:pStyle w:val="Normal"/>
        <w:numPr>
          <w:ilvl w:val="0"/>
          <w:numId w:val="1"/>
        </w:numPr>
        <w:spacing w:before="0" w:after="60"/>
        <w:rPr/>
      </w:pPr>
      <w:r>
        <w:rPr>
          <w:rFonts w:eastAsia="Segoe UI" w:cs="Segoe UI" w:ascii="Segoe UI" w:hAnsi="Segoe UI"/>
          <w:color w:val="101820"/>
          <w:sz w:val="21"/>
        </w:rPr>
        <w:t>Tax codes (Master &gt; Finance &gt; Taxation): VAT output and input 12%, zero-rated, exempt, expanded withholding with ATC (for example WI139, WC139, WI515), final withholding, DST, LGT, premium taxes, each with rate, GL account and effective date.</w:t>
      </w:r>
    </w:p>
    <w:p>
      <w:pPr>
        <w:pStyle w:val="Normal"/>
        <w:jc w:val="center"/>
        <w:rPr/>
      </w:pPr>
      <w:r>
        <w:rPr/>
        <w:drawing>
          <wp:inline distT="0" distB="0" distL="0" distR="0">
            <wp:extent cx="5760085" cy="325755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BIR Form 2307</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of the above; BIR settings for the withholding agent's TIN, registered name and address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 BIR Form 2307 register, 0619-E, 1601-EQ, 1604-E, 2551Q, DAT files, sales book and the other loose-leaf books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 kept and cancelled with a reason, not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 files for validation in the BIR tools; EIS connector (switched off until certification); the system does not file returns</w:t>
            </w:r>
          </w:p>
        </w:tc>
      </w:tr>
    </w:tbl>
    <w:p>
      <w:pPr>
        <w:pStyle w:val="Normal"/>
        <w:spacing w:before="0" w:after="80"/>
        <w:rPr/>
      </w:pPr>
      <w:r>
        <w:rPr/>
      </w:r>
    </w:p>
    <w:p>
      <w:pPr>
        <w:pStyle w:val="Heading2"/>
        <w:rPr/>
      </w:pPr>
      <w:bookmarkStart w:id="37" w:name="__RefHeading___Toc9853_1894618434"/>
      <w:bookmarkEnd w:id="37"/>
      <w:r>
        <w:rPr>
          <w:rFonts w:eastAsia="Segoe UI" w:cs="Segoe UI"/>
          <w:b/>
          <w:color w:val="0F4761"/>
          <w:sz w:val="26"/>
        </w:rPr>
        <w:t>5.22  Reinsurance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treaties that protect large risks, the cessions under them, recoveries on claims and the reconciliation of reinsurer statements.</w:t>
      </w:r>
    </w:p>
    <w:p>
      <w:pPr>
        <w:pStyle w:val="Normal"/>
        <w:numPr>
          <w:ilvl w:val="0"/>
          <w:numId w:val="1"/>
        </w:numPr>
        <w:spacing w:before="0" w:after="60"/>
        <w:rPr/>
      </w:pPr>
      <w:r>
        <w:rPr>
          <w:rFonts w:eastAsia="Segoe UI" w:cs="Segoe UI" w:ascii="Segoe UI" w:hAnsi="Segoe UI"/>
          <w:color w:val="101820"/>
          <w:sz w:val="21"/>
        </w:rPr>
        <w:t>Treaty master: quota share, surplus, excess of loss, stop loss; reinsurers, shares and period.</w:t>
      </w:r>
    </w:p>
    <w:p>
      <w:pPr>
        <w:pStyle w:val="Normal"/>
        <w:numPr>
          <w:ilvl w:val="0"/>
          <w:numId w:val="1"/>
        </w:numPr>
        <w:spacing w:before="0" w:after="60"/>
        <w:rPr/>
      </w:pPr>
      <w:r>
        <w:rPr>
          <w:rFonts w:eastAsia="Segoe UI" w:cs="Segoe UI" w:ascii="Segoe UI" w:hAnsi="Segoe UI"/>
          <w:color w:val="101820"/>
          <w:sz w:val="21"/>
        </w:rPr>
        <w:t>Treaty Dashboard, Cession Tracking with Process Cession and Generate Bordereau, Claims Recovery, Reconciliation (variances above 1% for review), Analytics.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(treaties, cessions), Claims (recoveries), Accounting (reconciliation), System Administrator (master)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treaty approved by a second user (</w:t>
            </w:r>
            <w:r>
              <w:rPr>
                <w:rFonts w:eastAsia="Consolas" w:cs="Consolas" w:ascii="Consolas" w:hAnsi="Consolas"/>
                <w:color w:val="101820"/>
                <w:kern w:val="0"/>
                <w:sz w:val="16"/>
                <w:szCs w:val="24"/>
                <w:lang w:val="en-US" w:eastAsia="ja-JP" w:bidi="ar-SA"/>
              </w:rPr>
              <w:t>reinsurance.treaty_requires_approval</w:t>
            </w:r>
            <w:r>
              <w:rPr>
                <w:rFonts w:eastAsia="Segoe UI" w:cs="Segoe UI" w:ascii="Segoe UI" w:hAnsi="Segoe UI"/>
                <w:color w:val="101820"/>
                <w:kern w:val="0"/>
                <w:sz w:val="18"/>
                <w:szCs w:val="24"/>
                <w:lang w:val="en-US" w:eastAsia="ja-JP" w:bidi="ar-SA"/>
              </w:rPr>
              <w:t>); minimum reinsurer security rating 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bl>
    <w:p>
      <w:pPr>
        <w:pStyle w:val="Normal"/>
        <w:spacing w:before="0" w:after="80"/>
        <w:rPr/>
      </w:pPr>
      <w:r>
        <w:rPr/>
      </w:r>
    </w:p>
    <w:p>
      <w:pPr>
        <w:pStyle w:val="Heading2"/>
        <w:rPr/>
      </w:pPr>
      <w:bookmarkStart w:id="38" w:name="__RefHeading___Toc9855_1894618434"/>
      <w:bookmarkEnd w:id="38"/>
      <w:r>
        <w:rPr>
          <w:rFonts w:eastAsia="Segoe UI" w:cs="Segoe UI"/>
          <w:b/>
          <w:color w:val="0F4761"/>
          <w:sz w:val="26"/>
        </w:rPr>
        <w:t>5.23  Distribution channels and lead assignment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dealers, financing banks and affinity partners that bring business, and gives every new prospect an account executive.</w:t>
      </w:r>
    </w:p>
    <w:p>
      <w:pPr>
        <w:pStyle w:val="Normal"/>
        <w:numPr>
          <w:ilvl w:val="0"/>
          <w:numId w:val="1"/>
        </w:numPr>
        <w:spacing w:before="0" w:after="60"/>
        <w:rPr/>
      </w:pPr>
      <w:r>
        <w:rPr>
          <w:rFonts w:eastAsia="Segoe UI" w:cs="Segoe UI" w:ascii="Segoe UI" w:hAnsi="Segoe UI"/>
          <w:color w:val="101820"/>
          <w:sz w:val="21"/>
        </w:rPr>
        <w:t>Distribution Channels master: dealer groups and branches, financing banks and bank branches, affinity partners; hierarchy, referrer and comsub, mortgagee clause and letter addressee per bank. The channel is carried from the prospect to the quotation and the policy.</w:t>
      </w:r>
    </w:p>
    <w:p>
      <w:pPr>
        <w:pStyle w:val="Normal"/>
        <w:numPr>
          <w:ilvl w:val="0"/>
          <w:numId w:val="1"/>
        </w:numPr>
        <w:spacing w:before="0" w:after="60"/>
        <w:rPr/>
      </w:pPr>
      <w:r>
        <w:rPr>
          <w:rFonts w:eastAsia="Segoe UI" w:cs="Segoe UI" w:ascii="Segoe UI" w:hAnsi="Segoe UI"/>
          <w:color w:val="101820"/>
          <w:sz w:val="21"/>
        </w:rPr>
        <w:t>Lead Assignment: rules by branch, line, source, category, channel and territory (Province, City / Municipality) with round robin, fewest open prospects or a fixed account executive; reassignment queue, single and bulk reassignment with history, team view by reporting line.</w:t>
      </w:r>
    </w:p>
    <w:p>
      <w:pPr>
        <w:pStyle w:val="Normal"/>
        <w:numPr>
          <w:ilvl w:val="0"/>
          <w:numId w:val="1"/>
        </w:numPr>
        <w:spacing w:before="0" w:after="60"/>
        <w:rPr/>
      </w:pPr>
      <w:r>
        <w:rPr>
          <w:rFonts w:eastAsia="Segoe UI" w:cs="Segoe UI" w:ascii="Segoe UI" w:hAnsi="Segoe UI"/>
          <w:color w:val="101820"/>
          <w:sz w:val="21"/>
        </w:rPr>
        <w:t>Dealer Production report by dealer group and channel: prospects, quotations, policies, sum insured, premium and commission.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(team view, prospects), sales managers and the lead assignment team (rules, queue), Processing and Operations (channels)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Permissions read / write:lead-assignment and read / write:channels; every assignment written to the prospect's history and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leads.assignment_enabled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leads.assignment_fallback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leads.assignment_notify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channels.inherit_from_lead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channels.default_mortgagee_clause</w:t>
            </w:r>
          </w:p>
        </w:tc>
      </w:tr>
    </w:tbl>
    <w:p>
      <w:pPr>
        <w:pStyle w:val="Normal"/>
        <w:spacing w:before="0" w:after="80"/>
        <w:rPr/>
      </w:pPr>
      <w:r>
        <w:rPr/>
      </w:r>
    </w:p>
    <w:p>
      <w:pPr>
        <w:pStyle w:val="Heading2"/>
        <w:rPr/>
      </w:pPr>
      <w:bookmarkStart w:id="39" w:name="__RefHeading___Toc9857_1894618434"/>
      <w:bookmarkEnd w:id="39"/>
      <w:r>
        <w:rPr>
          <w:rFonts w:eastAsia="Segoe UI" w:cs="Segoe UI"/>
          <w:b/>
          <w:color w:val="0F4761"/>
          <w:sz w:val="26"/>
        </w:rPr>
        <w:t>5.24  Motor programmes, fleets and marine open covers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Places motor and cargo business in bulk: brand-new vehicles sold by dealers, company fleets on one policy, and cargo shipments under an open cover.</w:t>
      </w:r>
    </w:p>
    <w:p>
      <w:pPr>
        <w:pStyle w:val="Normal"/>
        <w:numPr>
          <w:ilvl w:val="0"/>
          <w:numId w:val="1"/>
        </w:numPr>
        <w:spacing w:before="0" w:after="60"/>
        <w:rPr/>
      </w:pPr>
      <w:r>
        <w:rPr>
          <w:rFonts w:eastAsia="Segoe UI" w:cs="Segoe UI" w:ascii="Segoe UI" w:hAnsi="Segoe UI"/>
          <w:color w:val="101820"/>
          <w:sz w:val="21"/>
        </w:rPr>
        <w:t>Dealer Programmes: terms per dealer and financing bank (insurer, rates, CTPL term, free or subsidised first year and who pays); the Dealer Sales upload creates the prospect, quotation and, if chosen, the policy with the bank as mortgagee; each payer billed its share; bank endorsement letter printed or e-mailed per sale or per batch.</w:t>
      </w:r>
    </w:p>
    <w:p>
      <w:pPr>
        <w:pStyle w:val="Normal"/>
        <w:numPr>
          <w:ilvl w:val="0"/>
          <w:numId w:val="1"/>
        </w:numPr>
        <w:spacing w:before="0" w:after="60"/>
        <w:rPr/>
      </w:pPr>
      <w:r>
        <w:rPr>
          <w:rFonts w:eastAsia="Segoe UI" w:cs="Segoe UI" w:ascii="Segoe UI" w:hAnsi="Segoe UI"/>
          <w:color w:val="101820"/>
          <w:sz w:val="21"/>
        </w:rPr>
        <w:t>Fleet Schedules: one motor policy with a premium and CTPL per vehicle, upload of the vehicles, schedule PDF and Excel; vehicles added or deleted by endorsement at the pro-rata premium.</w:t>
      </w:r>
    </w:p>
    <w:p>
      <w:pPr>
        <w:pStyle w:val="Normal"/>
        <w:numPr>
          <w:ilvl w:val="0"/>
          <w:numId w:val="1"/>
        </w:numPr>
        <w:spacing w:before="0" w:after="60"/>
        <w:rPr/>
      </w:pPr>
      <w:r>
        <w:rPr>
          <w:rFonts w:eastAsia="Segoe UI" w:cs="Segoe UI" w:ascii="Segoe UI" w:hAnsi="Segoe UI"/>
          <w:color w:val="101820"/>
          <w:sz w:val="21"/>
        </w:rPr>
        <w:t>Marine Open Covers: rate and limit per conveyance, mark-up and minimum premium; certificates printed per shipment; monthly or quarterly declarations billed on the open policy with the premium taxes, then collected and remitted as any bill.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from the tariff of the vehicle class (3-year CTPL for new cars); premium taxes of the motor and marine lines from the tax engine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and Processing (programmes), Operations and Processing (fleets, open covers)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bill raised (programme payers, fleet issue and endorsements, declarations) books the premium receivable, the amount due to the insurer and the commission through the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Sales and Fleet Vehicles templates (Excel), validated row by row with the reason of each rejection</w:t>
            </w:r>
          </w:p>
        </w:tc>
      </w:tr>
    </w:tbl>
    <w:p>
      <w:pPr>
        <w:pStyle w:val="Normal"/>
        <w:spacing w:before="0" w:after="80"/>
        <w:rPr/>
      </w:pPr>
      <w:r>
        <w:rPr/>
      </w:r>
    </w:p>
    <w:p>
      <w:pPr>
        <w:pStyle w:val="Heading2"/>
        <w:rPr/>
      </w:pPr>
      <w:bookmarkStart w:id="40" w:name="__RefHeading___Toc9859_1894618434"/>
      <w:bookmarkEnd w:id="40"/>
      <w:r>
        <w:rPr>
          <w:rFonts w:eastAsia="Segoe UI" w:cs="Segoe UI"/>
          <w:b/>
          <w:color w:val="0F4761"/>
          <w:sz w:val="26"/>
        </w:rPr>
        <w:t>5.25  Facultative reinsurance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 acting as reinsurance broker for an insurer that cedes part of a risk to the facultative market.</w:t>
      </w:r>
    </w:p>
    <w:p>
      <w:pPr>
        <w:pStyle w:val="Normal"/>
        <w:numPr>
          <w:ilvl w:val="0"/>
          <w:numId w:val="1"/>
        </w:numPr>
        <w:spacing w:before="0" w:after="60"/>
        <w:rPr/>
      </w:pPr>
      <w:r>
        <w:rPr>
          <w:rFonts w:eastAsia="Segoe UI" w:cs="Segoe UI" w:ascii="Segoe UI" w:hAnsi="Segoe UI"/>
          <w:color w:val="101820"/>
          <w:sz w:val="21"/>
        </w:rPr>
        <w:t>Slip with the risk, the 100% terms, share offered, reinsurance commission and brokerage; reinsurers approached (security rating gate) and their lines; placed when the lines reach 100%.</w:t>
      </w:r>
    </w:p>
    <w:p>
      <w:pPr>
        <w:pStyle w:val="Normal"/>
        <w:numPr>
          <w:ilvl w:val="0"/>
          <w:numId w:val="1"/>
        </w:numPr>
        <w:spacing w:before="0" w:after="60"/>
        <w:rPr/>
      </w:pPr>
      <w:r>
        <w:rPr>
          <w:rFonts w:eastAsia="Segoe UI" w:cs="Segoe UI" w:ascii="Segoe UI" w:hAnsi="Segoe UI"/>
          <w:color w:val="101820"/>
          <w:sz w:val="21"/>
        </w:rPr>
        <w:t>Binding posts the premium due from the cedant, the net premium due to each reinsurer and the brokerage income (posting rule ri.facultative.bind); premium received and paid recorded with their journals.</w:t>
      </w:r>
    </w:p>
    <w:p>
      <w:pPr>
        <w:pStyle w:val="Normal"/>
        <w:numPr>
          <w:ilvl w:val="0"/>
          <w:numId w:val="1"/>
        </w:numPr>
        <w:spacing w:before="0" w:after="60"/>
        <w:rPr/>
      </w:pPr>
      <w:r>
        <w:rPr>
          <w:rFonts w:eastAsia="Segoe UI" w:cs="Segoe UI" w:ascii="Segoe UI" w:hAnsi="Segoe UI"/>
          <w:color w:val="101820"/>
          <w:sz w:val="21"/>
        </w:rPr>
        <w:t>Slip, cover note, debit note and credit notes as PDF; bordereau per period, kept as a document.</w:t>
      </w:r>
    </w:p>
    <w:p>
      <w:pPr>
        <w:pStyle w:val="Heading2"/>
        <w:rPr/>
      </w:pPr>
      <w:bookmarkStart w:id="41" w:name="__RefHeading___Toc9861_1894618434"/>
      <w:bookmarkEnd w:id="41"/>
      <w:r>
        <w:rPr>
          <w:rFonts w:eastAsia="Segoe UI" w:cs="Segoe UI"/>
          <w:b/>
          <w:color w:val="0F4761"/>
          <w:sz w:val="26"/>
        </w:rPr>
        <w:t>5.26  Client comparison report and marketing campaigns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Gives the client a branded comparison of the insurers' offers with the broker's recommendation, and e-mails offers to consenting clients and prospects.</w:t>
      </w:r>
    </w:p>
    <w:p>
      <w:pPr>
        <w:pStyle w:val="Normal"/>
        <w:numPr>
          <w:ilvl w:val="0"/>
          <w:numId w:val="1"/>
        </w:numPr>
        <w:spacing w:before="0" w:after="60"/>
        <w:rPr/>
      </w:pPr>
      <w:r>
        <w:rPr>
          <w:rFonts w:eastAsia="Segoe UI" w:cs="Segoe UI" w:ascii="Segoe UI" w:hAnsi="Segoe UI"/>
          <w:color w:val="101820"/>
          <w:sz w:val="21"/>
        </w:rPr>
        <w:t>Comparison Reports from a request for quotation or from quotations: options ranked by premium, highlights, the recommended option and the reasons, disclaimer; printed on the letterhead, e-mailed as PDF, the client's choice recorded. Commission is never shown.</w:t>
      </w:r>
    </w:p>
    <w:p>
      <w:pPr>
        <w:pStyle w:val="Normal"/>
        <w:numPr>
          <w:ilvl w:val="0"/>
          <w:numId w:val="1"/>
        </w:numPr>
        <w:spacing w:before="0" w:after="60"/>
        <w:rPr/>
      </w:pPr>
      <w:r>
        <w:rPr>
          <w:rFonts w:eastAsia="Segoe UI" w:cs="Segoe UI" w:ascii="Segoe UI" w:hAnsi="Segoe UI"/>
          <w:color w:val="101820"/>
          <w:sz w:val="21"/>
        </w:rPr>
        <w:t>Campaigns: segments (clients, prospects, line, territory, channel, renewals due), HTML templates with placeholders, send now or scheduled, only to people whose marketing consent is in force; opt-out link per e-mail recorded in the consent register; results by delivery, exclusion reason, opt-out and conversion.</w:t>
      </w:r>
    </w:p>
    <w:p>
      <w:pPr>
        <w:pStyle w:val="Heading2"/>
        <w:rPr/>
      </w:pPr>
      <w:bookmarkStart w:id="42" w:name="__RefHeading___Toc9863_1894618434"/>
      <w:bookmarkEnd w:id="42"/>
      <w:r>
        <w:rPr>
          <w:rFonts w:eastAsia="Segoe UI" w:cs="Segoe UI"/>
          <w:b/>
          <w:color w:val="0F4761"/>
          <w:sz w:val="26"/>
        </w:rPr>
        <w:t>5.27  Report Builder and BI extract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Answers ad hoc questions without a new report being programmed.</w:t>
      </w:r>
    </w:p>
    <w:p>
      <w:pPr>
        <w:pStyle w:val="Normal"/>
        <w:numPr>
          <w:ilvl w:val="0"/>
          <w:numId w:val="1"/>
        </w:numPr>
        <w:spacing w:before="0" w:after="60"/>
        <w:rPr/>
      </w:pPr>
      <w:r>
        <w:rPr>
          <w:rFonts w:eastAsia="Segoe UI" w:cs="Segoe UI" w:ascii="Segoe UI" w:hAnsi="Segoe UI"/>
          <w:color w:val="101820"/>
          <w:sz w:val="21"/>
        </w:rPr>
        <w:t>Curated datasets (Policies, Clients, Bills, Claims, Commissions) with columns, filters, grouping and sort; totals of the numeric columns; export to Excel.</w:t>
      </w:r>
    </w:p>
    <w:p>
      <w:pPr>
        <w:pStyle w:val="Normal"/>
        <w:numPr>
          <w:ilvl w:val="0"/>
          <w:numId w:val="1"/>
        </w:numPr>
        <w:spacing w:before="0" w:after="60"/>
        <w:rPr/>
      </w:pPr>
      <w:r>
        <w:rPr>
          <w:rFonts w:eastAsia="Segoe UI" w:cs="Segoe UI" w:ascii="Segoe UI" w:hAnsi="Segoe UI"/>
          <w:color w:val="101820"/>
          <w:sz w:val="21"/>
        </w:rPr>
        <w:t>Saved reports, private or shared with roles; each user sees only the rows of their data scope.</w:t>
      </w:r>
    </w:p>
    <w:p>
      <w:pPr>
        <w:pStyle w:val="Normal"/>
        <w:numPr>
          <w:ilvl w:val="0"/>
          <w:numId w:val="1"/>
        </w:numPr>
        <w:spacing w:before="0" w:after="60"/>
        <w:rPr/>
      </w:pPr>
      <w:r>
        <w:rPr>
          <w:rFonts w:eastAsia="Segoe UI" w:cs="Segoe UI" w:ascii="Segoe UI" w:hAnsi="Segoe UI"/>
          <w:color w:val="101820"/>
          <w:sz w:val="21"/>
        </w:rPr>
        <w:t>Scheduled BI extract: one CSV per dataset written daily to file storage for the BI tool or data warehouse.</w:t>
      </w:r>
    </w:p>
    <w:p>
      <w:pPr>
        <w:pStyle w:val="Heading2"/>
        <w:rPr/>
      </w:pPr>
      <w:bookmarkStart w:id="43" w:name="__RefHeading___Toc9865_1894618434"/>
      <w:bookmarkEnd w:id="43"/>
      <w:r>
        <w:rPr>
          <w:rFonts w:eastAsia="Segoe UI" w:cs="Segoe UI"/>
          <w:b/>
          <w:color w:val="0F4761"/>
          <w:sz w:val="26"/>
        </w:rPr>
        <w:t>5.28  Product Configurator</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Holds the products the broker places and the rules that price them, including the motor tariff.</w:t>
      </w:r>
    </w:p>
    <w:p>
      <w:pPr>
        <w:pStyle w:val="Normal"/>
        <w:numPr>
          <w:ilvl w:val="0"/>
          <w:numId w:val="1"/>
        </w:numPr>
        <w:spacing w:before="0" w:after="60"/>
        <w:rPr/>
      </w:pPr>
      <w:r>
        <w:rPr>
          <w:rFonts w:eastAsia="Segoe UI" w:cs="Segoe UI" w:ascii="Segoe UI" w:hAnsi="Segoe UI"/>
          <w:color w:val="101820"/>
          <w:sz w:val="21"/>
        </w:rPr>
        <w:t>Product Templates with versions and statuses (Draft, Active, Inactive, Retired); motor template MOT-003-2025 with the CTPL and Auto Passenger PA tariff per vehicle class.</w:t>
      </w:r>
    </w:p>
    <w:p>
      <w:pPr>
        <w:pStyle w:val="Normal"/>
        <w:numPr>
          <w:ilvl w:val="0"/>
          <w:numId w:val="1"/>
        </w:numPr>
        <w:spacing w:before="0" w:after="60"/>
        <w:rPr/>
      </w:pPr>
      <w:r>
        <w:rPr>
          <w:rFonts w:eastAsia="Segoe UI" w:cs="Segoe UI" w:ascii="Segoe UI" w:hAnsi="Segoe UI"/>
          <w:color w:val="101820"/>
          <w:sz w:val="21"/>
        </w:rPr>
        <w:t>Coverage Builder, Rating Engine with Test Calculator, Acceptance Rules, Document Manager, Market Mapping, Risk Mapping, Product Analytics.</w:t>
      </w:r>
    </w:p>
    <w:p>
      <w:pPr>
        <w:pStyle w:val="Normal"/>
        <w:numPr>
          <w:ilvl w:val="0"/>
          <w:numId w:val="1"/>
        </w:numPr>
        <w:spacing w:before="0" w:after="60"/>
        <w:rPr/>
      </w:pPr>
      <w:r>
        <w:rPr>
          <w:rFonts w:eastAsia="Segoe UI" w:cs="Segoe UI" w:ascii="Segoe UI" w:hAnsi="Segoe UI"/>
          <w:color w:val="101820"/>
          <w:sz w:val="21"/>
        </w:rPr>
        <w:t xml:space="preserve">Rules applied in the business flow: the governing template of a quotation, broker slip, placement or policy (the template named on the record, else the motor pricing template </w:t>
      </w:r>
      <w:r>
        <w:rPr>
          <w:rFonts w:eastAsia="Consolas" w:cs="Consolas" w:ascii="Consolas" w:hAnsi="Consolas"/>
          <w:color w:val="101820"/>
          <w:sz w:val="19"/>
        </w:rPr>
        <w:t>motor.pricing_template_code</w:t>
      </w:r>
      <w:r>
        <w:rPr>
          <w:rFonts w:eastAsia="Segoe UI" w:cs="Segoe UI" w:ascii="Segoe UI" w:hAnsi="Segoe UI"/>
          <w:color w:val="101820"/>
          <w:sz w:val="21"/>
        </w:rPr>
        <w:t>, else the newest active template of the product or line) supplies its rating factors (multiplicative, discount or additive) and acceptance rules. A rule tests a risk field (vehicle age, use, class, sum insured, driver age, claims, fleet size, members, flood-prone location and others) and accepts, refers, declines or loads; a referred quotation waits for a user of the rule's authority role within the Underwriting referral limit of the Authority Matrix.</w:t>
      </w:r>
    </w:p>
    <w:p>
      <w:pPr>
        <w:pStyle w:val="Normal"/>
        <w:numPr>
          <w:ilvl w:val="0"/>
          <w:numId w:val="1"/>
        </w:numPr>
        <w:spacing w:before="0" w:after="60"/>
        <w:rPr/>
      </w:pPr>
      <w:r>
        <w:rPr>
          <w:rFonts w:eastAsia="Segoe UI" w:cs="Segoe UI" w:ascii="Segoe UI" w:hAnsi="Segoe UI"/>
          <w:color w:val="101820"/>
          <w:sz w:val="21"/>
        </w:rPr>
        <w:t xml:space="preserve">Market Mapping restricts the insurers approached for a product when </w:t>
      </w:r>
      <w:r>
        <w:rPr>
          <w:rFonts w:eastAsia="Consolas" w:cs="Consolas" w:ascii="Consolas" w:hAnsi="Consolas"/>
          <w:color w:val="101820"/>
          <w:sz w:val="19"/>
        </w:rPr>
        <w:t>product.market_panel_enforced</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color w:val="101820"/>
          <w:sz w:val="21"/>
        </w:rPr>
        <w:t>Document templates per product (policy schedule, CTPL certificate, quotation slip, member enrolment) with a text layout of merge fields such as {{PolicyNumber}} and generated blocks such as {{#Premium}}, printed on the letterhead.</w:t>
      </w:r>
    </w:p>
    <w:p>
      <w:pPr>
        <w:pStyle w:val="Normal"/>
        <w:numPr>
          <w:ilvl w:val="0"/>
          <w:numId w:val="1"/>
        </w:numPr>
        <w:spacing w:before="0" w:after="60"/>
        <w:rPr/>
      </w:pPr>
      <w:r>
        <w:rPr>
          <w:rFonts w:eastAsia="Segoe UI" w:cs="Segoe UI" w:ascii="Segoe UI" w:hAnsi="Segoe UI"/>
          <w:color w:val="101820"/>
          <w:sz w:val="21"/>
        </w:rPr>
        <w:t xml:space="preserve">Quote wizard covers and risk fields taken from the Product Configurator: the quote wizard (Operations &gt; Sales &amp; Marketing &gt; Quotations, Start quote) offers the covers of the governing template's Coverage Builder (a mandatory cover always included, an optional cover ticked or unticked, each priced on its "Priced on quotation as" premium) and asks for the risk fields its acceptance rules and rating factors test (driver date of birth or age, claims in the last three years, fair market value, number of members), so every rule is evaluated; </w:t>
      </w:r>
      <w:r>
        <w:rPr>
          <w:rFonts w:eastAsia="Consolas" w:cs="Consolas" w:ascii="Consolas" w:hAnsi="Consolas"/>
          <w:color w:val="101820"/>
          <w:sz w:val="19"/>
        </w:rPr>
        <w:t>underwriting.require_rule_fields</w:t>
      </w:r>
      <w:r>
        <w:rPr>
          <w:rFonts w:eastAsia="Segoe UI" w:cs="Segoe UI" w:ascii="Segoe UI" w:hAnsi="Segoe UI"/>
          <w:color w:val="101820"/>
          <w:sz w:val="21"/>
        </w:rPr>
        <w:t xml:space="preserve"> makes them compulsory on the server too.</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CTPL tariff per vehicle class, for example private cars PHP 610.40 (1 year) and PHP 1,660.40 (3 years), confirmed on 29 September 2026; Philippine lines of business and products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maintains; Sales &amp; Marketing and Operations view</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active templates are used by the quotation screens; referrals approved within the authority limit; unknown merge fields refused when a layout is saved</w:t>
            </w:r>
          </w:p>
        </w:tc>
      </w:tr>
    </w:tbl>
    <w:p>
      <w:pPr>
        <w:pStyle w:val="Normal"/>
        <w:spacing w:before="0" w:after="80"/>
        <w:rPr/>
      </w:pPr>
      <w:r>
        <w:rPr/>
      </w:r>
    </w:p>
    <w:p>
      <w:pPr>
        <w:pStyle w:val="Heading2"/>
        <w:rPr/>
      </w:pPr>
      <w:bookmarkStart w:id="44" w:name="__RefHeading___Toc9867_1894618434"/>
      <w:bookmarkEnd w:id="44"/>
      <w:r>
        <w:rPr>
          <w:rFonts w:eastAsia="Segoe UI" w:cs="Segoe UI"/>
          <w:b/>
          <w:color w:val="0F4761"/>
          <w:sz w:val="26"/>
        </w:rPr>
        <w:t>5.29  Reports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Produces every report from one report screen with criteria, filters, preview and download.</w:t>
      </w:r>
    </w:p>
    <w:p>
      <w:pPr>
        <w:pStyle w:val="Normal"/>
        <w:numPr>
          <w:ilvl w:val="0"/>
          <w:numId w:val="1"/>
        </w:numPr>
        <w:spacing w:before="0" w:after="60"/>
        <w:rPr/>
      </w:pPr>
      <w:r>
        <w:rPr>
          <w:rFonts w:eastAsia="Segoe UI" w:cs="Segoe UI" w:ascii="Segoe UI" w:hAnsi="Segoe UI"/>
          <w:color w:val="101820"/>
          <w:sz w:val="21"/>
        </w:rPr>
        <w:t>39 catalogue reports: operational (11), financial (16), tax (5), reconciliation (5), management (2).</w:t>
      </w:r>
    </w:p>
    <w:p>
      <w:pPr>
        <w:pStyle w:val="Normal"/>
        <w:numPr>
          <w:ilvl w:val="0"/>
          <w:numId w:val="1"/>
        </w:numPr>
        <w:spacing w:before="0" w:after="60"/>
        <w:rPr/>
      </w:pPr>
      <w:r>
        <w:rPr>
          <w:rFonts w:eastAsia="Segoe UI" w:cs="Segoe UI" w:ascii="Segoe UI" w:hAnsi="Segoe UI"/>
          <w:color w:val="101820"/>
          <w:sz w:val="21"/>
        </w:rPr>
        <w:t>Output on screen, Excel with a parameters sheet, CSV, and PDF on the company letterhead; up to 50,000 rows per file.</w:t>
      </w:r>
    </w:p>
    <w:p>
      <w:pPr>
        <w:pStyle w:val="Normal"/>
        <w:numPr>
          <w:ilvl w:val="0"/>
          <w:numId w:val="1"/>
        </w:numPr>
        <w:spacing w:before="0" w:after="60"/>
        <w:rPr/>
      </w:pPr>
      <w:r>
        <w:rPr>
          <w:rFonts w:eastAsia="Segoe UI" w:cs="Segoe UI" w:ascii="Segoe UI" w:hAnsi="Segoe UI"/>
          <w:color w:val="101820"/>
          <w:sz w:val="21"/>
        </w:rPr>
        <w:t>Scheduled delivery by e-mail; the Daily reports job produces the Production Register, Collection Report and Claims Position every morning.</w:t>
      </w:r>
    </w:p>
    <w:p>
      <w:pPr>
        <w:pStyle w:val="Normal"/>
        <w:numPr>
          <w:ilvl w:val="0"/>
          <w:numId w:val="1"/>
        </w:numPr>
        <w:spacing w:before="0" w:after="60"/>
        <w:rPr/>
      </w:pPr>
      <w:r>
        <w:rPr>
          <w:rFonts w:eastAsia="Segoe UI" w:cs="Segoe UI" w:ascii="Segoe UI" w:hAnsi="Segoe UI"/>
          <w:color w:val="101820"/>
          <w:sz w:val="21"/>
        </w:rPr>
        <w:t>Every generated file recorded in the audit trail.</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 Remittance Summary, Broker Commission Statement, Claims Ageing, Lead Conversion Funnel, Placement Pipeline, Market Response, Reinsurance Cession Register, Co-insurance Register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 Collection Report, Receivables Ageing, Commission Receivable - Direct Bill, Receipts Register, Payables / Disbursement Register, Journal Register, Trial Balance, Incentive Results, Due to Insurers by Co-insurer, Income Statement, Balance Sheet, Trial Balance (Opening / Movement / Closing), General Ledger Detail, Aged Payables to Insurers, Month-End Close Status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 New Business vs Renewals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role runs the reports of its area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role checks per report; download links valid 72 hours; generated files kept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w:t>
            </w:r>
          </w:p>
        </w:tc>
      </w:tr>
    </w:tbl>
    <w:p>
      <w:pPr>
        <w:pStyle w:val="Normal"/>
        <w:spacing w:before="0" w:after="80"/>
        <w:rPr/>
      </w:pPr>
      <w:r>
        <w:rPr/>
      </w:r>
    </w:p>
    <w:p>
      <w:pPr>
        <w:pStyle w:val="Heading2"/>
        <w:rPr/>
      </w:pPr>
      <w:bookmarkStart w:id="45" w:name="__RefHeading___Toc9869_1894618434"/>
      <w:bookmarkEnd w:id="45"/>
      <w:r>
        <w:rPr>
          <w:rFonts w:eastAsia="Segoe UI" w:cs="Segoe UI"/>
          <w:b/>
          <w:color w:val="0F4761"/>
          <w:sz w:val="26"/>
        </w:rPr>
        <w:t>5.30  Notifications and e-mail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Tells users what needs their action and sends documents to clients, insurers and staff.</w:t>
      </w:r>
    </w:p>
    <w:p>
      <w:pPr>
        <w:pStyle w:val="Normal"/>
        <w:numPr>
          <w:ilvl w:val="0"/>
          <w:numId w:val="1"/>
        </w:numPr>
        <w:spacing w:before="0" w:after="60"/>
        <w:rPr/>
      </w:pPr>
      <w:r>
        <w:rPr>
          <w:rFonts w:eastAsia="Segoe UI" w:cs="Segoe UI" w:ascii="Segoe UI" w:hAnsi="Segoe UI"/>
          <w:color w:val="101820"/>
          <w:sz w:val="21"/>
        </w:rPr>
        <w:t>In-app notifications per user with a bell and a notification page, for quotations, policy issue, billing and collection, servicing, claims, renewals, remittance and commission, reinsurance, finance and period end, and access control.</w:t>
      </w:r>
    </w:p>
    <w:p>
      <w:pPr>
        <w:pStyle w:val="Normal"/>
        <w:numPr>
          <w:ilvl w:val="0"/>
          <w:numId w:val="1"/>
        </w:numPr>
        <w:spacing w:before="0" w:after="60"/>
        <w:rPr/>
      </w:pPr>
      <w:r>
        <w:rPr>
          <w:rFonts w:eastAsia="Segoe UI" w:cs="Segoe UI" w:ascii="Segoe UI" w:hAnsi="Segoe UI"/>
          <w:color w:val="101820"/>
          <w:sz w:val="21"/>
        </w:rPr>
        <w:t xml:space="preserve">Approval notifications for every maker-checker flow: the people who can approve are told of the request, and the maker hears of the approval or rejection with the reason. One switch: </w:t>
      </w:r>
      <w:r>
        <w:rPr>
          <w:rFonts w:eastAsia="Consolas" w:cs="Consolas" w:ascii="Consolas" w:hAnsi="Consolas"/>
          <w:color w:val="101820"/>
          <w:sz w:val="19"/>
        </w:rPr>
        <w:t>notification.approval_requests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E-mails to clients (quotation approval, share, policy issued, endorsement, renewal notices and reminders, payment reminder, collection follow-up, official receipt, premium invoice), to insurers and agents (quotation, broker slip, placement slip, Preliminary Loss Advice, commission debit note, remittance statements) and to staff (scheduled report, password reset code).</w:t>
      </w:r>
    </w:p>
    <w:p>
      <w:pPr>
        <w:pStyle w:val="Normal"/>
        <w:numPr>
          <w:ilvl w:val="0"/>
          <w:numId w:val="1"/>
        </w:numPr>
        <w:spacing w:before="0" w:after="60"/>
        <w:rPr/>
      </w:pPr>
      <w:r>
        <w:rPr>
          <w:rFonts w:eastAsia="Segoe UI" w:cs="Segoe UI" w:ascii="Segoe UI" w:hAnsi="Segoe UI"/>
          <w:color w:val="101820"/>
          <w:sz w:val="21"/>
        </w:rPr>
        <w:t xml:space="preserve">Attachments generated as PDF when the message is sent: official receipt, premium invoice, commission debit note, policy schedule; size guard </w:t>
      </w:r>
      <w:r>
        <w:rPr>
          <w:rFonts w:eastAsia="Consolas" w:cs="Consolas" w:ascii="Consolas" w:hAnsi="Consolas"/>
          <w:color w:val="101820"/>
          <w:sz w:val="19"/>
        </w:rPr>
        <w:t>email.max_attachment_mb</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 Outbox shows every queued message with status, attempts and attachment names; failed messages can be retried.</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E-mail Outbox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receives notifications; System Administrator manages templates and the outbox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off until "Send e-mails" is switched on; templates with merge fields in Master &gt; Configuration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(for example Office 365 on port 587 with STARTTLS); queue sent every 5 minutes, up to 5 attempts</w:t>
            </w:r>
          </w:p>
        </w:tc>
      </w:tr>
    </w:tbl>
    <w:p>
      <w:pPr>
        <w:pStyle w:val="Normal"/>
        <w:spacing w:before="0" w:after="80"/>
        <w:rPr/>
      </w:pPr>
      <w:r>
        <w:rPr/>
      </w:r>
    </w:p>
    <w:p>
      <w:pPr>
        <w:pStyle w:val="Heading2"/>
        <w:rPr/>
      </w:pPr>
      <w:bookmarkStart w:id="46" w:name="__RefHeading___Toc9871_1894618434"/>
      <w:bookmarkEnd w:id="46"/>
      <w:r>
        <w:rPr>
          <w:rFonts w:eastAsia="Segoe UI" w:cs="Segoe UI"/>
          <w:b/>
          <w:color w:val="0F4761"/>
          <w:sz w:val="26"/>
        </w:rPr>
        <w:t>5.31  Integrations: SMS, CTPL authentication, insurers and bank files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Connects BrokerVerse to third parties through one integration framework, each connection with a test mode, a file or manual fallback that completes the process today, and a monitor with retry and resend.</w:t>
      </w:r>
    </w:p>
    <w:p>
      <w:pPr>
        <w:pStyle w:val="Normal"/>
        <w:numPr>
          <w:ilvl w:val="0"/>
          <w:numId w:val="1"/>
        </w:numPr>
        <w:spacing w:before="0" w:after="60"/>
        <w:rPr/>
      </w:pPr>
      <w:r>
        <w:rPr>
          <w:rFonts w:eastAsia="Segoe UI" w:cs="Segoe UI" w:ascii="Segoe UI" w:hAnsi="Segoe UI"/>
          <w:b/>
          <w:color w:val="101820"/>
          <w:sz w:val="21"/>
        </w:rPr>
        <w:t>SMS and Viber.</w:t>
      </w:r>
      <w:r>
        <w:rPr>
          <w:rFonts w:eastAsia="Segoe UI" w:cs="Segoe UI" w:ascii="Segoe UI" w:hAnsi="Segoe UI"/>
          <w:color w:val="101820"/>
          <w:sz w:val="21"/>
        </w:rPr>
        <w:t xml:space="preserve"> Renewal notices, payment reminders and claim updates by SMS from templates with placeholders, after a consent check against the client's recorded consents. Provider adapters for a generic HTTP SMS API with Semaphore-style and Globe Labs-style presets; Viber business messages optional behind the same interface.</w:t>
      </w:r>
    </w:p>
    <w:p>
      <w:pPr>
        <w:pStyle w:val="Normal"/>
        <w:numPr>
          <w:ilvl w:val="0"/>
          <w:numId w:val="1"/>
        </w:numPr>
        <w:spacing w:before="0" w:after="60"/>
        <w:rPr/>
      </w:pPr>
      <w:r>
        <w:rPr>
          <w:rFonts w:eastAsia="Segoe UI" w:cs="Segoe UI" w:ascii="Segoe UI" w:hAnsi="Segoe UI"/>
          <w:b/>
          <w:color w:val="101820"/>
          <w:sz w:val="21"/>
        </w:rPr>
        <w:t>CTPL authentication.</w:t>
      </w:r>
      <w:r>
        <w:rPr>
          <w:rFonts w:eastAsia="Segoe UI" w:cs="Segoe UI" w:ascii="Segoe UI" w:hAnsi="Segoe UI"/>
          <w:color w:val="101820"/>
          <w:sz w:val="21"/>
        </w:rPr>
        <w:t xml:space="preserve"> COC series per insurer and branch, the next COC number allocated at issue, the authentication request to the IC-accredited provider, the authentication code stored and printed on the policy schedule, the LTO feed when needed, the code keyed in by hand when the provider's portal was used, and the unauthenticated CTPL report.</w:t>
      </w:r>
    </w:p>
    <w:p>
      <w:pPr>
        <w:pStyle w:val="Normal"/>
        <w:numPr>
          <w:ilvl w:val="0"/>
          <w:numId w:val="1"/>
        </w:numPr>
        <w:spacing w:before="0" w:after="60"/>
        <w:rPr/>
      </w:pPr>
      <w:r>
        <w:rPr>
          <w:rFonts w:eastAsia="Segoe UI" w:cs="Segoe UI" w:ascii="Segoe UI" w:hAnsi="Segoe UI"/>
          <w:b/>
          <w:color w:val="101820"/>
          <w:sz w:val="21"/>
        </w:rPr>
        <w:t>Insurer systems.</w:t>
      </w:r>
      <w:r>
        <w:rPr>
          <w:rFonts w:eastAsia="Segoe UI" w:cs="Segoe UI" w:ascii="Segoe UI" w:hAnsi="Segoe UI"/>
          <w:color w:val="101820"/>
          <w:sz w:val="21"/>
        </w:rPr>
        <w:t xml:space="preserve"> A mapping per insurer (codes, request and answer fields, claim statuses) for the policy issuance request, policy and premium data and claim status; claim status by CSV file and premium data by the insurer statement import when an insurer has no API.</w:t>
      </w:r>
    </w:p>
    <w:p>
      <w:pPr>
        <w:pStyle w:val="Normal"/>
        <w:numPr>
          <w:ilvl w:val="0"/>
          <w:numId w:val="1"/>
        </w:numPr>
        <w:spacing w:before="0" w:after="60"/>
        <w:rPr/>
      </w:pPr>
      <w:r>
        <w:rPr>
          <w:rFonts w:eastAsia="Segoe UI" w:cs="Segoe UI" w:ascii="Segoe UI" w:hAnsi="Segoe UI"/>
          <w:b/>
          <w:color w:val="101820"/>
          <w:sz w:val="21"/>
        </w:rPr>
        <w:t>Bank payment files.</w:t>
      </w:r>
      <w:r>
        <w:rPr>
          <w:rFonts w:eastAsia="Segoe UI" w:cs="Segoe UI" w:ascii="Segoe UI" w:hAnsi="Segoe UI"/>
          <w:color w:val="101820"/>
          <w:sz w:val="21"/>
        </w:rPr>
        <w:t xml:space="preserve"> Insurer remittances and referrer payouts paid by bulk credit, InstaPay or PESONet files written from a layout per bank (fixed width or delimited); maker-checker approval of the batch; the bank's status file marks each payment paid (payment journal posted) or rejected. Starter layouts for BDO, BPI, Metrobank, Landbank and UnionBank, to be validated with each bank during onboarding.</w:t>
      </w:r>
    </w:p>
    <w:p>
      <w:pPr>
        <w:pStyle w:val="Normal"/>
        <w:numPr>
          <w:ilvl w:val="0"/>
          <w:numId w:val="1"/>
        </w:numPr>
        <w:spacing w:before="0" w:after="60"/>
        <w:rPr/>
      </w:pPr>
      <w:r>
        <w:rPr>
          <w:rFonts w:eastAsia="Segoe UI" w:cs="Segoe UI" w:ascii="Segoe UI" w:hAnsi="Segoe UI"/>
          <w:b/>
          <w:color w:val="101820"/>
          <w:sz w:val="21"/>
        </w:rPr>
        <w:t>Integrations monitor.</w:t>
      </w:r>
      <w:r>
        <w:rPr>
          <w:rFonts w:eastAsia="Segoe UI" w:cs="Segoe UI" w:ascii="Segoe UI" w:hAnsi="Segoe UI"/>
          <w:color w:val="101820"/>
          <w:sz w:val="21"/>
        </w:rPr>
        <w:t xml:space="preserve"> Connectors with mode, endpoint and credentials named by environment variable (never stored), the outbox with status, attempts, last error, retry with backoff, resend and cancel, and the inbox of pushed messages and imported files.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(connectors, templates, insurer mappings); Processing and Operations (CTPL); Accounting (bank payment files and layouts)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mode until the provider is contracted; live refused while a credential variable or the endpoint is missing; signed inbound messages; maker-checker and Authority Matrix on bank batches; audit trail on every change and resend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Viber aggregator, CTPL authentication provider, LTO, insurer APIs, bank upload portals; certification of each interface is done with the partner during onboarding</w:t>
            </w:r>
          </w:p>
        </w:tc>
      </w:tr>
    </w:tbl>
    <w:p>
      <w:pPr>
        <w:pStyle w:val="Normal"/>
        <w:spacing w:before="0" w:after="80"/>
        <w:rPr/>
      </w:pPr>
      <w:r>
        <w:rPr/>
      </w:r>
    </w:p>
    <w:p>
      <w:pPr>
        <w:pStyle w:val="Heading2"/>
        <w:rPr/>
      </w:pPr>
      <w:bookmarkStart w:id="47" w:name="__RefHeading___Toc9873_1894618434"/>
      <w:bookmarkEnd w:id="47"/>
      <w:r>
        <w:rPr>
          <w:rFonts w:eastAsia="Segoe UI" w:cs="Segoe UI"/>
          <w:b/>
          <w:color w:val="0F4761"/>
          <w:sz w:val="26"/>
        </w:rPr>
        <w:t>5.32  Data privacy</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obligations under the Data Privacy Act: consent, data subject requests, access and portability, and erasure once records no longer have to be kept.</w:t>
      </w:r>
    </w:p>
    <w:p>
      <w:pPr>
        <w:pStyle w:val="Normal"/>
        <w:numPr>
          <w:ilvl w:val="0"/>
          <w:numId w:val="1"/>
        </w:numPr>
        <w:spacing w:before="0" w:after="60"/>
        <w:rPr/>
      </w:pPr>
      <w:r>
        <w:rPr>
          <w:rFonts w:eastAsia="Segoe UI" w:cs="Segoe UI" w:ascii="Segoe UI" w:hAnsi="Segoe UI"/>
          <w:color w:val="101820"/>
          <w:sz w:val="21"/>
        </w:rPr>
        <w:t>Consent per purpose for each client and prospect: processing (privacy notice acknowledged), marketing, and sharing with insurers and reinsurers for placement and claims; granted or refused, channel (Form, E-mail, Phone, Portal, In person), notice version (</w:t>
      </w:r>
      <w:r>
        <w:rPr>
          <w:rFonts w:eastAsia="Consolas" w:cs="Consolas" w:ascii="Consolas" w:hAnsi="Consolas"/>
          <w:color w:val="101820"/>
          <w:sz w:val="19"/>
        </w:rPr>
        <w:t>privacy.notice_version</w:t>
      </w:r>
      <w:r>
        <w:rPr>
          <w:rFonts w:eastAsia="Segoe UI" w:cs="Segoe UI" w:ascii="Segoe UI" w:hAnsi="Segoe UI"/>
          <w:color w:val="101820"/>
          <w:sz w:val="21"/>
        </w:rPr>
        <w:t>) and evidence. A withdrawal is stamped on the record it ends; the history is never deleted.</w:t>
      </w:r>
    </w:p>
    <w:p>
      <w:pPr>
        <w:pStyle w:val="Normal"/>
        <w:numPr>
          <w:ilvl w:val="0"/>
          <w:numId w:val="1"/>
        </w:numPr>
        <w:spacing w:before="0" w:after="60"/>
        <w:rPr/>
      </w:pPr>
      <w:r>
        <w:rPr>
          <w:rFonts w:eastAsia="Segoe UI" w:cs="Segoe UI" w:ascii="Segoe UI" w:hAnsi="Segoe UI"/>
          <w:color w:val="101820"/>
          <w:sz w:val="21"/>
        </w:rPr>
        <w:t>Consent Register across clients and prospects with filters by purpose, status, channel and dates.</w:t>
      </w:r>
    </w:p>
    <w:p>
      <w:pPr>
        <w:pStyle w:val="Normal"/>
        <w:numPr>
          <w:ilvl w:val="0"/>
          <w:numId w:val="1"/>
        </w:numPr>
        <w:spacing w:before="0" w:after="60"/>
        <w:rPr/>
      </w:pPr>
      <w:r>
        <w:rPr>
          <w:rFonts w:eastAsia="Segoe UI" w:cs="Segoe UI" w:ascii="Segoe UI" w:hAnsi="Segoe UI"/>
          <w:color w:val="101820"/>
          <w:sz w:val="21"/>
        </w:rPr>
        <w:t xml:space="preserve">Data Subject Requests register (DSR-): access, rectification, erasure or blocking, objection, portability and withdrawal of consent; due date from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statuses open, in progress, completed, rejected; assignee and outcome.</w:t>
      </w:r>
    </w:p>
    <w:p>
      <w:pPr>
        <w:pStyle w:val="Normal"/>
        <w:numPr>
          <w:ilvl w:val="0"/>
          <w:numId w:val="1"/>
        </w:numPr>
        <w:spacing w:before="0" w:after="60"/>
        <w:rPr/>
      </w:pPr>
      <w:r>
        <w:rPr>
          <w:rFonts w:eastAsia="Segoe UI" w:cs="Segoe UI" w:ascii="Segoe UI" w:hAnsi="Segoe UI"/>
          <w:color w:val="101820"/>
          <w:sz w:val="21"/>
        </w:rPr>
        <w:t>Personal data export of a client or prospect, as JSON or Excel, noted on the request it answers.</w:t>
      </w:r>
    </w:p>
    <w:p>
      <w:pPr>
        <w:pStyle w:val="Normal"/>
        <w:numPr>
          <w:ilvl w:val="0"/>
          <w:numId w:val="1"/>
        </w:numPr>
        <w:spacing w:before="0" w:after="60"/>
        <w:rPr/>
      </w:pPr>
      <w:r>
        <w:rPr>
          <w:rFonts w:eastAsia="Segoe UI" w:cs="Segoe UI" w:ascii="Segoe UI" w:hAnsi="Segoe UI"/>
          <w:color w:val="101820"/>
          <w:sz w:val="21"/>
        </w:rPr>
        <w:t>Anonymisation of a client or prospect with a dry run first: personal fields are overwritten in the party, its prospects, policies, quotations, claims and slips, while amounts, numbers and dates stay for the books.</w:t>
      </w:r>
    </w:p>
    <w:p>
      <w:pPr>
        <w:pStyle w:val="Normal"/>
        <w:numPr>
          <w:ilvl w:val="0"/>
          <w:numId w:val="1"/>
        </w:numPr>
        <w:spacing w:before="0" w:after="60"/>
        <w:rPr/>
      </w:pPr>
      <w:r>
        <w:rPr>
          <w:rFonts w:eastAsia="Segoe UI" w:cs="Segoe UI" w:ascii="Segoe UI" w:hAnsi="Segoe UI"/>
          <w:color w:val="101820"/>
          <w:sz w:val="21"/>
        </w:rPr>
        <w:t>Overdue request reminder job (delivered switched off) notifies the data privacy team.</w:t>
      </w:r>
    </w:p>
    <w:p>
      <w:pPr>
        <w:pStyle w:val="Normal"/>
        <w:numPr>
          <w:ilvl w:val="0"/>
          <w:numId w:val="1"/>
        </w:numPr>
        <w:spacing w:before="0" w:after="60"/>
        <w:rPr/>
      </w:pPr>
      <w:r>
        <w:rPr>
          <w:rFonts w:eastAsia="Segoe UI" w:cs="Segoe UI" w:ascii="Segoe UI" w:hAnsi="Segoe UI"/>
          <w:color w:val="101820"/>
          <w:sz w:val="21"/>
        </w:rPr>
        <w:t>Breach Register (Compliance &gt; Data Privacy (NPC)): incidents (PDB-), assessment against the NPC criteria, the 72-hour clock (</w:t>
      </w:r>
      <w:r>
        <w:rPr>
          <w:rFonts w:eastAsia="Consolas" w:cs="Consolas" w:ascii="Consolas" w:hAnsi="Consolas"/>
          <w:color w:val="101820"/>
          <w:sz w:val="19"/>
        </w:rPr>
        <w:t>privacy.breach_notify_hours</w:t>
      </w:r>
      <w:r>
        <w:rPr>
          <w:rFonts w:eastAsia="Segoe UI" w:cs="Segoe UI" w:ascii="Segoe UI" w:hAnsi="Segoe UI"/>
          <w:color w:val="101820"/>
          <w:sz w:val="21"/>
        </w:rPr>
        <w:t>) with hourly reminders, NPC and data subject notifications, closure and the annual security incident report.</w:t>
      </w:r>
    </w:p>
    <w:p>
      <w:pPr>
        <w:pStyle w:val="Normal"/>
        <w:numPr>
          <w:ilvl w:val="0"/>
          <w:numId w:val="1"/>
        </w:numPr>
        <w:spacing w:before="0" w:after="60"/>
        <w:rPr/>
      </w:pPr>
      <w:r>
        <w:rPr>
          <w:rFonts w:eastAsia="Segoe UI" w:cs="Segoe UI" w:ascii="Segoe UI" w:hAnsi="Segoe UI"/>
          <w:color w:val="101820"/>
          <w:sz w:val="21"/>
        </w:rPr>
        <w:t xml:space="preserve">Masking of personal identifiers by role: users without </w:t>
      </w:r>
      <w:r>
        <w:rPr>
          <w:rFonts w:eastAsia="Segoe UI" w:cs="Segoe UI" w:ascii="Segoe UI" w:hAnsi="Segoe UI"/>
          <w:b/>
          <w:color w:val="101820"/>
          <w:sz w:val="21"/>
        </w:rPr>
        <w:t>View full personal identifiers</w:t>
      </w:r>
      <w:r>
        <w:rPr>
          <w:rFonts w:eastAsia="Segoe UI" w:cs="Segoe UI" w:ascii="Segoe UI" w:hAnsi="Segoe UI"/>
          <w:color w:val="101820"/>
          <w:sz w:val="21"/>
        </w:rPr>
        <w:t xml:space="preserve"> (</w:t>
      </w:r>
      <w:r>
        <w:rPr>
          <w:rFonts w:eastAsia="Consolas" w:cs="Consolas" w:ascii="Consolas" w:hAnsi="Consolas"/>
          <w:color w:val="101820"/>
          <w:sz w:val="19"/>
        </w:rPr>
        <w:t>view:pii</w:t>
      </w:r>
      <w:r>
        <w:rPr>
          <w:rFonts w:eastAsia="Segoe UI" w:cs="Segoe UI" w:ascii="Segoe UI" w:hAnsi="Segoe UI"/>
          <w:color w:val="101820"/>
          <w:sz w:val="21"/>
        </w:rPr>
        <w:t>) see TIN, ID numbers, mobile, e-mail, bank account and birth date partially masked on screens and in every Excel, CSV and PDF listing; unmasking on request is audited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privacy.pii_reveal_mode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Field encryption at rest of TIN, government ID numbers and bank account numbers with the environment key (</w:t>
      </w:r>
      <w:r>
        <w:rPr>
          <w:rFonts w:eastAsia="Consolas" w:cs="Consolas" w:ascii="Consolas" w:hAnsi="Consolas"/>
          <w:color w:val="101820"/>
          <w:sz w:val="19"/>
        </w:rPr>
        <w:t>PII_ENCRYPTION_KEY</w:t>
      </w:r>
      <w:r>
        <w:rPr>
          <w:rFonts w:eastAsia="Segoe UI" w:cs="Segoe UI" w:ascii="Segoe UI" w:hAnsi="Segoe UI"/>
          <w:color w:val="101820"/>
          <w:sz w:val="21"/>
        </w:rPr>
        <w:t>), exact-value search kept.</w:t>
      </w:r>
    </w:p>
    <w:p>
      <w:pPr>
        <w:pStyle w:val="Normal"/>
        <w:numPr>
          <w:ilvl w:val="0"/>
          <w:numId w:val="1"/>
        </w:numPr>
        <w:spacing w:before="0" w:after="60"/>
        <w:rPr/>
      </w:pPr>
      <w:r>
        <w:rPr>
          <w:rFonts w:eastAsia="Segoe UI" w:cs="Segoe UI" w:ascii="Segoe UI" w:hAnsi="Segoe UI"/>
          <w:color w:val="101820"/>
          <w:sz w:val="21"/>
        </w:rPr>
        <w:t>Masking tool for production copies used outside production (</w:t>
      </w:r>
      <w:r>
        <w:rPr>
          <w:rFonts w:eastAsia="Consolas" w:cs="Consolas" w:ascii="Consolas" w:hAnsi="Consolas"/>
          <w:color w:val="101820"/>
          <w:sz w:val="19"/>
        </w:rPr>
        <w:t>npm run mask:data</w:t>
      </w:r>
      <w:r>
        <w:rPr>
          <w:rFonts w:eastAsia="Segoe UI" w:cs="Segoe UI" w:ascii="Segoe UI" w:hAnsi="Segoe UI"/>
          <w:color w:val="101820"/>
          <w:sz w:val="21"/>
        </w:rPr>
        <w:t>): consistent pseudonyms, verification, refusal on production, evidence for the DPO.</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and NPC rules; retention of insurance and tax records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and Operations hold the privacy permissions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 the broker's DPO works the registers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Anonymisation refused while policies are in force, bills or claims are open, commission is unpaid, endorsements are open,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every action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 masking tool for test and training copies</w:t>
            </w:r>
          </w:p>
        </w:tc>
      </w:tr>
    </w:tbl>
    <w:p>
      <w:pPr>
        <w:pStyle w:val="Normal"/>
        <w:spacing w:before="0" w:after="80"/>
        <w:rPr/>
      </w:pPr>
      <w:r>
        <w:rPr/>
      </w:r>
    </w:p>
    <w:p>
      <w:pPr>
        <w:pStyle w:val="Heading2"/>
        <w:rPr/>
      </w:pPr>
      <w:bookmarkStart w:id="48" w:name="__RefHeading___Toc9875_1894618434"/>
      <w:bookmarkEnd w:id="48"/>
      <w:r>
        <w:rPr>
          <w:rFonts w:eastAsia="Segoe UI" w:cs="Segoe UI"/>
          <w:b/>
          <w:color w:val="0F4761"/>
          <w:sz w:val="26"/>
        </w:rPr>
        <w:t>5.33  AML/CFT compliance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programme as a covered person under the AMLA (RA 9160 as amended): customer due diligence before the first policy, risk-based rating with enhanced due diligence, sanctions, PEP and negative list screening, covered and suspicious transaction monitoring, AML cases and the CTR and STR files for the AMLC.</w:t>
      </w:r>
    </w:p>
    <w:p>
      <w:pPr>
        <w:pStyle w:val="Normal"/>
        <w:numPr>
          <w:ilvl w:val="0"/>
          <w:numId w:val="1"/>
        </w:numPr>
        <w:spacing w:before="0" w:after="60"/>
        <w:rPr/>
      </w:pPr>
      <w:r>
        <w:rPr>
          <w:rFonts w:eastAsia="Segoe UI" w:cs="Segoe UI" w:ascii="Segoe UI" w:hAnsi="Segoe UI"/>
          <w:color w:val="101820"/>
          <w:sz w:val="21"/>
        </w:rPr>
        <w:t>Client onboarding before the first policy (Operations &gt; Clients &gt; Onboard client): individual or juridical, government ID, Philippine mobile number and TIN checked, PSGC address, authorised signatories with their board resolution or secretary's certificate, beneficial owners, KYC documents.</w:t>
      </w:r>
    </w:p>
    <w:p>
      <w:pPr>
        <w:pStyle w:val="Normal"/>
        <w:numPr>
          <w:ilvl w:val="0"/>
          <w:numId w:val="1"/>
        </w:numPr>
        <w:spacing w:before="0" w:after="60"/>
        <w:rPr/>
      </w:pPr>
      <w:r>
        <w:rPr>
          <w:rFonts w:eastAsia="Segoe UI" w:cs="Segoe UI" w:ascii="Segoe UI" w:hAnsi="Segoe UI"/>
          <w:color w:val="101820"/>
          <w:sz w:val="21"/>
        </w:rPr>
        <w:t>Customer risk rating Low, Normal or High from configurable factors (client type, nationality, PEP, line, payment mode, premium size, geography) at onboarding, at every policy issue and at the KYC refresh; compliance officer override; KYC refresh schedule per rating with the due list.</w:t>
      </w:r>
    </w:p>
    <w:p>
      <w:pPr>
        <w:pStyle w:val="Normal"/>
        <w:numPr>
          <w:ilvl w:val="0"/>
          <w:numId w:val="1"/>
        </w:numPr>
        <w:spacing w:before="0" w:after="60"/>
        <w:rPr/>
      </w:pPr>
      <w:r>
        <w:rPr>
          <w:rFonts w:eastAsia="Segoe UI" w:cs="Segoe UI" w:ascii="Segoe UI" w:hAnsi="Segoe UI"/>
          <w:color w:val="101820"/>
          <w:sz w:val="21"/>
        </w:rPr>
        <w:t>EDD reviews (EDD-) for High-risk clients, prepared and approved by a compliance officer other than the preparer; no policy to a High-risk client without one (setting).</w:t>
      </w:r>
    </w:p>
    <w:p>
      <w:pPr>
        <w:pStyle w:val="Normal"/>
        <w:numPr>
          <w:ilvl w:val="0"/>
          <w:numId w:val="1"/>
        </w:numPr>
        <w:spacing w:before="0" w:after="60"/>
        <w:rPr/>
      </w:pPr>
      <w:r>
        <w:rPr>
          <w:rFonts w:eastAsia="Segoe UI" w:cs="Segoe UI" w:ascii="Segoe UI" w:hAnsi="Segoe UI"/>
          <w:color w:val="101820"/>
          <w:sz w:val="21"/>
        </w:rPr>
        <w:t>Versioned screening lists (UN consolidated list XML, AMLC designations, PEP and internal lists in CSV or XLSX), fuzzy name matching with a score threshold, screening at onboarding, policy issue and payouts, rescreen after every list update, hits queue with clear, escalate and confirm; commercial provider adapter with sandbox mode and request log.</w:t>
      </w:r>
    </w:p>
    <w:p>
      <w:pPr>
        <w:pStyle w:val="Normal"/>
        <w:numPr>
          <w:ilvl w:val="0"/>
          <w:numId w:val="1"/>
        </w:numPr>
        <w:spacing w:before="0" w:after="60"/>
        <w:rPr/>
      </w:pPr>
      <w:r>
        <w:rPr>
          <w:rFonts w:eastAsia="Segoe UI" w:cs="Segoe UI" w:ascii="Segoe UI" w:hAnsi="Segoe UI"/>
          <w:color w:val="101820"/>
          <w:sz w:val="21"/>
        </w:rPr>
        <w:t>Transaction monitoring rules (covered cash above PHP 500,000 in one banking day, structuring, early cancellation, third-party payouts, overpayment refunds, payer differs) with alerts (AMA-), cases (AMC-) with due dates in working days, and CTR and STR files (AMR-, layout BV-AMLC-TXN 1.0).</w:t>
      </w:r>
    </w:p>
    <w:p>
      <w:pPr>
        <w:pStyle w:val="Normal"/>
        <w:numPr>
          <w:ilvl w:val="0"/>
          <w:numId w:val="1"/>
        </w:numPr>
        <w:spacing w:before="0" w:after="60"/>
        <w:rPr/>
      </w:pPr>
      <w:r>
        <w:rPr>
          <w:rFonts w:eastAsia="Segoe UI" w:cs="Segoe UI" w:ascii="Segoe UI" w:hAnsi="Segoe UI"/>
          <w:color w:val="101820"/>
          <w:sz w:val="21"/>
        </w:rPr>
        <w:t>AML dashboard; Compliance Officer role and Compliance menu.</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AMLA as amended, 2018 IRR, AMLC registration and reporting; thresholds and filing days are settings the compliance officer confirms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approve:aml</w:t>
            </w:r>
            <w:r>
              <w:rPr>
                <w:rFonts w:eastAsia="Segoe UI" w:cs="Segoe UI" w:ascii="Segoe UI" w:hAnsi="Segoe UI"/>
                <w:color w:val="101820"/>
                <w:kern w:val="0"/>
                <w:sz w:val="18"/>
                <w:szCs w:val="24"/>
                <w:lang w:val="en-US" w:eastAsia="ja-JP" w:bidi="ar-SA"/>
              </w:rPr>
              <w:t>); Operations prepares EDD reviews; client roles onboard clients (</w:t>
            </w:r>
            <w:r>
              <w:rPr>
                <w:rFonts w:eastAsia="Consolas" w:cs="Consolas" w:ascii="Consolas" w:hAnsi="Consolas"/>
                <w:color w:val="101820"/>
                <w:kern w:val="0"/>
                <w:sz w:val="16"/>
                <w:szCs w:val="24"/>
                <w:lang w:val="en-US" w:eastAsia="ja-JP" w:bidi="ar-SA"/>
              </w:rPr>
              <w:t>write:clients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issue and payouts stopped by an undecided or confirmed match; maker-checker on EDD approval; every decision with a reason in the audit trail; AML records kept </w:t>
            </w:r>
            <w:r>
              <w:rPr>
                <w:rFonts w:eastAsia="Consolas" w:cs="Consolas" w:ascii="Consolas" w:hAnsi="Consolas"/>
                <w:color w:val="101820"/>
                <w:kern w:val="0"/>
                <w:sz w:val="16"/>
                <w:szCs w:val="24"/>
                <w:lang w:val="en-US" w:eastAsia="ja-JP" w:bidi="ar-SA"/>
              </w:rPr>
              <w:t>aml.record_retention_years</w:t>
            </w:r>
            <w:r>
              <w:rPr>
                <w:rFonts w:eastAsia="Segoe UI" w:cs="Segoe UI" w:ascii="Segoe UI" w:hAnsi="Segoe UI"/>
                <w:color w:val="101820"/>
                <w:kern w:val="0"/>
                <w:sz w:val="18"/>
                <w:szCs w:val="24"/>
                <w:lang w:val="en-US" w:eastAsia="ja-JP" w:bidi="ar-SA"/>
              </w:rPr>
              <w:t xml:space="preserve"> (5) 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files (XML, CSV, XLSX); commercial screening provider API by configuration; report files filed by the broker in the AMLC portal</w:t>
            </w:r>
          </w:p>
        </w:tc>
      </w:tr>
    </w:tbl>
    <w:p>
      <w:pPr>
        <w:pStyle w:val="Normal"/>
        <w:spacing w:before="0" w:after="80"/>
        <w:rPr/>
      </w:pPr>
      <w:r>
        <w:rPr/>
      </w:r>
    </w:p>
    <w:p>
      <w:pPr>
        <w:pStyle w:val="Heading2"/>
        <w:rPr/>
      </w:pPr>
      <w:bookmarkStart w:id="49" w:name="__RefHeading___Toc9877_1894618434"/>
      <w:bookmarkEnd w:id="49"/>
      <w:r>
        <w:rPr>
          <w:rFonts w:eastAsia="Segoe UI" w:cs="Segoe UI"/>
          <w:b/>
          <w:color w:val="0F4761"/>
          <w:sz w:val="26"/>
        </w:rPr>
        <w:t>5.34  Insurance Commission compliance and complaints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the registers and reports the broker owes the Insurance Commission and handles complaints under RA 11765.</w:t>
      </w:r>
    </w:p>
    <w:p>
      <w:pPr>
        <w:pStyle w:val="Normal"/>
        <w:numPr>
          <w:ilvl w:val="0"/>
          <w:numId w:val="1"/>
        </w:numPr>
        <w:spacing w:before="0" w:after="60"/>
        <w:rPr/>
      </w:pPr>
      <w:r>
        <w:rPr>
          <w:rFonts w:eastAsia="Segoe UI" w:cs="Segoe UI" w:ascii="Segoe UI" w:hAnsi="Segoe UI"/>
          <w:color w:val="101820"/>
          <w:sz w:val="21"/>
        </w:rPr>
        <w:t>Licence Register: licences of the firm, officers, licensed individuals, agents, sub-agents and referrers with renewal status, documents, expiry calendar and reminders at 90, 60, 30, 15 and 7 days; commission held for an agent without a licence in force.</w:t>
      </w:r>
    </w:p>
    <w:p>
      <w:pPr>
        <w:pStyle w:val="Normal"/>
        <w:numPr>
          <w:ilvl w:val="0"/>
          <w:numId w:val="1"/>
        </w:numPr>
        <w:spacing w:before="0" w:after="60"/>
        <w:rPr/>
      </w:pPr>
      <w:r>
        <w:rPr>
          <w:rFonts w:eastAsia="Segoe UI" w:cs="Segoe UI" w:ascii="Segoe UI" w:hAnsi="Segoe UI"/>
          <w:color w:val="101820"/>
          <w:sz w:val="21"/>
        </w:rPr>
        <w:t>Fit and Proper: declarations, documents, review outcome and next review of directors and officers.</w:t>
      </w:r>
    </w:p>
    <w:p>
      <w:pPr>
        <w:pStyle w:val="Normal"/>
        <w:numPr>
          <w:ilvl w:val="0"/>
          <w:numId w:val="1"/>
        </w:numPr>
        <w:spacing w:before="0" w:after="60"/>
        <w:rPr/>
      </w:pPr>
      <w:r>
        <w:rPr>
          <w:rFonts w:eastAsia="Segoe UI" w:cs="Segoe UI" w:ascii="Segoe UI" w:hAnsi="Segoe UI"/>
          <w:color w:val="101820"/>
          <w:sz w:val="21"/>
        </w:rPr>
        <w:t>Insurer Authority: each insurer's IC certificate of authority and validity, checked when a request for quotation or firm order is sent and when a policy is issued (</w:t>
      </w:r>
      <w:r>
        <w:rPr>
          <w:rFonts w:eastAsia="Consolas" w:cs="Consolas" w:ascii="Consolas" w:hAnsi="Consolas"/>
          <w:color w:val="101820"/>
          <w:sz w:val="19"/>
        </w:rPr>
        <w:t>compliance.insurer_authority_check</w:t>
      </w:r>
      <w:r>
        <w:rPr>
          <w:rFonts w:eastAsia="Segoe UI" w:cs="Segoe UI" w:ascii="Segoe UI" w:hAnsi="Segoe UI"/>
          <w:color w:val="101820"/>
          <w:sz w:val="21"/>
        </w:rPr>
        <w:t xml:space="preserve"> warn or block).</w:t>
      </w:r>
    </w:p>
    <w:p>
      <w:pPr>
        <w:pStyle w:val="Normal"/>
        <w:numPr>
          <w:ilvl w:val="0"/>
          <w:numId w:val="1"/>
        </w:numPr>
        <w:spacing w:before="0" w:after="60"/>
        <w:rPr/>
      </w:pPr>
      <w:r>
        <w:rPr>
          <w:rFonts w:eastAsia="Segoe UI" w:cs="Segoe UI" w:ascii="Segoe UI" w:hAnsi="Segoe UI"/>
          <w:color w:val="101820"/>
          <w:sz w:val="21"/>
        </w:rPr>
        <w:t>Complaints: intake by channel and category, acknowledgement and resolution deadlines (2, 7 or 45 days), automatic escalation, acknowledgement and resolution letters, referral to the IC, ageing and the regulator report.</w:t>
      </w:r>
    </w:p>
    <w:p>
      <w:pPr>
        <w:pStyle w:val="Normal"/>
        <w:numPr>
          <w:ilvl w:val="0"/>
          <w:numId w:val="1"/>
        </w:numPr>
        <w:spacing w:before="0" w:after="60"/>
        <w:rPr/>
      </w:pPr>
      <w:r>
        <w:rPr>
          <w:rFonts w:eastAsia="Segoe UI" w:cs="Segoe UI" w:ascii="Segoe UI" w:hAnsi="Segoe UI"/>
          <w:color w:val="101820"/>
          <w:sz w:val="21"/>
        </w:rPr>
        <w:t>IC Annual Statement: workbook of the annual statement from the ledger and production with checks, a configurable account mapping and the accountant confirmation sheet; IC Production Report by insurer and IC line.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Code, IC rules on licensing, fit and proper and complaints handling; RA 11765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write:compliance</w:t>
            </w:r>
            <w:r>
              <w:rPr>
                <w:rFonts w:eastAsia="Segoe UI" w:cs="Segoe UI" w:ascii="Segoe UI" w:hAnsi="Segoe UI"/>
                <w:color w:val="101820"/>
                <w:kern w:val="0"/>
                <w:sz w:val="18"/>
                <w:szCs w:val="24"/>
                <w:lang w:val="en-US" w:eastAsia="ja-JP" w:bidi="ar-SA"/>
              </w:rPr>
              <w:t xml:space="preserve"> (System Administrator, Operations; Accounting reads); complaints handlers (</w:t>
            </w:r>
            <w:r>
              <w:rPr>
                <w:rFonts w:eastAsia="Consolas" w:cs="Consolas" w:ascii="Consolas" w:hAnsi="Consolas"/>
                <w:color w:val="101820"/>
                <w:kern w:val="0"/>
                <w:sz w:val="16"/>
                <w:szCs w:val="24"/>
                <w:lang w:val="en-US" w:eastAsia="ja-JP" w:bidi="ar-SA"/>
              </w:rPr>
              <w:t>write:complaints</w:t>
            </w:r>
            <w:r>
              <w:rPr>
                <w:rFonts w:eastAsia="Segoe UI" w:cs="Segoe UI" w:ascii="Segoe UI" w:hAnsi="Segoe UI"/>
                <w:color w:val="101820"/>
                <w:kern w:val="0"/>
                <w:sz w:val="18"/>
                <w:szCs w:val="24"/>
                <w:lang w:val="en-US" w:eastAsia="ja-JP" w:bidi="ar-SA"/>
              </w:rPr>
              <w:t>) and complaints officers (</w:t>
            </w:r>
            <w:r>
              <w:rPr>
                <w:rFonts w:eastAsia="Consolas" w:cs="Consolas" w:ascii="Consolas" w:hAnsi="Consolas"/>
                <w:color w:val="101820"/>
                <w:kern w:val="0"/>
                <w:sz w:val="16"/>
                <w:szCs w:val="24"/>
                <w:lang w:val="en-US" w:eastAsia="ja-JP" w:bidi="ar-SA"/>
              </w:rPr>
              <w:t>approve:complaints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jobs; every step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exports for the regulator</w:t>
            </w:r>
          </w:p>
        </w:tc>
      </w:tr>
    </w:tbl>
    <w:p>
      <w:pPr>
        <w:pStyle w:val="Normal"/>
        <w:spacing w:before="0" w:after="80"/>
        <w:rPr/>
      </w:pPr>
      <w:r>
        <w:rPr/>
      </w:r>
    </w:p>
    <w:p>
      <w:pPr>
        <w:pStyle w:val="Heading2"/>
        <w:rPr/>
      </w:pPr>
      <w:bookmarkStart w:id="50" w:name="__RefHeading___Toc9879_1894618434"/>
      <w:bookmarkEnd w:id="50"/>
      <w:r>
        <w:rPr>
          <w:rFonts w:eastAsia="Segoe UI" w:cs="Segoe UI"/>
          <w:b/>
          <w:color w:val="0F4761"/>
          <w:sz w:val="26"/>
        </w:rPr>
        <w:t>5.35  My Work, menu and help</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Gives each user one worklist and a menu organised by task, with help on every screen.</w:t>
      </w:r>
    </w:p>
    <w:p>
      <w:pPr>
        <w:pStyle w:val="Normal"/>
        <w:numPr>
          <w:ilvl w:val="0"/>
          <w:numId w:val="1"/>
        </w:numPr>
        <w:spacing w:before="0" w:after="60"/>
        <w:rPr/>
      </w:pPr>
      <w:r>
        <w:rPr>
          <w:rFonts w:eastAsia="Segoe UI" w:cs="Segoe UI" w:ascii="Segoe UI" w:hAnsi="Segoe UI"/>
          <w:color w:val="101820"/>
          <w:sz w:val="21"/>
        </w:rPr>
        <w:t>My Work (Operations &gt; My Work): My Items by category (quotations, requests for quotation, placements, renewals, premiums due, collection follow-ups, endorsements, claims, approvals, missing documents, tasks), My Team by reporting line with reassignment, My Tasks with reminders, Calendar; overdue and due-today counts.</w:t>
      </w:r>
    </w:p>
    <w:p>
      <w:pPr>
        <w:pStyle w:val="Normal"/>
        <w:numPr>
          <w:ilvl w:val="0"/>
          <w:numId w:val="1"/>
        </w:numPr>
        <w:spacing w:before="0" w:after="60"/>
        <w:rPr/>
      </w:pPr>
      <w:r>
        <w:rPr>
          <w:rFonts w:eastAsia="Segoe UI" w:cs="Segoe UI" w:ascii="Segoe UI" w:hAnsi="Segoe UI"/>
          <w:color w:val="101820"/>
          <w:sz w:val="21"/>
        </w:rPr>
        <w:t>Side menu in business order with Master in sections (Organization, Insurance, Location, Employees, Users and Access, Finance, System, Data Privacy, Go-Live and Data), menu search and skeleton loading of lists.</w:t>
      </w:r>
    </w:p>
    <w:p>
      <w:pPr>
        <w:pStyle w:val="Normal"/>
        <w:numPr>
          <w:ilvl w:val="0"/>
          <w:numId w:val="1"/>
        </w:numPr>
        <w:spacing w:before="0" w:after="60"/>
        <w:rPr/>
      </w:pPr>
      <w:r>
        <w:rPr>
          <w:rFonts w:eastAsia="Segoe UI" w:cs="Segoe UI" w:ascii="Segoe UI" w:hAnsi="Segoe UI"/>
          <w:color w:val="101820"/>
          <w:sz w:val="21"/>
        </w:rPr>
        <w:t>Help panel (</w:t>
      </w:r>
      <w:r>
        <w:rPr>
          <w:rFonts w:eastAsia="Segoe UI" w:cs="Segoe UI" w:ascii="Segoe UI" w:hAnsi="Segoe UI"/>
          <w:b/>
          <w:color w:val="101820"/>
          <w:sz w:val="21"/>
        </w:rPr>
        <w:t>F1</w:t>
      </w:r>
      <w:r>
        <w:rPr>
          <w:rFonts w:eastAsia="Segoe UI" w:cs="Segoe UI" w:ascii="Segoe UI" w:hAnsi="Segoe UI"/>
          <w:color w:val="101820"/>
          <w:sz w:val="21"/>
        </w:rPr>
        <w:t>): the manual section of the screen, the user manual PDF, the support desk's contacts, raise a support ticket, About BrokerVerse.</w:t>
      </w:r>
    </w:p>
    <w:p>
      <w:pPr>
        <w:pStyle w:val="Heading2"/>
        <w:rPr/>
      </w:pPr>
      <w:bookmarkStart w:id="51" w:name="__RefHeading___Toc9881_1894618434"/>
      <w:bookmarkEnd w:id="51"/>
      <w:r>
        <w:rPr>
          <w:rFonts w:eastAsia="Segoe UI" w:cs="Segoe UI"/>
          <w:b/>
          <w:color w:val="0F4761"/>
          <w:sz w:val="26"/>
        </w:rPr>
        <w:t>5.36  Philippine reference masters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Delivers the reference data a Philippine broker needs.</w:t>
      </w:r>
    </w:p>
    <w:p>
      <w:pPr>
        <w:pStyle w:val="Normal"/>
        <w:numPr>
          <w:ilvl w:val="0"/>
          <w:numId w:val="1"/>
        </w:numPr>
        <w:spacing w:before="0" w:after="60"/>
        <w:rPr/>
      </w:pPr>
      <w:r>
        <w:rPr>
          <w:rFonts w:eastAsia="Segoe UI" w:cs="Segoe UI" w:ascii="Segoe UI" w:hAnsi="Segoe UI"/>
          <w:color w:val="101820"/>
          <w:sz w:val="21"/>
        </w:rPr>
        <w:t>Geography of the PSGC (2Q 2026): regions, provinces (the field is Province), cities and municipalities with their class and ZIP code, barangays on the address forms.</w:t>
      </w:r>
    </w:p>
    <w:p>
      <w:pPr>
        <w:pStyle w:val="Normal"/>
        <w:numPr>
          <w:ilvl w:val="0"/>
          <w:numId w:val="1"/>
        </w:numPr>
        <w:spacing w:before="0" w:after="60"/>
        <w:rPr/>
      </w:pPr>
      <w:r>
        <w:rPr>
          <w:rFonts w:eastAsia="Segoe UI" w:cs="Segoe UI" w:ascii="Segoe UI" w:hAnsi="Segoe UI"/>
          <w:color w:val="101820"/>
          <w:sz w:val="21"/>
        </w:rPr>
        <w:t>Philippine banks, government ID types, salutations, national holidays (used for working-day deadlines) and the list of insurers licensed by the IC.</w:t>
      </w:r>
    </w:p>
    <w:p>
      <w:pPr>
        <w:pStyle w:val="Heading2"/>
        <w:rPr/>
      </w:pPr>
      <w:bookmarkStart w:id="52" w:name="__RefHeading___Toc9883_1894618434"/>
      <w:bookmarkEnd w:id="52"/>
      <w:r>
        <w:rPr>
          <w:rFonts w:eastAsia="Segoe UI" w:cs="Segoe UI"/>
          <w:b/>
          <w:color w:val="0F4761"/>
          <w:sz w:val="26"/>
        </w:rPr>
        <w:t>5.37  Go-live data workbench and environments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Loads the broker's go-live data, proves that environments hold the same configuration, and keeps test and personal data where they belong.</w:t>
      </w:r>
    </w:p>
    <w:p>
      <w:pPr>
        <w:pStyle w:val="Normal"/>
        <w:numPr>
          <w:ilvl w:val="0"/>
          <w:numId w:val="1"/>
        </w:numPr>
        <w:spacing w:before="0" w:after="60"/>
        <w:rPr/>
      </w:pPr>
      <w:r>
        <w:rPr>
          <w:rFonts w:eastAsia="Segoe UI" w:cs="Segoe UI" w:ascii="Segoe UI" w:hAnsi="Segoe UI"/>
          <w:color w:val="101820"/>
          <w:sz w:val="21"/>
        </w:rPr>
        <w:t>Go-Live Data Load: configuration workbook and migration workbook (clients, in-force policies, open receivables, open claims, GL opening balances); blank template or current data; upload and validate as a trial run; errors workbook; load in one transaction; reconciliation of the migration; history; go-live lock (</w:t>
      </w:r>
      <w:r>
        <w:rPr>
          <w:rFonts w:eastAsia="Consolas" w:cs="Consolas" w:ascii="Consolas" w:hAnsi="Consolas"/>
          <w:color w:val="101820"/>
          <w:sz w:val="19"/>
        </w:rPr>
        <w:t>golive.locked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Compare environments: a configuration export against this environment, or two exports against each other; result Mirrored or Differences found, field by field, with environment-specific fields listed apart; comparison workbook; </w:t>
      </w:r>
      <w:r>
        <w:rPr>
          <w:rFonts w:eastAsia="Consolas" w:cs="Consolas" w:ascii="Consolas" w:hAnsi="Consolas"/>
          <w:color w:val="101820"/>
          <w:sz w:val="19"/>
        </w:rPr>
        <w:t>npm run compare:environments</w:t>
      </w:r>
      <w:r>
        <w:rPr>
          <w:rFonts w:eastAsia="Segoe UI" w:cs="Segoe UI" w:ascii="Segoe UI" w:hAnsi="Segoe UI"/>
          <w:color w:val="101820"/>
          <w:sz w:val="21"/>
        </w:rPr>
        <w:t xml:space="preserve"> for the release pipeline.</w:t>
      </w:r>
    </w:p>
    <w:p>
      <w:pPr>
        <w:pStyle w:val="Normal"/>
        <w:numPr>
          <w:ilvl w:val="0"/>
          <w:numId w:val="1"/>
        </w:numPr>
        <w:spacing w:before="0" w:after="60"/>
        <w:rPr/>
      </w:pPr>
      <w:r>
        <w:rPr>
          <w:rFonts w:eastAsia="Segoe UI" w:cs="Segoe UI" w:ascii="Segoe UI" w:hAnsi="Segoe UI"/>
          <w:color w:val="101820"/>
          <w:sz w:val="21"/>
        </w:rPr>
        <w:t>Transaction reset (</w:t>
      </w:r>
      <w:r>
        <w:rPr>
          <w:rFonts w:eastAsia="Consolas" w:cs="Consolas" w:ascii="Consolas" w:hAnsi="Consolas"/>
          <w:color w:val="101820"/>
          <w:sz w:val="19"/>
        </w:rPr>
        <w:t>npm run reset:transactions</w:t>
      </w:r>
      <w:r>
        <w:rPr>
          <w:rFonts w:eastAsia="Segoe UI" w:cs="Segoe UI" w:ascii="Segoe UI" w:hAnsi="Segoe UI"/>
          <w:color w:val="101820"/>
          <w:sz w:val="21"/>
        </w:rPr>
        <w:t>): removes test transactions before go-live, keeps masters, settings and users, refused after the go-live lock.</w:t>
      </w:r>
    </w:p>
    <w:p>
      <w:pPr>
        <w:pStyle w:val="Normal"/>
        <w:numPr>
          <w:ilvl w:val="0"/>
          <w:numId w:val="1"/>
        </w:numPr>
        <w:spacing w:before="0" w:after="60"/>
        <w:rPr/>
      </w:pPr>
      <w:r>
        <w:rPr>
          <w:rFonts w:eastAsia="Segoe UI" w:cs="Segoe UI" w:ascii="Segoe UI" w:hAnsi="Segoe UI"/>
          <w:color w:val="101820"/>
          <w:sz w:val="21"/>
        </w:rPr>
        <w:t>Data masking of production copies (</w:t>
      </w:r>
      <w:r>
        <w:rPr>
          <w:rFonts w:eastAsia="Consolas" w:cs="Consolas" w:ascii="Consolas" w:hAnsi="Consolas"/>
          <w:color w:val="101820"/>
          <w:sz w:val="19"/>
        </w:rPr>
        <w:t>npm run mask:data</w:t>
      </w:r>
      <w:r>
        <w:rPr>
          <w:rFonts w:eastAsia="Segoe UI" w:cs="Segoe UI" w:ascii="Segoe UI" w:hAnsi="Segoe UI"/>
          <w:color w:val="101820"/>
          <w:sz w:val="21"/>
        </w:rPr>
        <w:t xml:space="preserve">, with </w:t>
      </w:r>
      <w:r>
        <w:rPr>
          <w:rFonts w:eastAsia="Consolas" w:cs="Consolas" w:ascii="Consolas" w:hAnsi="Consolas"/>
          <w:color w:val="101820"/>
          <w:sz w:val="19"/>
        </w:rPr>
        <w:t>--remark-copy</w:t>
      </w:r>
      <w:r>
        <w:rPr>
          <w:rFonts w:eastAsia="Segoe UI" w:cs="Segoe UI" w:ascii="Segoe UI" w:hAnsi="Segoe UI"/>
          <w:color w:val="101820"/>
          <w:sz w:val="21"/>
        </w:rPr>
        <w:t xml:space="preserve"> and </w:t>
      </w:r>
      <w:r>
        <w:rPr>
          <w:rFonts w:eastAsia="Consolas" w:cs="Consolas" w:ascii="Consolas" w:hAnsi="Consolas"/>
          <w:color w:val="101820"/>
          <w:sz w:val="19"/>
        </w:rPr>
        <w:t>--register-production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Release pipeline: one build promoted through Dev, SIT, UAT, Pre-Prod and Production with approvals, backup, forward-only migrations, smoke test and automatic rollback.</w:t>
      </w:r>
    </w:p>
    <w:p>
      <w:pPr>
        <w:pStyle w:val="Normal"/>
        <w:numPr>
          <w:ilvl w:val="0"/>
          <w:numId w:val="1"/>
        </w:numPr>
        <w:spacing w:before="0" w:after="60"/>
        <w:rPr/>
      </w:pPr>
      <w:r>
        <w:rPr>
          <w:rFonts w:eastAsia="Segoe UI" w:cs="Segoe UI" w:ascii="Segoe UI" w:hAnsi="Segoe UI"/>
          <w:color w:val="101820"/>
          <w:sz w:val="21"/>
        </w:rPr>
        <w:t>Audit Trail screen (Master &gt; System &gt; Audit Trail): every audited action by record type, record ID, user and dates.</w:t>
      </w:r>
    </w:p>
    <w:p>
      <w:pPr>
        <w:pStyle w:val="Heading2"/>
        <w:rPr/>
      </w:pPr>
      <w:bookmarkStart w:id="53" w:name="__RefHeading___Toc9885_1894618434"/>
      <w:bookmarkEnd w:id="53"/>
      <w:r>
        <w:rPr>
          <w:rFonts w:eastAsia="Segoe UI" w:cs="Segoe UI"/>
          <w:b/>
          <w:color w:val="0F4761"/>
          <w:sz w:val="26"/>
        </w:rPr>
        <w:t>5.38  Branding and e-signatures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the broker's brand on screens, documents, reports and e-mails, and signs documents with captured signatures.</w:t>
      </w:r>
    </w:p>
    <w:p>
      <w:pPr>
        <w:pStyle w:val="Normal"/>
        <w:numPr>
          <w:ilvl w:val="0"/>
          <w:numId w:val="1"/>
        </w:numPr>
        <w:spacing w:before="0" w:after="60"/>
        <w:rPr/>
      </w:pPr>
      <w:r>
        <w:rPr>
          <w:rFonts w:eastAsia="Segoe UI" w:cs="Segoe UI" w:ascii="Segoe UI" w:hAnsi="Segoe UI"/>
          <w:color w:val="101820"/>
          <w:sz w:val="21"/>
        </w:rPr>
        <w:t>Theme and Branding (Master &gt; System Settings): theme presets or custom colours with a contrast check, sign-in picture, document and report colours and footer, branded e-mail layout, logo and favicon; changes apply without a rebuild.</w:t>
      </w:r>
    </w:p>
    <w:p>
      <w:pPr>
        <w:pStyle w:val="Normal"/>
        <w:numPr>
          <w:ilvl w:val="0"/>
          <w:numId w:val="1"/>
        </w:numPr>
        <w:spacing w:before="0" w:after="60"/>
        <w:rPr/>
      </w:pPr>
      <w:r>
        <w:rPr>
          <w:rFonts w:eastAsia="Segoe UI" w:cs="Segoe UI" w:ascii="Segoe UI" w:hAnsi="Segoe UI"/>
          <w:color w:val="101820"/>
          <w:sz w:val="21"/>
        </w:rPr>
        <w:t>Brand packs export and import the whole branding between environments; a client brand pack (for example the Toyota Insurance Services pack) carries the marks of a client of iorta TechNXT and is applied only in that client's environments, under the client's contract with iorta TechNXT, which covers the use of its marks there.</w:t>
      </w:r>
    </w:p>
    <w:p>
      <w:pPr>
        <w:pStyle w:val="Normal"/>
        <w:numPr>
          <w:ilvl w:val="0"/>
          <w:numId w:val="1"/>
        </w:numPr>
        <w:spacing w:before="0" w:after="60"/>
        <w:rPr/>
      </w:pPr>
      <w:r>
        <w:rPr>
          <w:rFonts w:eastAsia="Segoe UI" w:cs="Segoe UI" w:ascii="Segoe UI" w:hAnsi="Segoe UI"/>
          <w:color w:val="101820"/>
          <w:sz w:val="21"/>
        </w:rPr>
        <w:t>E-signatures of company signatories and of users (captured by the user), versioned, with consent recorded and revocation; mapped per document type (quotation slip, policy schedule, endorsement, official receipt, payment voucher, debit note, statement, journal voucher, claim letter); drafts print UNSIGNED DRAFT.</w:t>
      </w:r>
    </w:p>
    <w:p>
      <w:pPr>
        <w:pStyle w:val="Heading2"/>
        <w:rPr/>
      </w:pPr>
      <w:bookmarkStart w:id="54" w:name="__RefHeading___Toc9887_1894618434"/>
      <w:bookmarkEnd w:id="54"/>
      <w:r>
        <w:rPr>
          <w:rFonts w:eastAsia="Segoe UI" w:cs="Segoe UI"/>
          <w:b/>
          <w:color w:val="0F4761"/>
          <w:sz w:val="26"/>
        </w:rPr>
        <w:t>5.39  Administration, security and configuration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Sets up the broker's organisation, reference data, users and rules, and keeps the record of who did what.</w:t>
      </w:r>
    </w:p>
    <w:p>
      <w:pPr>
        <w:pStyle w:val="Normal"/>
        <w:numPr>
          <w:ilvl w:val="0"/>
          <w:numId w:val="1"/>
        </w:numPr>
        <w:spacing w:before="0" w:after="60"/>
        <w:rPr/>
      </w:pPr>
      <w:r>
        <w:rPr>
          <w:rFonts w:eastAsia="Segoe UI" w:cs="Segoe UI" w:ascii="Segoe UI" w:hAnsi="Segoe UI"/>
          <w:color w:val="101820"/>
          <w:sz w:val="21"/>
        </w:rPr>
        <w:t>Masters: Company (letterhead, TIN, IC licence number), Branch, Insurance Company (credit and remittance terms, billing mode, placement and claims e-mails, IC certificate of authority), Line of Business, Product, Cover, Signatories, Vehicle, locations, designations and hierarchy, finance masters. Staff details (branch, designation, reporting to) are on the user record.</w:t>
      </w:r>
    </w:p>
    <w:p>
      <w:pPr>
        <w:pStyle w:val="Normal"/>
        <w:numPr>
          <w:ilvl w:val="0"/>
          <w:numId w:val="1"/>
        </w:numPr>
        <w:spacing w:before="0" w:after="60"/>
        <w:rPr/>
      </w:pPr>
      <w:r>
        <w:rPr>
          <w:rFonts w:eastAsia="Segoe UI" w:cs="Segoe UI" w:ascii="Segoe UI" w:hAnsi="Segoe UI"/>
          <w:color w:val="101820"/>
          <w:sz w:val="21"/>
        </w:rPr>
        <w:t>Uploads for masters and go-live data from 74 templates (10 MB per file, 20,000 rows).</w:t>
      </w:r>
    </w:p>
    <w:p>
      <w:pPr>
        <w:pStyle w:val="Normal"/>
        <w:numPr>
          <w:ilvl w:val="0"/>
          <w:numId w:val="1"/>
        </w:numPr>
        <w:spacing w:before="0" w:after="60"/>
        <w:rPr/>
      </w:pPr>
      <w:r>
        <w:rPr>
          <w:rFonts w:eastAsia="Segoe UI" w:cs="Segoe UI" w:ascii="Segoe UI" w:hAnsi="Segoe UI"/>
          <w:color w:val="101820"/>
          <w:sz w:val="21"/>
        </w:rPr>
        <w:t>Users and Access: User, Role, User Access Matrix, Role Permissions, Authority Matrix, Delegations, Segregation of Duties, Access Reviews.</w:t>
      </w:r>
    </w:p>
    <w:p>
      <w:pPr>
        <w:pStyle w:val="Normal"/>
        <w:numPr>
          <w:ilvl w:val="0"/>
          <w:numId w:val="1"/>
        </w:numPr>
        <w:spacing w:before="0" w:after="60"/>
        <w:rPr/>
      </w:pPr>
      <w:r>
        <w:rPr>
          <w:rFonts w:eastAsia="Segoe UI" w:cs="Segoe UI" w:ascii="Segoe UI" w:hAnsi="Segoe UI"/>
          <w:color w:val="101820"/>
          <w:sz w:val="21"/>
        </w:rPr>
        <w:t>Master &gt; Configuration: business parameters by business area, applied at once and audited; Master &gt; Document Numbering with 61 series; Master &gt; Schedules with run now and history; Master &gt; System Settings with Theme and Branding.</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Authority Matrix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grants that role; nobody changes their own role; new authority limits approved by another administrator; SoD rules checked at role assignment; dormant accounts deactivated after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provisioning from a template or the configuration workbook</w:t>
            </w:r>
          </w:p>
        </w:tc>
      </w:tr>
    </w:tbl>
    <w:p>
      <w:pPr>
        <w:pStyle w:val="Heading1"/>
        <w:rPr/>
      </w:pPr>
      <w:r>
        <w:br w:type="page"/>
      </w:r>
      <w:bookmarkStart w:id="55" w:name="__RefHeading___Toc9889_1894618434"/>
      <w:bookmarkEnd w:id="55"/>
      <w:r>
        <w:rPr>
          <w:rFonts w:eastAsia="Segoe UI" w:cs="Segoe UI" w:ascii="Segoe UI" w:hAnsi="Segoe UI"/>
          <w:b/>
          <w:color w:val="0F4761"/>
          <w:sz w:val="32"/>
        </w:rPr>
        <w:t>6.  OOTB scope and optional extras</w:t>
      </w:r>
    </w:p>
    <w:p>
      <w:pPr>
        <w:pStyle w:val="Heading2"/>
        <w:rPr/>
      </w:pPr>
      <w:bookmarkStart w:id="56" w:name="__RefHeading___Toc9891_1894618434"/>
      <w:bookmarkEnd w:id="56"/>
      <w:r>
        <w:rPr>
          <w:rFonts w:eastAsia="Segoe UI" w:cs="Segoe UI"/>
          <w:b/>
          <w:color w:val="0F4761"/>
          <w:sz w:val="26"/>
        </w:rPr>
        <w:t>6.1  What the OOTB edition includes</w:t>
      </w:r>
    </w:p>
    <w:p>
      <w:pPr>
        <w:pStyle w:val="Normal"/>
        <w:spacing w:lineRule="auto" w:line="276" w:before="0" w:after="120"/>
        <w:rPr/>
      </w:pPr>
      <w:r>
        <w:rPr>
          <w:rFonts w:eastAsia="Segoe UI" w:cs="Segoe UI" w:ascii="Segoe UI" w:hAnsi="Segoe UI"/>
          <w:color w:val="101820"/>
          <w:sz w:val="21"/>
        </w:rPr>
        <w:t>The OOTB edition is the product as delivered, fitted to the broker by configuration and master data, not by code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in OOTB</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modules in chapter 5</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screens, workflows, reports and printed documents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master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insurers, products and tariff, commission, taxes, chart of accounts, posting rules, number series, approvals, schedules, e-mail texts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e-mail, bank statement files, insurer statement files, PayMongo and Dragonpay payment links; adapters with test mode for SMS and Viber, CTPL authentication and the LTO feed, insurer APIs, bank payment files, the BIR EIS and a screening provider (certification with each partner during onboarding)</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in-force policies and clients, open receivables, GL opening balances through the delivered templates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mock loads, SIT, UAT support, training per role, cutover, hypercare to the first month-end close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role decks, reports book, architecture and security, compliance matrix, data migration, training and support documents</w:t>
            </w:r>
          </w:p>
        </w:tc>
      </w:tr>
    </w:tbl>
    <w:p>
      <w:pPr>
        <w:pStyle w:val="Normal"/>
        <w:spacing w:before="0" w:after="80"/>
        <w:rPr/>
      </w:pPr>
      <w:r>
        <w:rPr/>
      </w:r>
    </w:p>
    <w:p>
      <w:pPr>
        <w:pStyle w:val="Heading2"/>
        <w:rPr/>
      </w:pPr>
      <w:bookmarkStart w:id="57" w:name="__RefHeading___Toc9893_1894618434"/>
      <w:bookmarkEnd w:id="57"/>
      <w:r>
        <w:rPr>
          <w:rFonts w:eastAsia="Segoe UI" w:cs="Segoe UI"/>
          <w:b/>
          <w:color w:val="0F4761"/>
          <w:sz w:val="26"/>
        </w:rPr>
        <w:t>6.2  Optional extras and change requests</w:t>
      </w:r>
    </w:p>
    <w:p>
      <w:pPr>
        <w:pStyle w:val="Normal"/>
        <w:spacing w:lineRule="auto" w:line="276" w:before="0" w:after="120"/>
        <w:rPr/>
      </w:pPr>
      <w:r>
        <w:rPr>
          <w:rFonts w:eastAsia="Segoe UI" w:cs="Segoe UI" w:ascii="Segoe UI" w:hAnsi="Segoe UI"/>
          <w:color w:val="101820"/>
          <w:sz w:val="21"/>
        </w:rPr>
        <w:t>Customisation is outside the OOTB scope. A requirement that cannot be met by configuration, master data or a change in procedure is recorded as a gap and handled through a change request: the broker describes the need, iorta TechNXT estimates the effort, and the steering committee approves it before any work starts.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Outside OOTB, available as a change request or optional service</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screens, workflows, printed documents or the database; new reports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Core banking, accounting packages, BIR eFPS or eBIRForms, IC systems, other payment gateways; a provider whose protocol the delivered adapters (SMS, CTPL, insurer API, bank file) cannot be configured for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services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cleansing and enrichment, extraction from the old system, migration of closed policies, history and documents, more than one fiscal year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 and hosting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 test or training environments; hosting by iorta TechNXT on AWS, Azure or a local partner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training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agreed curriculum, users added after go-live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after go-live</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rating, documents and test cases for a new line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Translation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screens (no translation file in this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of optional services and day rates for change requests are in the commercial proposal.</w:t>
      </w:r>
    </w:p>
    <w:p>
      <w:pPr>
        <w:pStyle w:val="Heading2"/>
        <w:rPr/>
      </w:pPr>
      <w:bookmarkStart w:id="58" w:name="__RefHeading___Toc9895_1894618434"/>
      <w:bookmarkEnd w:id="58"/>
      <w:r>
        <w:rPr>
          <w:rFonts w:eastAsia="Segoe UI" w:cs="Segoe UI"/>
          <w:b/>
          <w:color w:val="0F4761"/>
          <w:sz w:val="26"/>
        </w:rPr>
        <w:t>6.3  What remains with the broker</w:t>
      </w:r>
    </w:p>
    <w:p>
      <w:pPr>
        <w:pStyle w:val="Normal"/>
        <w:numPr>
          <w:ilvl w:val="0"/>
          <w:numId w:val="1"/>
        </w:numPr>
        <w:spacing w:before="0" w:after="60"/>
        <w:rPr/>
      </w:pPr>
      <w:r>
        <w:rPr>
          <w:rFonts w:eastAsia="Segoe UI" w:cs="Segoe UI" w:ascii="Segoe UI" w:hAnsi="Segoe UI"/>
          <w:color w:val="101820"/>
          <w:sz w:val="21"/>
        </w:rPr>
        <w:t>Registrations and filings: BIR returns and alphalists, registration of the computerized accounting system and of invoices and receipts, IC reports,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tax rates, ATC and GL accounts by the broker's tax adviser, and of the motor tariff with the insurers.</w:t>
      </w:r>
    </w:p>
    <w:p>
      <w:pPr>
        <w:pStyle w:val="Normal"/>
        <w:numPr>
          <w:ilvl w:val="0"/>
          <w:numId w:val="1"/>
        </w:numPr>
        <w:spacing w:before="0" w:after="60"/>
        <w:rPr/>
      </w:pPr>
      <w:r>
        <w:rPr>
          <w:rFonts w:eastAsia="Segoe UI" w:cs="Segoe UI" w:ascii="Segoe UI" w:hAnsi="Segoe UI"/>
          <w:color w:val="101820"/>
          <w:sz w:val="21"/>
        </w:rPr>
        <w:t>Retention schedules, privacy notice and the privacy management programme; policies for credit control and the premium trust account.</w:t>
      </w:r>
      <w:r>
        <w:br w:type="page"/>
      </w:r>
    </w:p>
    <w:p>
      <w:pPr>
        <w:pStyle w:val="Heading1"/>
        <w:rPr/>
      </w:pPr>
      <w:bookmarkStart w:id="59" w:name="__RefHeading___Toc9897_1894618434"/>
      <w:bookmarkEnd w:id="59"/>
      <w:r>
        <w:rPr>
          <w:rFonts w:eastAsia="Segoe UI" w:cs="Segoe UI" w:ascii="Segoe UI" w:hAnsi="Segoe UI"/>
          <w:b/>
          <w:color w:val="0F4761"/>
          <w:sz w:val="32"/>
        </w:rPr>
        <w:t>7.  Non-functional capabilities</w:t>
      </w:r>
    </w:p>
    <w:p>
      <w:pPr>
        <w:pStyle w:val="Heading2"/>
        <w:rPr/>
      </w:pPr>
      <w:bookmarkStart w:id="60" w:name="__RefHeading___Toc9899_1894618434"/>
      <w:bookmarkEnd w:id="60"/>
      <w:r>
        <w:rPr>
          <w:rFonts w:eastAsia="Segoe UI" w:cs="Segoe UI"/>
          <w:b/>
          <w:color w:val="0F4761"/>
          <w:sz w:val="26"/>
        </w:rPr>
        <w:t>7.1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only; bcrypt passwords; minimum 8 characters with four character classes, history of 5, expiry 90 days; lockout after 5 failures; sign-in rate limits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secrets encrypted with AES-256-GCM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rotated on use with reuse detection; idle sign-out after 30 minutes; sessions ended on password or role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Eight roles, deny by default; permission checked by the server on every route; record scope for scoped roles; masking of personal identifiers without </w:t>
            </w:r>
            <w:r>
              <w:rPr>
                <w:rFonts w:eastAsia="Consolas" w:cs="Consolas" w:ascii="Consolas" w:hAnsi="Consolas"/>
                <w:color w:val="101820"/>
                <w:kern w:val="0"/>
                <w:sz w:val="16"/>
                <w:szCs w:val="24"/>
                <w:lang w:val="en-US" w:eastAsia="ja-JP" w:bidi="ar-SA"/>
              </w:rPr>
              <w:t>view:pii</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Delegations, Segregation of Duties, Access Reviews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security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request validation, security headers, upload type check by file content, signed document links valid 30 minutes, CSV formula-injection guard; mapped to the OWASP Top 10 (2021)</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refuses to start with weak or missing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or localhost addresses</w:t>
            </w:r>
          </w:p>
        </w:tc>
      </w:tr>
    </w:tbl>
    <w:p>
      <w:pPr>
        <w:pStyle w:val="Normal"/>
        <w:spacing w:before="0" w:after="80"/>
        <w:rPr/>
      </w:pPr>
      <w:r>
        <w:rPr/>
      </w:r>
    </w:p>
    <w:p>
      <w:pPr>
        <w:pStyle w:val="Heading2"/>
        <w:rPr/>
      </w:pPr>
      <w:bookmarkStart w:id="61" w:name="__RefHeading___Toc9901_1894618434"/>
      <w:bookmarkEnd w:id="61"/>
      <w:r>
        <w:rPr>
          <w:rFonts w:eastAsia="Segoe UI" w:cs="Segoe UI"/>
          <w:b/>
          <w:color w:val="0F4761"/>
          <w:sz w:val="26"/>
        </w:rPr>
        <w:t>7.2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rights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personal data export, anonymisation (chapter 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fields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deletes operational logs after their retention days; business records and the audit trail are kept; anonymisation after </w:t>
            </w:r>
            <w:r>
              <w:rPr>
                <w:rFonts w:eastAsia="Consolas" w:cs="Consolas" w:ascii="Consolas" w:hAnsi="Consolas"/>
                <w:color w:val="101820"/>
                <w:kern w:val="0"/>
                <w:sz w:val="16"/>
                <w:szCs w:val="24"/>
                <w:lang w:val="en-US" w:eastAsia="ja-JP" w:bidi="ar-SA"/>
              </w:rPr>
              <w:t>privacy.retention_years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are entered on the gateway's page only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ID numbers and bank account numbers encrypted at rest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two-step secrets encrypted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data</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copies masked before use outside production; verification and DPO evidence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with the 72-hour NPC deadline</w:t>
            </w:r>
          </w:p>
        </w:tc>
      </w:tr>
    </w:tbl>
    <w:p>
      <w:pPr>
        <w:pStyle w:val="Normal"/>
        <w:spacing w:before="0" w:after="80"/>
        <w:rPr/>
      </w:pPr>
      <w:r>
        <w:rPr/>
      </w:r>
    </w:p>
    <w:p>
      <w:pPr>
        <w:pStyle w:val="Heading2"/>
        <w:rPr/>
      </w:pPr>
      <w:bookmarkStart w:id="62" w:name="__RefHeading___Toc9903_1894618434"/>
      <w:bookmarkEnd w:id="62"/>
      <w:r>
        <w:rPr>
          <w:rFonts w:eastAsia="Segoe UI" w:cs="Segoe UI"/>
          <w:b/>
          <w:color w:val="0F4761"/>
          <w:sz w:val="26"/>
        </w:rPr>
        <w:t>7.3  Availability and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any instance serves any request; scheduled jobs run once across instances; graceful shutdown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(database and pending migrations) and </w:t>
            </w:r>
            <w:r>
              <w:rPr>
                <w:rFonts w:eastAsia="Consolas" w:cs="Consolas" w:ascii="Consolas" w:hAnsi="Consolas"/>
                <w:color w:val="101820"/>
                <w:kern w:val="0"/>
                <w:sz w:val="16"/>
                <w:szCs w:val="24"/>
                <w:lang w:val="en-US" w:eastAsia="ja-JP" w:bidi="ar-SA"/>
              </w:rPr>
              <w:t>/api/health/live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topology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API instances across zones, managed PostgreSQL with standby, shared file store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recovery objectives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or database instance failure: RPO 0, RTO under 15 minutes; logical corruption: RPO 15 minutes or less, RTO 4 hours or less; regional outage: 24 hours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restore for 35 days, monthly copies to a second region, restore tests quarterly</w:t>
            </w:r>
          </w:p>
        </w:tc>
      </w:tr>
    </w:tbl>
    <w:p>
      <w:pPr>
        <w:pStyle w:val="Normal"/>
        <w:spacing w:before="0" w:after="80"/>
        <w:rPr/>
      </w:pPr>
      <w:r>
        <w:rPr/>
      </w:r>
    </w:p>
    <w:p>
      <w:pPr>
        <w:pStyle w:val="Heading2"/>
        <w:rPr/>
      </w:pPr>
      <w:bookmarkStart w:id="63" w:name="__RefHeading___Toc9905_1894618434"/>
      <w:bookmarkEnd w:id="63"/>
      <w:r>
        <w:rPr>
          <w:rFonts w:eastAsia="Segoe UI" w:cs="Segoe UI"/>
          <w:b/>
          <w:color w:val="0F4761"/>
          <w:sz w:val="26"/>
        </w:rPr>
        <w:t>7.4  Performance and capacity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Observed in the release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2,168 API calls with database writes in 29 seconds, about 13 ms per call, on a single server started with the production settings; every screen loaded within 2.6 seconds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sizing</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 named users, 80 concurrent and 50,000 policies a year on two API instances of 1 vCPU and 2 GB and a database of 2 vCPU and 8 GB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up to 50,000 rows per file; imports up to 20,000 rows per file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load test with the broker's concurrent users and month-end volumes on the production-sized server before go-live</w:t>
            </w:r>
          </w:p>
        </w:tc>
      </w:tr>
    </w:tbl>
    <w:p>
      <w:pPr>
        <w:pStyle w:val="Normal"/>
        <w:spacing w:before="0" w:after="80"/>
        <w:rPr/>
      </w:pPr>
      <w:r>
        <w:rPr/>
      </w:r>
    </w:p>
    <w:p>
      <w:pPr>
        <w:pStyle w:val="Heading2"/>
        <w:rPr/>
      </w:pPr>
      <w:bookmarkStart w:id="64" w:name="__RefHeading___Toc9907_1894618434"/>
      <w:bookmarkEnd w:id="64"/>
      <w:r>
        <w:rPr>
          <w:rFonts w:eastAsia="Segoe UI" w:cs="Segoe UI"/>
          <w:b/>
          <w:color w:val="0F4761"/>
          <w:sz w:val="26"/>
        </w:rPr>
        <w:t>7.5  Audit and traceability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create, update, approval, report run and sign-in with before and after values, user, IP and time; kept by default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financial documents cancelled or reversed,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soft-closed, closed and locked periods; reopening recorded with remarks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field changes and status history, bank reconciliation history, remittance approvals, sign-in history</w:t>
            </w:r>
          </w:p>
        </w:tc>
      </w:tr>
    </w:tbl>
    <w:p>
      <w:pPr>
        <w:pStyle w:val="Normal"/>
        <w:spacing w:before="0" w:after="80"/>
        <w:rPr/>
      </w:pPr>
      <w:r>
        <w:rPr/>
      </w:r>
    </w:p>
    <w:p>
      <w:pPr>
        <w:pStyle w:val="Heading2"/>
        <w:rPr/>
      </w:pPr>
      <w:bookmarkStart w:id="65" w:name="__RefHeading___Toc9909_1894618434"/>
      <w:bookmarkEnd w:id="65"/>
      <w:r>
        <w:rPr>
          <w:rFonts w:eastAsia="Segoe UI" w:cs="Segoe UI"/>
          <w:b/>
          <w:color w:val="0F4761"/>
          <w:sz w:val="26"/>
        </w:rPr>
        <w:t>7.6  Usability and localisation</w:t>
      </w:r>
    </w:p>
    <w:p>
      <w:pPr>
        <w:pStyle w:val="Normal"/>
        <w:numPr>
          <w:ilvl w:val="0"/>
          <w:numId w:val="1"/>
        </w:numPr>
        <w:spacing w:before="0" w:after="60"/>
        <w:rPr/>
      </w:pPr>
      <w:r>
        <w:rPr>
          <w:rFonts w:eastAsia="Segoe UI" w:cs="Segoe UI" w:ascii="Segoe UI" w:hAnsi="Segoe UI"/>
          <w:color w:val="101820"/>
          <w:sz w:val="21"/>
        </w:rPr>
        <w:t>Browser application, no installation on user devices; Nunito font bundled.</w:t>
      </w:r>
    </w:p>
    <w:p>
      <w:pPr>
        <w:pStyle w:val="Normal"/>
        <w:numPr>
          <w:ilvl w:val="0"/>
          <w:numId w:val="1"/>
        </w:numPr>
        <w:spacing w:before="0" w:after="60"/>
        <w:rPr/>
      </w:pPr>
      <w:r>
        <w:rPr>
          <w:rFonts w:eastAsia="Segoe UI" w:cs="Segoe UI" w:ascii="Segoe UI" w:hAnsi="Segoe UI"/>
          <w:color w:val="101820"/>
          <w:sz w:val="21"/>
        </w:rPr>
        <w:t>English screens; Philippine formats for money, dates, mobile numbers, ZIP codes and IDs; business time zone Asia/Manila.</w:t>
      </w:r>
    </w:p>
    <w:p>
      <w:pPr>
        <w:pStyle w:val="Normal"/>
        <w:numPr>
          <w:ilvl w:val="0"/>
          <w:numId w:val="1"/>
        </w:numPr>
        <w:spacing w:before="0" w:after="60"/>
        <w:rPr/>
      </w:pPr>
      <w:r>
        <w:rPr>
          <w:rFonts w:eastAsia="Segoe UI" w:cs="Segoe UI" w:ascii="Segoe UI" w:hAnsi="Segoe UI"/>
          <w:color w:val="101820"/>
          <w:sz w:val="21"/>
        </w:rPr>
        <w:t>Lists paged by the server (20, 50 or 100 rows per page) with search and filters, so long lists open quickly; add and edit forms as side panels; status tags by colour.</w:t>
      </w:r>
    </w:p>
    <w:p>
      <w:pPr>
        <w:pStyle w:val="Heading2"/>
        <w:rPr/>
      </w:pPr>
      <w:bookmarkStart w:id="66" w:name="__RefHeading___Toc9911_1894618434"/>
      <w:bookmarkEnd w:id="66"/>
      <w:r>
        <w:rPr>
          <w:rFonts w:eastAsia="Segoe UI" w:cs="Segoe UI"/>
          <w:b/>
          <w:color w:val="0F4761"/>
          <w:sz w:val="26"/>
        </w:rPr>
        <w:t>7.7  Maintainability and interfaces</w:t>
      </w:r>
    </w:p>
    <w:p>
      <w:pPr>
        <w:pStyle w:val="Normal"/>
        <w:numPr>
          <w:ilvl w:val="0"/>
          <w:numId w:val="1"/>
        </w:numPr>
        <w:spacing w:before="0" w:after="60"/>
        <w:rPr/>
      </w:pPr>
      <w:r>
        <w:rPr>
          <w:rFonts w:eastAsia="Segoe UI" w:cs="Segoe UI" w:ascii="Segoe UI" w:hAnsi="Segoe UI"/>
          <w:color w:val="101820"/>
          <w:sz w:val="21"/>
        </w:rPr>
        <w:t>React 18, Node.js 22, PostgreSQL 16; 13 direct runtime dependencies in the API, all under permissive licences.</w:t>
      </w:r>
    </w:p>
    <w:p>
      <w:pPr>
        <w:pStyle w:val="Normal"/>
        <w:numPr>
          <w:ilvl w:val="0"/>
          <w:numId w:val="1"/>
        </w:numPr>
        <w:spacing w:before="0" w:after="60"/>
        <w:rPr/>
      </w:pPr>
      <w:r>
        <w:rPr>
          <w:rFonts w:eastAsia="Segoe UI" w:cs="Segoe UI" w:ascii="Segoe UI" w:hAnsi="Segoe UI"/>
          <w:color w:val="101820"/>
          <w:sz w:val="21"/>
        </w:rPr>
        <w:t>868 API routes listed in OpenAPI, a Postman collection and an Excel touchpoint workbook from screen to route.</w:t>
      </w:r>
    </w:p>
    <w:p>
      <w:pPr>
        <w:pStyle w:val="Normal"/>
        <w:numPr>
          <w:ilvl w:val="0"/>
          <w:numId w:val="1"/>
        </w:numPr>
        <w:spacing w:before="0" w:after="60"/>
        <w:rPr/>
      </w:pPr>
      <w:r>
        <w:rPr>
          <w:rFonts w:eastAsia="Segoe UI" w:cs="Segoe UI" w:ascii="Segoe UI" w:hAnsi="Segoe UI"/>
          <w:color w:val="101820"/>
          <w:sz w:val="21"/>
        </w:rPr>
        <w:t>Database migrations applied on start under a lock; migrations only add to the schema.</w:t>
      </w:r>
    </w:p>
    <w:p>
      <w:pPr>
        <w:pStyle w:val="Normal"/>
        <w:numPr>
          <w:ilvl w:val="0"/>
          <w:numId w:val="1"/>
        </w:numPr>
        <w:spacing w:before="0" w:after="60"/>
        <w:rPr/>
      </w:pPr>
      <w:r>
        <w:rPr>
          <w:rFonts w:eastAsia="Segoe UI" w:cs="Segoe UI" w:ascii="Segoe UI" w:hAnsi="Segoe UI"/>
          <w:color w:val="101820"/>
          <w:sz w:val="21"/>
        </w:rPr>
        <w:t>Automated backend tests against a real PostgreSQL database on every pull request.</w:t>
      </w:r>
      <w:r>
        <w:br w:type="page"/>
      </w:r>
    </w:p>
    <w:p>
      <w:pPr>
        <w:pStyle w:val="Heading1"/>
        <w:rPr/>
      </w:pPr>
      <w:bookmarkStart w:id="67" w:name="__RefHeading___Toc9913_1894618434"/>
      <w:bookmarkEnd w:id="67"/>
      <w:r>
        <w:rPr>
          <w:rFonts w:eastAsia="Segoe UI" w:cs="Segoe UI" w:ascii="Segoe UI" w:hAnsi="Segoe UI"/>
          <w:b/>
          <w:color w:val="0F4761"/>
          <w:sz w:val="32"/>
        </w:rPr>
        <w:t>8.  Deployment and support</w:t>
      </w:r>
    </w:p>
    <w:p>
      <w:pPr>
        <w:pStyle w:val="Heading2"/>
        <w:rPr/>
      </w:pPr>
      <w:bookmarkStart w:id="68" w:name="__RefHeading___Toc9915_1894618434"/>
      <w:bookmarkEnd w:id="68"/>
      <w:r>
        <w:rPr>
          <w:rFonts w:eastAsia="Segoe UI" w:cs="Segoe UI"/>
          <w:b/>
          <w:color w:val="0F4761"/>
          <w:sz w:val="26"/>
        </w:rPr>
        <w:t>8.1  Deployment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5329"/>
        <w:gridCol w:w="1985"/>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5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and CloudFront, API containers behind a load balancer, RDS for PostgreSQL Multi-AZ, EFS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Container Apps, PostgreSQL Flexible Server, Azure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in a Philippine data centre, PostgreSQL primary and standby, NFS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On-premise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servers with Docker or Node.js under PM2, nginx reverse proxy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 broker's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in Singapore is a cross-border transfer under the Data Privacy Act, which the broker documents and covers by contract. A broker that wants the system of record in the Philippines chooses a local partner or on-premise.</w:t>
      </w:r>
    </w:p>
    <w:p>
      <w:pPr>
        <w:pStyle w:val="Heading2"/>
        <w:rPr/>
      </w:pPr>
      <w:bookmarkStart w:id="69" w:name="__RefHeading___Toc9917_1894618434"/>
      <w:bookmarkEnd w:id="69"/>
      <w:r>
        <w:rPr>
          <w:rFonts w:eastAsia="Segoe UI" w:cs="Segoe UI"/>
          <w:b/>
          <w:color w:val="0F4761"/>
          <w:sz w:val="26"/>
        </w:rPr>
        <w:t>8.2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1643"/>
        <w:gridCol w:w="1701"/>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w:t>
            </w:r>
          </w:p>
        </w:tc>
        <w:tc>
          <w:tcPr>
            <w:tcW w:w="1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more than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(20-week plan)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Phases: mobilisation, discovery and fit-gap, environment set-up, configuration, data migration, integrations, training, system integration test, user acceptance test, cutover, go-live and hypercare until the first month-end close is done.</w:t>
      </w:r>
    </w:p>
    <w:p>
      <w:pPr>
        <w:pStyle w:val="Heading2"/>
        <w:rPr/>
      </w:pPr>
      <w:bookmarkStart w:id="70" w:name="__RefHeading___Toc9919_1894618434"/>
      <w:bookmarkEnd w:id="70"/>
      <w:r>
        <w:rPr>
          <w:rFonts w:eastAsia="Segoe UI" w:cs="Segoe UI"/>
          <w:b/>
          <w:color w:val="0F4761"/>
          <w:sz w:val="26"/>
        </w:rPr>
        <w:t>8.3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3"/>
        <w:gridCol w:w="2835"/>
        <w:gridCol w:w="5387"/>
      </w:tblGrid>
      <w:tr>
        <w:trPr>
          <w:tblHeader w:val="true"/>
        </w:trPr>
        <w:tc>
          <w:tcPr>
            <w:tcW w:w="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5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System Administrator</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and passwords, settings and master data, logging tickets with evidence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performance, infrastructure, security incidents, root-cause analysis, releases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835"/>
        <w:gridCol w:w="3912"/>
      </w:tblGrid>
      <w:tr>
        <w:trPr>
          <w:tblHeader w:val="true"/>
        </w:trPr>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3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or workaround</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runs 8:00 to 18:00 Philippine time, Monday to Friday, except regular holidays; 24 x 7 cover for P1 is an option. These targets are the iorta TechNXT standard proposal and are fixed in the support agreement.</w:t>
      </w:r>
      <w:r>
        <w:br w:type="page"/>
      </w:r>
    </w:p>
    <w:p>
      <w:pPr>
        <w:pStyle w:val="Heading1"/>
        <w:rPr/>
      </w:pPr>
      <w:bookmarkStart w:id="71" w:name="__RefHeading___Toc9921_1894618434"/>
      <w:bookmarkEnd w:id="71"/>
      <w:r>
        <w:rPr>
          <w:rFonts w:eastAsia="Segoe UI" w:cs="Segoe UI" w:ascii="Segoe UI" w:hAnsi="Segoe UI"/>
          <w:b/>
          <w:color w:val="0F4761"/>
          <w:sz w:val="32"/>
        </w:rPr>
        <w:t>9.  Feature checklist for vendor comparison</w:t>
      </w:r>
    </w:p>
    <w:p>
      <w:pPr>
        <w:pStyle w:val="Normal"/>
        <w:spacing w:lineRule="auto" w:line="276" w:before="0" w:after="120"/>
        <w:rPr/>
      </w:pPr>
      <w:r>
        <w:rPr>
          <w:rFonts w:eastAsia="Segoe UI" w:cs="Segoe UI" w:ascii="Segoe UI" w:hAnsi="Segoe UI"/>
          <w:color w:val="101820"/>
          <w:sz w:val="21"/>
        </w:rPr>
        <w:t xml:space="preserve">The table lists capabilities a Philippine non-life broker typically compares. The BrokerVerse column states what the OOTB edition does: </w:t>
      </w:r>
      <w:r>
        <w:rPr>
          <w:rFonts w:eastAsia="Segoe UI" w:cs="Segoe UI" w:ascii="Segoe UI" w:hAnsi="Segoe UI"/>
          <w:b/>
          <w:color w:val="101820"/>
          <w:sz w:val="21"/>
        </w:rPr>
        <w:t>Yes</w:t>
      </w:r>
      <w:r>
        <w:rPr>
          <w:rFonts w:eastAsia="Segoe UI" w:cs="Segoe UI" w:ascii="Segoe UI" w:hAnsi="Segoe UI"/>
          <w:color w:val="101820"/>
          <w:sz w:val="21"/>
        </w:rPr>
        <w:t xml:space="preserve"> (delivered), </w:t>
      </w:r>
      <w:r>
        <w:rPr>
          <w:rFonts w:eastAsia="Segoe UI" w:cs="Segoe UI" w:ascii="Segoe UI" w:hAnsi="Segoe UI"/>
          <w:b/>
          <w:color w:val="101820"/>
          <w:sz w:val="21"/>
        </w:rPr>
        <w:t>Configurable</w:t>
      </w:r>
      <w:r>
        <w:rPr>
          <w:rFonts w:eastAsia="Segoe UI" w:cs="Segoe UI" w:ascii="Segoe UI" w:hAnsi="Segoe UI"/>
          <w:color w:val="101820"/>
          <w:sz w:val="21"/>
        </w:rPr>
        <w:t xml:space="preserve"> (delivered, set by configuration), </w:t>
      </w:r>
      <w:r>
        <w:rPr>
          <w:rFonts w:eastAsia="Segoe UI" w:cs="Segoe UI" w:ascii="Segoe UI" w:hAnsi="Segoe UI"/>
          <w:b/>
          <w:color w:val="101820"/>
          <w:sz w:val="21"/>
        </w:rPr>
        <w:t>Partial</w:t>
      </w:r>
      <w:r>
        <w:rPr>
          <w:rFonts w:eastAsia="Segoe UI" w:cs="Segoe UI" w:ascii="Segoe UI" w:hAnsi="Segoe UI"/>
          <w:color w:val="101820"/>
          <w:sz w:val="21"/>
        </w:rPr>
        <w:t xml:space="preserve"> (part of the need is met, see the note) or </w:t>
      </w:r>
      <w:r>
        <w:rPr>
          <w:rFonts w:eastAsia="Segoe UI" w:cs="Segoe UI" w:ascii="Segoe UI" w:hAnsi="Segoe UI"/>
          <w:b/>
          <w:color w:val="101820"/>
          <w:sz w:val="21"/>
        </w:rPr>
        <w:t>No</w:t>
      </w:r>
      <w:r>
        <w:rPr>
          <w:rFonts w:eastAsia="Segoe UI" w:cs="Segoe UI" w:ascii="Segoe UI" w:hAnsi="Segoe UI"/>
          <w:color w:val="101820"/>
          <w:sz w:val="21"/>
        </w:rPr>
        <w:t xml:space="preserve"> (not in OOTB, available as a change request). The last two columns are left for the broker's evaluation.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0"/>
        <w:gridCol w:w="3743"/>
        <w:gridCol w:w="1360"/>
        <w:gridCol w:w="1587"/>
        <w:gridCol w:w="908"/>
        <w:gridCol w:w="906"/>
      </w:tblGrid>
      <w:tr>
        <w:trPr>
          <w:tblHeader w:val="true"/>
        </w:trPr>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3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Capability</w:t>
            </w:r>
          </w:p>
        </w:tc>
        <w:tc>
          <w:tcPr>
            <w:tcW w:w="1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BrokerVerse OOTB</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B</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C</w:t>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with bulk upload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of packaged products from insurer rate tables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Side-by-side comparison of insurers for a client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 quotation with CTPL tariff per vehicle class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Server-side re-pricing of every quotation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client approval of quotations without sign-in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several insurers with offers and declines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Offer comparison with best offer and market capacity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Co-insurance with lead and shares totalling 100%</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with confirmation per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journey rules per line of business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issued by the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capture with government ID for motor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billed and direct bill per policy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with re-pricing and return premium</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full, partial and pro-rata</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with insurer notice, adjuster and settlement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paid through the broker with recoveries by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with notices at 60, 30 and 15 days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scoring and win-back campaigns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invoices and official receipts on letterhead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 and invoice e-mailed with PDF attachment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links with automatic receipt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PayMongo, Dragonpay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ageing and automatic reminders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Instalment plans and premium warranty monitor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 net of commission, by co-insurer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approval limits per role or user in the Authority Matrix</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commission debit notes with VAT and EWT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 matrix by insurer, product and policy type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 commission payable on full collection, less WHT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programmes for account executives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Double-entry general ledger fed by posting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correction and reversal vouchers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with checklist and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Year-end close and financial statements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 and automatic matching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statement reconciliation with differences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DST, LGT, VAT and FST per line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issued and received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VAT Summary, SAWT, QAP, SLSP</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filing to BIR eFPS or eBIRForms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treaties, cessions, bordereaux and recoveries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with tariff and rating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 reports in Excel, CSV and PDF with scheduled e-mail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dashboards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In-app notifications, including every approval request and decision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with server-side permission checks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Two-step verification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with before and after values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per purpose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request register with due dates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export and anonymisation with retention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Field-level encryption of personal identifiers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TIN, ID and bank account numbers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system integration by API</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per insurer; test mode until the insurer certifies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generation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Starter layouts validated with each bank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notifications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gateway contract; optional Viber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IC-format regulatory reports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statement workbook and production report; accountant confirms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and sanctions screening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Lists loaded by the broker; provider optional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Filipino user interface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English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on AWS, Azure, a Philippine partner or on-premise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API documentation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OpenAPI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 assignment rules by territory, line and source, with reassignment queue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Dealer, bank and affinity channels with production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Brand-new vehicle programmes with dealer upload and bank endorsement letter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Fleet policy with per-vehicle premium and CTPL, pro-rata endorsements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Marine open cover with certificates and declarations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Facultative reinsurance placement with slip and bordereau</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comparison and recommendation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marketing campaigns to consenting clients with opt-out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Sent through the e-mail outbox</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Ad hoc report builder with saved, shared reports and BI extract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 extract to file storage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register with commission block for unlicensed agents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register with deadlines and regulator report (RA 11765)</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breach register with the 72-hour clock</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Masking of personal data on screens and exports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COC authentication and LTO feed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contract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notes, computed cancellation (pro-rata, short-period)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Post-dated cheque register and instalment invoices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document checklist and motor repair letters of authority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payable and fixed assets with depreciation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0619-E, 1601-EQ, 1604-E, 2551Q, DAT files, EOPT invoices, CAS books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Filing by the broker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data workbench with reconciliation and environment comparison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Theme, branded documents and e-signatures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 PSGC geography and reference masters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worklist per user (My Work)</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activity log (calls, meetings, e-mails, visits) with follow-up tasks and activity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covers and risk details driven by the product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for suppliers, supplier EWT in QAP, 1601-EQ and 1604-E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Fixed asset disposal with gain or loss and output VAT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72" w:name="__RefHeading___Toc9923_1894618434"/>
      <w:bookmarkEnd w:id="72"/>
      <w:r>
        <w:rPr>
          <w:rFonts w:eastAsia="Segoe UI" w:cs="Segoe UI" w:ascii="Segoe UI" w:hAnsi="Segoe UI"/>
          <w:b/>
          <w:color w:val="0F4761"/>
          <w:sz w:val="32"/>
        </w:rPr>
        <w:t>10.  Points to note in this release</w:t>
      </w:r>
    </w:p>
    <w:p>
      <w:pPr>
        <w:pStyle w:val="Normal"/>
        <w:spacing w:lineRule="auto" w:line="276" w:before="0" w:after="120"/>
        <w:rPr/>
      </w:pPr>
      <w:r>
        <w:rPr>
          <w:rFonts w:eastAsia="Segoe UI" w:cs="Segoe UI" w:ascii="Segoe UI" w:hAnsi="Segoe UI"/>
          <w:color w:val="101820"/>
          <w:sz w:val="21"/>
        </w:rPr>
        <w:t>These points come from the release test and the user manual. None of them stops the end-to-end cycle.</w:t>
      </w:r>
    </w:p>
    <w:p>
      <w:pPr>
        <w:pStyle w:val="Normal"/>
        <w:numPr>
          <w:ilvl w:val="0"/>
          <w:numId w:val="1"/>
        </w:numPr>
        <w:spacing w:before="0" w:after="60"/>
        <w:rPr/>
      </w:pPr>
      <w:r>
        <w:rPr>
          <w:rFonts w:eastAsia="Segoe UI" w:cs="Segoe UI" w:ascii="Segoe UI" w:hAnsi="Segoe UI"/>
          <w:color w:val="101820"/>
          <w:sz w:val="21"/>
        </w:rPr>
        <w:t>The sign-in session is kept in the browser's local storage; a change to an httpOnly cookie is planned.</w:t>
      </w:r>
    </w:p>
    <w:p>
      <w:pPr>
        <w:pStyle w:val="Normal"/>
        <w:numPr>
          <w:ilvl w:val="0"/>
          <w:numId w:val="1"/>
        </w:numPr>
        <w:spacing w:before="0" w:after="60"/>
        <w:rPr/>
      </w:pPr>
      <w:r>
        <w:rPr>
          <w:rFonts w:eastAsia="Segoe UI" w:cs="Segoe UI" w:ascii="Segoe UI" w:hAnsi="Segoe UI"/>
          <w:color w:val="101820"/>
          <w:sz w:val="21"/>
        </w:rPr>
        <w:t>Field encryption covers TIN, ID numbers and bank account numbers; other personal data relies on encryption of the database storage and backups.</w:t>
      </w:r>
    </w:p>
    <w:p>
      <w:pPr>
        <w:pStyle w:val="Normal"/>
        <w:numPr>
          <w:ilvl w:val="0"/>
          <w:numId w:val="1"/>
        </w:numPr>
        <w:spacing w:before="0" w:after="60"/>
        <w:rPr/>
      </w:pPr>
      <w:r>
        <w:rPr>
          <w:rFonts w:eastAsia="Segoe UI" w:cs="Segoe UI" w:ascii="Segoe UI" w:hAnsi="Segoe UI"/>
          <w:color w:val="101820"/>
          <w:sz w:val="21"/>
        </w:rPr>
        <w:t>The integration adapters (SMS, Viber, CTPL authentication, LTO, insurer API, bank files, EIS, screening provider) are delivered in test mode; each goes live after the partner's contract and certification.</w:t>
      </w:r>
    </w:p>
    <w:p>
      <w:pPr>
        <w:pStyle w:val="Normal"/>
        <w:numPr>
          <w:ilvl w:val="0"/>
          <w:numId w:val="1"/>
        </w:numPr>
        <w:spacing w:before="0" w:after="60"/>
        <w:rPr/>
      </w:pPr>
      <w:r>
        <w:rPr>
          <w:rFonts w:eastAsia="Segoe UI" w:cs="Segoe UI" w:ascii="Segoe UI" w:hAnsi="Segoe UI"/>
          <w:color w:val="101820"/>
          <w:sz w:val="21"/>
        </w:rPr>
        <w:t>A front-end library (react-router) carries a moderate security advisory; the upgrade is planned for the next minor release.</w:t>
      </w:r>
    </w:p>
    <w:p>
      <w:pPr>
        <w:pStyle w:val="Normal"/>
        <w:numPr>
          <w:ilvl w:val="0"/>
          <w:numId w:val="1"/>
        </w:numPr>
        <w:spacing w:before="0" w:after="60"/>
        <w:rPr/>
      </w:pPr>
      <w:r>
        <w:rPr>
          <w:rFonts w:eastAsia="Segoe UI" w:cs="Segoe UI" w:ascii="Segoe UI" w:hAnsi="Segoe UI"/>
          <w:color w:val="101820"/>
          <w:sz w:val="21"/>
        </w:rPr>
        <w:t>Several masters have no Upload button yet; their templates are loaded by the System Administrator.</w:t>
      </w:r>
    </w:p>
    <w:p>
      <w:pPr>
        <w:pStyle w:val="Normal"/>
        <w:numPr>
          <w:ilvl w:val="0"/>
          <w:numId w:val="1"/>
        </w:numPr>
        <w:spacing w:before="0" w:after="60"/>
        <w:rPr/>
      </w:pPr>
      <w:r>
        <w:rPr>
          <w:rFonts w:eastAsia="Segoe UI" w:cs="Segoe UI" w:ascii="Segoe UI" w:hAnsi="Segoe UI"/>
          <w:color w:val="101820"/>
          <w:sz w:val="21"/>
        </w:rPr>
        <w:t>The BIR reports give the figures in the BIR column order; the broker validates them with the BIR's tools before filing.</w:t>
      </w:r>
    </w:p>
    <w:p>
      <w:pPr>
        <w:pStyle w:val="Normal"/>
        <w:numPr>
          <w:ilvl w:val="0"/>
          <w:numId w:val="1"/>
        </w:numPr>
        <w:spacing w:before="0" w:after="60"/>
        <w:rPr/>
      </w:pPr>
      <w:r>
        <w:rPr>
          <w:rFonts w:eastAsia="Segoe UI" w:cs="Segoe UI" w:ascii="Segoe UI" w:hAnsi="Segoe UI"/>
          <w:color w:val="101820"/>
          <w:sz w:val="21"/>
        </w:rPr>
        <w:t>No load test has been run yet; a load test on the production-sized environment is recommended before go-live.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73" w:name="__RefHeading___Toc9925_1894618434"/>
      <w:bookmarkStart w:id="74" w:name="_Toc233203395"/>
      <w:bookmarkEnd w:id="73"/>
      <w:r>
        <w:rPr>
          <w:rStyle w:val="BookTitle"/>
          <w:bCs w:val="false"/>
          <w:i w:val="false"/>
          <w:iCs w:val="false"/>
          <w:spacing w:val="0"/>
        </w:rPr>
        <w:t>11.  Document Sign-Off</w:t>
      </w:r>
      <w:bookmarkEnd w:id="7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78">
            <wp:simplePos x="0" y="0"/>
            <wp:positionH relativeFrom="margin">
              <wp:align>center</wp:align>
            </wp:positionH>
            <wp:positionV relativeFrom="margin">
              <wp:align>center</wp:align>
            </wp:positionV>
            <wp:extent cx="7548245" cy="10677525"/>
            <wp:effectExtent l="0" t="0" r="0" b="0"/>
            <wp:wrapNone/>
            <wp:docPr id="2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
                    <pic:cNvPicPr>
                      <a:picLocks noChangeAspect="1" noChangeArrowheads="1"/>
                    </pic:cNvPicPr>
                  </pic:nvPicPr>
                  <pic:blipFill>
                    <a:blip r:embed="rId24"/>
                    <a:stretch>
                      <a:fillRect/>
                    </a:stretch>
                  </pic:blipFill>
                  <pic:spPr bwMode="auto">
                    <a:xfrm>
                      <a:off x="0" y="0"/>
                      <a:ext cx="7548245" cy="10677525"/>
                    </a:xfrm>
                    <a:prstGeom prst="rect">
                      <a:avLst/>
                    </a:prstGeom>
                  </pic:spPr>
                </pic:pic>
              </a:graphicData>
            </a:graphic>
          </wp:anchor>
        </w:drawing>
      </w:r>
    </w:p>
    <w:sectPr>
      <w:footerReference w:type="default" r:id="rId25"/>
      <w:footerReference w:type="first" r:id="rId2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77">
          <wp:simplePos x="0" y="0"/>
          <wp:positionH relativeFrom="page">
            <wp:align>left</wp:align>
          </wp:positionH>
          <wp:positionV relativeFrom="paragraph">
            <wp:posOffset>-708025</wp:posOffset>
          </wp:positionV>
          <wp:extent cx="8778240" cy="885190"/>
          <wp:effectExtent l="0" t="0" r="0" b="0"/>
          <wp:wrapNone/>
          <wp:docPr id="2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77">
          <wp:simplePos x="0" y="0"/>
          <wp:positionH relativeFrom="page">
            <wp:align>left</wp:align>
          </wp:positionH>
          <wp:positionV relativeFrom="paragraph">
            <wp:posOffset>-708025</wp:posOffset>
          </wp:positionV>
          <wp:extent cx="8778240" cy="885190"/>
          <wp:effectExtent l="0" t="0" r="0" b="0"/>
          <wp:wrapNone/>
          <wp:docPr id="3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24.png"/>
</Relationships>
</file>

<file path=word/_rels/footer2.xml.rels><?xml version="1.0" encoding="UTF-8"?>
<Relationships xmlns="http://schemas.openxmlformats.org/package/2006/relationships"><Relationship Id="rId1" Type="http://schemas.openxmlformats.org/officeDocument/2006/relationships/image" Target="media/image2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