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9264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9266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9268_3199679052">
            <w:r>
              <w:rPr>
                <w:webHidden/>
                <w:rStyle w:val="IndexLink"/>
              </w:rPr>
              <w:t>3. About this template</w:t>
              <w:tab/>
              <w:t>3</w:t>
            </w:r>
          </w:hyperlink>
        </w:p>
        <w:p>
          <w:pPr>
            <w:pStyle w:val="TOC1"/>
            <w:tabs>
              <w:tab w:val="clear" w:pos="900"/>
              <w:tab w:val="clear" w:pos="9350"/>
              <w:tab w:val="right" w:pos="9025" w:leader="dot"/>
            </w:tabs>
            <w:rPr/>
          </w:pPr>
          <w:hyperlink w:anchor="__RefHeading___Toc29270_3199679052">
            <w:r>
              <w:rPr>
                <w:webHidden/>
                <w:rStyle w:val="IndexLink"/>
              </w:rPr>
              <w:t>4. Agreement</w:t>
              <w:tab/>
              <w:t>5</w:t>
            </w:r>
          </w:hyperlink>
        </w:p>
        <w:p>
          <w:pPr>
            <w:pStyle w:val="TOC2"/>
            <w:tabs>
              <w:tab w:val="clear" w:pos="900"/>
              <w:tab w:val="clear" w:pos="9350"/>
              <w:tab w:val="right" w:pos="9025" w:leader="dot"/>
            </w:tabs>
            <w:rPr/>
          </w:pPr>
          <w:hyperlink w:anchor="__RefHeading___Toc29272_3199679052">
            <w:r>
              <w:rPr>
                <w:webHidden/>
                <w:rStyle w:val="IndexLink"/>
              </w:rPr>
              <w:t>4.1 Parties</w:t>
              <w:tab/>
              <w:t>5</w:t>
            </w:r>
          </w:hyperlink>
        </w:p>
        <w:p>
          <w:pPr>
            <w:pStyle w:val="TOC2"/>
            <w:tabs>
              <w:tab w:val="clear" w:pos="900"/>
              <w:tab w:val="clear" w:pos="9350"/>
              <w:tab w:val="right" w:pos="9025" w:leader="dot"/>
            </w:tabs>
            <w:rPr/>
          </w:pPr>
          <w:hyperlink w:anchor="__RefHeading___Toc29274_3199679052">
            <w:r>
              <w:rPr>
                <w:webHidden/>
                <w:rStyle w:val="IndexLink"/>
              </w:rPr>
              <w:t>4.2 Purpose</w:t>
              <w:tab/>
              <w:t>5</w:t>
            </w:r>
          </w:hyperlink>
        </w:p>
        <w:p>
          <w:pPr>
            <w:pStyle w:val="TOC2"/>
            <w:tabs>
              <w:tab w:val="clear" w:pos="900"/>
              <w:tab w:val="clear" w:pos="9350"/>
              <w:tab w:val="right" w:pos="9025" w:leader="dot"/>
            </w:tabs>
            <w:rPr/>
          </w:pPr>
          <w:hyperlink w:anchor="__RefHeading___Toc29276_3199679052">
            <w:r>
              <w:rPr>
                <w:webHidden/>
                <w:rStyle w:val="IndexLink"/>
              </w:rPr>
              <w:t>4.3 Confidential Information</w:t>
              <w:tab/>
              <w:t>5</w:t>
            </w:r>
          </w:hyperlink>
        </w:p>
        <w:p>
          <w:pPr>
            <w:pStyle w:val="TOC2"/>
            <w:tabs>
              <w:tab w:val="clear" w:pos="900"/>
              <w:tab w:val="clear" w:pos="9350"/>
              <w:tab w:val="right" w:pos="9025" w:leader="dot"/>
            </w:tabs>
            <w:rPr/>
          </w:pPr>
          <w:hyperlink w:anchor="__RefHeading___Toc29278_3199679052">
            <w:r>
              <w:rPr>
                <w:webHidden/>
                <w:rStyle w:val="IndexLink"/>
              </w:rPr>
              <w:t>4.4 Obligations</w:t>
              <w:tab/>
              <w:t>5</w:t>
            </w:r>
          </w:hyperlink>
        </w:p>
        <w:p>
          <w:pPr>
            <w:pStyle w:val="TOC2"/>
            <w:tabs>
              <w:tab w:val="clear" w:pos="900"/>
              <w:tab w:val="clear" w:pos="9350"/>
              <w:tab w:val="right" w:pos="9025" w:leader="dot"/>
            </w:tabs>
            <w:rPr/>
          </w:pPr>
          <w:hyperlink w:anchor="__RefHeading___Toc29280_3199679052">
            <w:r>
              <w:rPr>
                <w:webHidden/>
                <w:rStyle w:val="IndexLink"/>
              </w:rPr>
              <w:t>4.5 Disclosure required by law</w:t>
              <w:tab/>
              <w:t>6</w:t>
            </w:r>
          </w:hyperlink>
        </w:p>
        <w:p>
          <w:pPr>
            <w:pStyle w:val="TOC2"/>
            <w:tabs>
              <w:tab w:val="clear" w:pos="900"/>
              <w:tab w:val="clear" w:pos="9350"/>
              <w:tab w:val="right" w:pos="9025" w:leader="dot"/>
            </w:tabs>
            <w:rPr/>
          </w:pPr>
          <w:hyperlink w:anchor="__RefHeading___Toc29282_3199679052">
            <w:r>
              <w:rPr>
                <w:webHidden/>
                <w:rStyle w:val="IndexLink"/>
              </w:rPr>
              <w:t>4.6 Personal data</w:t>
              <w:tab/>
              <w:t>6</w:t>
            </w:r>
          </w:hyperlink>
        </w:p>
        <w:p>
          <w:pPr>
            <w:pStyle w:val="TOC2"/>
            <w:tabs>
              <w:tab w:val="clear" w:pos="900"/>
              <w:tab w:val="clear" w:pos="9350"/>
              <w:tab w:val="right" w:pos="9025" w:leader="dot"/>
            </w:tabs>
            <w:rPr/>
          </w:pPr>
          <w:hyperlink w:anchor="__RefHeading___Toc29284_3199679052">
            <w:r>
              <w:rPr>
                <w:webHidden/>
                <w:rStyle w:val="IndexLink"/>
              </w:rPr>
              <w:t>4.7 Return and destruction</w:t>
              <w:tab/>
              <w:t>6</w:t>
            </w:r>
          </w:hyperlink>
        </w:p>
        <w:p>
          <w:pPr>
            <w:pStyle w:val="TOC2"/>
            <w:tabs>
              <w:tab w:val="clear" w:pos="900"/>
              <w:tab w:val="clear" w:pos="9350"/>
              <w:tab w:val="right" w:pos="9025" w:leader="dot"/>
            </w:tabs>
            <w:rPr/>
          </w:pPr>
          <w:hyperlink w:anchor="__RefHeading___Toc29286_3199679052">
            <w:r>
              <w:rPr>
                <w:webHidden/>
                <w:rStyle w:val="IndexLink"/>
              </w:rPr>
              <w:t>4.8 No licence and no obligation</w:t>
              <w:tab/>
              <w:t>6</w:t>
            </w:r>
          </w:hyperlink>
        </w:p>
        <w:p>
          <w:pPr>
            <w:pStyle w:val="TOC2"/>
            <w:tabs>
              <w:tab w:val="clear" w:pos="900"/>
              <w:tab w:val="clear" w:pos="9350"/>
              <w:tab w:val="right" w:pos="9025" w:leader="dot"/>
            </w:tabs>
            <w:rPr/>
          </w:pPr>
          <w:hyperlink w:anchor="__RefHeading___Toc29288_3199679052">
            <w:r>
              <w:rPr>
                <w:webHidden/>
                <w:rStyle w:val="IndexLink"/>
              </w:rPr>
              <w:t>4.9 Non-solicitation</w:t>
              <w:tab/>
              <w:t>6</w:t>
            </w:r>
          </w:hyperlink>
        </w:p>
        <w:p>
          <w:pPr>
            <w:pStyle w:val="TOC2"/>
            <w:tabs>
              <w:tab w:val="clear" w:pos="900"/>
              <w:tab w:val="clear" w:pos="9350"/>
              <w:tab w:val="right" w:pos="9025" w:leader="dot"/>
            </w:tabs>
            <w:rPr/>
          </w:pPr>
          <w:hyperlink w:anchor="__RefHeading___Toc29290_3199679052">
            <w:r>
              <w:rPr>
                <w:webHidden/>
                <w:rStyle w:val="IndexLink"/>
              </w:rPr>
              <w:t>4.10 Term</w:t>
              <w:tab/>
              <w:t>7</w:t>
            </w:r>
          </w:hyperlink>
        </w:p>
        <w:p>
          <w:pPr>
            <w:pStyle w:val="TOC2"/>
            <w:tabs>
              <w:tab w:val="clear" w:pos="900"/>
              <w:tab w:val="clear" w:pos="9350"/>
              <w:tab w:val="right" w:pos="9025" w:leader="dot"/>
            </w:tabs>
            <w:rPr/>
          </w:pPr>
          <w:hyperlink w:anchor="__RefHeading___Toc29292_3199679052">
            <w:r>
              <w:rPr>
                <w:webHidden/>
                <w:rStyle w:val="IndexLink"/>
              </w:rPr>
              <w:t>4.11 Remedies</w:t>
              <w:tab/>
              <w:t>7</w:t>
            </w:r>
          </w:hyperlink>
        </w:p>
        <w:p>
          <w:pPr>
            <w:pStyle w:val="TOC2"/>
            <w:tabs>
              <w:tab w:val="clear" w:pos="900"/>
              <w:tab w:val="clear" w:pos="9350"/>
              <w:tab w:val="right" w:pos="9025" w:leader="dot"/>
            </w:tabs>
            <w:rPr/>
          </w:pPr>
          <w:hyperlink w:anchor="__RefHeading___Toc29294_3199679052">
            <w:r>
              <w:rPr>
                <w:webHidden/>
                <w:rStyle w:val="IndexLink"/>
              </w:rPr>
              <w:t>4.12 Governing law and disputes</w:t>
              <w:tab/>
              <w:t>7</w:t>
            </w:r>
          </w:hyperlink>
        </w:p>
        <w:p>
          <w:pPr>
            <w:pStyle w:val="TOC2"/>
            <w:tabs>
              <w:tab w:val="clear" w:pos="900"/>
              <w:tab w:val="clear" w:pos="9350"/>
              <w:tab w:val="right" w:pos="9025" w:leader="dot"/>
            </w:tabs>
            <w:rPr/>
          </w:pPr>
          <w:hyperlink w:anchor="__RefHeading___Toc29296_3199679052">
            <w:r>
              <w:rPr>
                <w:webHidden/>
                <w:rStyle w:val="IndexLink"/>
              </w:rPr>
              <w:t>4.13 General</w:t>
              <w:tab/>
              <w:t>7</w:t>
            </w:r>
          </w:hyperlink>
        </w:p>
        <w:p>
          <w:pPr>
            <w:pStyle w:val="TOC1"/>
            <w:tabs>
              <w:tab w:val="clear" w:pos="900"/>
              <w:tab w:val="clear" w:pos="9350"/>
              <w:tab w:val="right" w:pos="9025" w:leader="dot"/>
            </w:tabs>
            <w:rPr/>
          </w:pPr>
          <w:hyperlink w:anchor="__RefHeading___Toc29298_3199679052">
            <w:r>
              <w:rPr>
                <w:webHidden/>
                <w:rStyle w:val="IndexLink"/>
              </w:rPr>
              <w:t>5. Signatures</w:t>
              <w:tab/>
              <w:t>8</w:t>
            </w:r>
          </w:hyperlink>
        </w:p>
        <w:p>
          <w:pPr>
            <w:pStyle w:val="TOC1"/>
            <w:tabs>
              <w:tab w:val="clear" w:pos="900"/>
              <w:tab w:val="clear" w:pos="9350"/>
              <w:tab w:val="right" w:pos="9025" w:leader="dot"/>
            </w:tabs>
            <w:rPr/>
          </w:pPr>
          <w:hyperlink w:anchor="__RefHeading___Toc29300_3199679052">
            <w:r>
              <w:rPr>
                <w:webHidden/>
                <w:rStyle w:val="IndexLink"/>
                <w:i w:val="false"/>
                <w:iCs w:val="false"/>
              </w:rPr>
              <w:t>6. Document Sign-Off</w:t>
            </w:r>
            <w:r>
              <w:rPr>
                <w:rStyle w:val="IndexLink"/>
              </w:rPr>
              <w:tab/>
              <w:t>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9264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9266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9268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Mutual Non-Disclosure Agreement (the </w:t>
      </w:r>
      <w:r>
        <w:rPr>
          <w:rFonts w:eastAsia="Segoe UI" w:cs="Segoe UI" w:ascii="Segoe UI" w:hAnsi="Segoe UI"/>
          <w:b/>
          <w:color w:val="101820"/>
          <w:sz w:val="21"/>
        </w:rPr>
        <w:t>NDA</w:t>
      </w:r>
      <w:r>
        <w:rPr>
          <w:rFonts w:eastAsia="Segoe UI" w:cs="Segoe UI" w:ascii="Segoe UI" w:hAnsi="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r>
        <w:br w:type="page"/>
      </w:r>
    </w:p>
    <w:p>
      <w:pPr>
        <w:pStyle w:val="Heading1"/>
        <w:rPr/>
      </w:pPr>
      <w:bookmarkStart w:id="7" w:name="__RefHeading___Toc29270_3199679052"/>
      <w:bookmarkEnd w:id="7"/>
      <w:r>
        <w:rPr>
          <w:rFonts w:eastAsia="Segoe UI" w:cs="Segoe UI" w:ascii="Segoe UI" w:hAnsi="Segoe UI"/>
          <w:b/>
          <w:color w:val="0F4761"/>
          <w:sz w:val="32"/>
        </w:rPr>
        <w:t>4.  Agreement</w:t>
      </w:r>
    </w:p>
    <w:p>
      <w:pPr>
        <w:pStyle w:val="Heading2"/>
        <w:rPr/>
      </w:pPr>
      <w:bookmarkStart w:id="8" w:name="__RefHeading___Toc29272_3199679052"/>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NDA is made on [date] between:</w:t>
      </w:r>
    </w:p>
    <w:p>
      <w:pPr>
        <w:pStyle w:val="Normal"/>
        <w:numPr>
          <w:ilvl w:val="0"/>
          <w:numId w:val="8"/>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represented by [name, title]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b/>
          <w:color w:val="101820"/>
          <w:sz w:val="21"/>
        </w:rPr>
        <w:t>[Company legal name]</w:t>
      </w:r>
      <w:r>
        <w:rPr>
          <w:rFonts w:eastAsia="Segoe UI" w:cs="Segoe UI" w:ascii="Segoe UI" w:hAnsi="Segoe UI"/>
          <w:color w:val="101820"/>
          <w:sz w:val="21"/>
        </w:rPr>
        <w:t xml:space="preserve">, SEC registration no. [number], with principal office at [address], represented by [name, title] (the </w:t>
      </w:r>
      <w:r>
        <w:rPr>
          <w:rFonts w:eastAsia="Segoe UI" w:cs="Segoe UI" w:ascii="Segoe UI" w:hAnsi="Segoe UI"/>
          <w:b/>
          <w:color w:val="101820"/>
          <w:sz w:val="21"/>
        </w:rPr>
        <w:t>Company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 Party that discloses information is the </w:t>
      </w:r>
      <w:r>
        <w:rPr>
          <w:rFonts w:eastAsia="Segoe UI" w:cs="Segoe UI" w:ascii="Segoe UI" w:hAnsi="Segoe UI"/>
          <w:b/>
          <w:color w:val="101820"/>
          <w:sz w:val="21"/>
        </w:rPr>
        <w:t>Discloser</w:t>
      </w:r>
      <w:r>
        <w:rPr>
          <w:rFonts w:eastAsia="Segoe UI" w:cs="Segoe UI" w:ascii="Segoe UI" w:hAnsi="Segoe UI"/>
          <w:color w:val="101820"/>
          <w:sz w:val="21"/>
        </w:rPr>
        <w:t xml:space="preserve">; a Party that receives it is the </w:t>
      </w:r>
      <w:r>
        <w:rPr>
          <w:rFonts w:eastAsia="Segoe UI" w:cs="Segoe UI" w:ascii="Segoe UI" w:hAnsi="Segoe UI"/>
          <w:b/>
          <w:color w:val="101820"/>
          <w:sz w:val="21"/>
        </w:rPr>
        <w:t>Recipient</w:t>
      </w:r>
      <w:r>
        <w:rPr>
          <w:rFonts w:eastAsia="Segoe UI" w:cs="Segoe UI" w:ascii="Segoe UI" w:hAnsi="Segoe UI"/>
          <w:color w:val="101820"/>
          <w:sz w:val="21"/>
        </w:rPr>
        <w:t>.</w:t>
      </w:r>
    </w:p>
    <w:p>
      <w:pPr>
        <w:pStyle w:val="Heading2"/>
        <w:rPr/>
      </w:pPr>
      <w:bookmarkStart w:id="9" w:name="__RefHeading___Toc29274_3199679052"/>
      <w:bookmarkEnd w:id="9"/>
      <w:r>
        <w:rPr>
          <w:rFonts w:eastAsia="Segoe UI" w:cs="Segoe UI"/>
          <w:b/>
          <w:color w:val="0F4761"/>
          <w:sz w:val="26"/>
        </w:rPr>
        <w:t>4.2  Purpose</w:t>
      </w:r>
    </w:p>
    <w:p>
      <w:pPr>
        <w:pStyle w:val="Normal"/>
        <w:spacing w:lineRule="auto" w:line="276" w:before="0" w:after="120"/>
        <w:rPr/>
      </w:pPr>
      <w:r>
        <w:rPr>
          <w:rFonts w:eastAsia="Segoe UI" w:cs="Segoe UI" w:ascii="Segoe UI" w:hAnsi="Segoe UI"/>
          <w:color w:val="101820"/>
          <w:sz w:val="21"/>
        </w:rPr>
        <w:t xml:space="preserve">The Parties wish to exchange information to evaluate a possible business relationship for the licensing, implementation, hosting and support of iNXT BrokerVerse by the Company (the </w:t>
      </w:r>
      <w:r>
        <w:rPr>
          <w:rFonts w:eastAsia="Segoe UI" w:cs="Segoe UI" w:ascii="Segoe UI" w:hAnsi="Segoe UI"/>
          <w:b/>
          <w:color w:val="101820"/>
          <w:sz w:val="21"/>
        </w:rPr>
        <w:t>Purpose</w:t>
      </w:r>
      <w:r>
        <w:rPr>
          <w:rFonts w:eastAsia="Segoe UI" w:cs="Segoe UI" w:ascii="Segoe UI" w:hAnsi="Segoe UI"/>
          <w:color w:val="101820"/>
          <w:sz w:val="21"/>
        </w:rPr>
        <w:t>), including demonstrations of the platform, workshops on the Company's processes, and commercial proposals.</w:t>
      </w:r>
    </w:p>
    <w:p>
      <w:pPr>
        <w:pStyle w:val="Heading2"/>
        <w:rPr/>
      </w:pPr>
      <w:bookmarkStart w:id="10" w:name="__RefHeading___Toc29276_3199679052"/>
      <w:bookmarkEnd w:id="10"/>
      <w:r>
        <w:rPr>
          <w:rFonts w:eastAsia="Segoe UI" w:cs="Segoe UI"/>
          <w:b/>
          <w:color w:val="0F4761"/>
          <w:sz w:val="26"/>
        </w:rPr>
        <w:t>4.3  Confidential Information</w:t>
      </w:r>
    </w:p>
    <w:p>
      <w:pPr>
        <w:pStyle w:val="Normal"/>
        <w:numPr>
          <w:ilvl w:val="0"/>
          <w:numId w:val="9"/>
        </w:numPr>
        <w:spacing w:before="0" w:after="60"/>
        <w:rPr/>
      </w:pPr>
      <w:r>
        <w:rPr>
          <w:rFonts w:eastAsia="Segoe UI" w:cs="Segoe UI" w:ascii="Segoe UI" w:hAnsi="Segoe UI"/>
          <w:b/>
          <w:color w:val="101820"/>
          <w:sz w:val="21"/>
        </w:rPr>
        <w:t>Confidential Information</w:t>
      </w:r>
      <w:r>
        <w:rPr>
          <w:rFonts w:eastAsia="Segoe UI" w:cs="Segoe UI" w:ascii="Segoe UI" w:hAnsi="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pStyle w:val="Normal"/>
        <w:numPr>
          <w:ilvl w:val="0"/>
          <w:numId w:val="10"/>
        </w:numPr>
        <w:spacing w:before="0" w:after="60"/>
        <w:rPr/>
      </w:pPr>
      <w:r>
        <w:rPr>
          <w:rFonts w:eastAsia="Segoe UI" w:cs="Segoe UI" w:ascii="Segoe UI" w:hAnsi="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rPr/>
      </w:pPr>
      <w:bookmarkStart w:id="11" w:name="__RefHeading___Toc29278_3199679052"/>
      <w:bookmarkEnd w:id="11"/>
      <w:r>
        <w:rPr>
          <w:rFonts w:eastAsia="Segoe UI" w:cs="Segoe UI"/>
          <w:b/>
          <w:color w:val="0F4761"/>
          <w:sz w:val="26"/>
        </w:rPr>
        <w:t>4.4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11"/>
        </w:numPr>
        <w:spacing w:before="0" w:after="60"/>
        <w:rPr/>
      </w:pPr>
      <w:r>
        <w:rPr>
          <w:rFonts w:eastAsia="Segoe UI" w:cs="Segoe UI" w:ascii="Segoe UI" w:hAnsi="Segoe UI"/>
          <w:color w:val="101820"/>
          <w:sz w:val="21"/>
        </w:rPr>
        <w:t>use the Confidential Information only for the Purpose;</w:t>
      </w:r>
    </w:p>
    <w:p>
      <w:pPr>
        <w:pStyle w:val="Normal"/>
        <w:numPr>
          <w:ilvl w:val="0"/>
          <w:numId w:val="12"/>
        </w:numPr>
        <w:spacing w:before="0" w:after="60"/>
        <w:rPr/>
      </w:pPr>
      <w:r>
        <w:rPr>
          <w:rFonts w:eastAsia="Segoe UI" w:cs="Segoe UI" w:ascii="Segoe UI" w:hAnsi="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pStyle w:val="Normal"/>
        <w:numPr>
          <w:ilvl w:val="0"/>
          <w:numId w:val="13"/>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Normal"/>
        <w:numPr>
          <w:ilvl w:val="0"/>
          <w:numId w:val="14"/>
        </w:numPr>
        <w:spacing w:before="0" w:after="60"/>
        <w:rPr/>
      </w:pPr>
      <w:r>
        <w:rPr>
          <w:rFonts w:eastAsia="Segoe UI" w:cs="Segoe UI" w:ascii="Segoe UI" w:hAnsi="Segoe UI"/>
          <w:color w:val="101820"/>
          <w:sz w:val="21"/>
        </w:rPr>
        <w:t>not copy it except as reasonably needed for the Purpose;</w:t>
      </w:r>
    </w:p>
    <w:p>
      <w:pPr>
        <w:pStyle w:val="Normal"/>
        <w:numPr>
          <w:ilvl w:val="0"/>
          <w:numId w:val="15"/>
        </w:numPr>
        <w:spacing w:before="0" w:after="60"/>
        <w:rPr/>
      </w:pPr>
      <w:r>
        <w:rPr>
          <w:rFonts w:eastAsia="Segoe UI" w:cs="Segoe UI" w:ascii="Segoe UI" w:hAnsi="Segoe UI"/>
          <w:color w:val="101820"/>
          <w:sz w:val="21"/>
        </w:rPr>
        <w:t>not reverse engineer, decompile or attempt to derive the source code of any software or demonstration system made available, and not use it to develop a competing product;</w:t>
      </w:r>
    </w:p>
    <w:p>
      <w:pPr>
        <w:pStyle w:val="Normal"/>
        <w:numPr>
          <w:ilvl w:val="0"/>
          <w:numId w:val="16"/>
        </w:numPr>
        <w:spacing w:before="0" w:after="60"/>
        <w:rPr/>
      </w:pPr>
      <w:r>
        <w:rPr>
          <w:rFonts w:eastAsia="Segoe UI" w:cs="Segoe UI" w:ascii="Segoe UI" w:hAnsi="Segoe UI"/>
          <w:color w:val="101820"/>
          <w:sz w:val="21"/>
        </w:rPr>
        <w:t>notify the Discloser promptly of any unauthorised use or disclosure it becomes aware of.</w:t>
      </w:r>
    </w:p>
    <w:p>
      <w:pPr>
        <w:pStyle w:val="Heading2"/>
        <w:rPr/>
      </w:pPr>
      <w:bookmarkStart w:id="12" w:name="__RefHeading___Toc29280_3199679052"/>
      <w:bookmarkEnd w:id="12"/>
      <w:r>
        <w:rPr>
          <w:rFonts w:eastAsia="Segoe UI" w:cs="Segoe UI"/>
          <w:b/>
          <w:color w:val="0F4761"/>
          <w:sz w:val="26"/>
        </w:rPr>
        <w:t>4.5  Disclosure required by law</w:t>
      </w:r>
    </w:p>
    <w:p>
      <w:pPr>
        <w:pStyle w:val="Normal"/>
        <w:spacing w:lineRule="auto" w:line="276" w:before="0" w:after="120"/>
        <w:rPr/>
      </w:pPr>
      <w:r>
        <w:rPr>
          <w:rFonts w:eastAsia="Segoe UI" w:cs="Segoe UI" w:ascii="Segoe UI" w:hAnsi="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rPr/>
      </w:pPr>
      <w:bookmarkStart w:id="13" w:name="__RefHeading___Toc29282_3199679052"/>
      <w:bookmarkEnd w:id="13"/>
      <w:r>
        <w:rPr>
          <w:rFonts w:eastAsia="Segoe UI" w:cs="Segoe UI"/>
          <w:b/>
          <w:color w:val="0F4761"/>
          <w:sz w:val="26"/>
        </w:rPr>
        <w:t>4.6  Personal data</w:t>
      </w:r>
    </w:p>
    <w:p>
      <w:pPr>
        <w:pStyle w:val="Normal"/>
        <w:numPr>
          <w:ilvl w:val="0"/>
          <w:numId w:val="17"/>
        </w:numPr>
        <w:spacing w:before="0" w:after="60"/>
        <w:rPr/>
      </w:pPr>
      <w:r>
        <w:rPr>
          <w:rFonts w:eastAsia="Segoe UI" w:cs="Segoe UI" w:ascii="Segoe UI" w:hAnsi="Segoe UI"/>
          <w:color w:val="101820"/>
          <w:sz w:val="21"/>
        </w:rPr>
        <w:t>The Parties do not intend to exchange personal data under this NDA. Demonstrations use sample data.</w:t>
      </w:r>
    </w:p>
    <w:p>
      <w:pPr>
        <w:pStyle w:val="Normal"/>
        <w:numPr>
          <w:ilvl w:val="0"/>
          <w:numId w:val="18"/>
        </w:numPr>
        <w:spacing w:before="0" w:after="60"/>
        <w:rPr/>
      </w:pPr>
      <w:r>
        <w:rPr>
          <w:rFonts w:eastAsia="Segoe UI" w:cs="Segoe UI" w:ascii="Segoe UI" w:hAnsi="Segoe UI"/>
          <w:color w:val="101820"/>
          <w:sz w:val="21"/>
        </w:rPr>
        <w:t>If the Company wants a demonstration or a proof of concept with its own records, it first masks or removes personal data, or the Parties first sign a data processing agreement under the DPA and the issuances of the NPC.</w:t>
      </w:r>
    </w:p>
    <w:p>
      <w:pPr>
        <w:pStyle w:val="Normal"/>
        <w:numPr>
          <w:ilvl w:val="0"/>
          <w:numId w:val="19"/>
        </w:numPr>
        <w:spacing w:before="0" w:after="60"/>
        <w:rPr/>
      </w:pPr>
      <w:r>
        <w:rPr>
          <w:rFonts w:eastAsia="Segoe UI" w:cs="Segoe UI" w:ascii="Segoe UI" w:hAnsi="Segoe UI"/>
          <w:color w:val="101820"/>
          <w:sz w:val="21"/>
        </w:rPr>
        <w:t>Any personal data received in breach of point 1 is deleted by the Recipient on discovery and reported to the Discloser.</w:t>
      </w:r>
    </w:p>
    <w:p>
      <w:pPr>
        <w:pStyle w:val="Heading2"/>
        <w:rPr/>
      </w:pPr>
      <w:bookmarkStart w:id="14" w:name="__RefHeading___Toc29284_3199679052"/>
      <w:bookmarkEnd w:id="14"/>
      <w:r>
        <w:rPr>
          <w:rFonts w:eastAsia="Segoe UI" w:cs="Segoe UI"/>
          <w:b/>
          <w:color w:val="0F4761"/>
          <w:sz w:val="26"/>
        </w:rPr>
        <w:t>4.7  Return and destruction</w:t>
      </w:r>
    </w:p>
    <w:p>
      <w:pPr>
        <w:pStyle w:val="Normal"/>
        <w:spacing w:lineRule="auto" w:line="276" w:before="0" w:after="120"/>
        <w:rPr/>
      </w:pPr>
      <w:r>
        <w:rPr>
          <w:rFonts w:eastAsia="Segoe UI" w:cs="Segoe UI" w:ascii="Segoe UI" w:hAnsi="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rPr/>
      </w:pPr>
      <w:bookmarkStart w:id="15" w:name="__RefHeading___Toc29286_3199679052"/>
      <w:bookmarkEnd w:id="15"/>
      <w:r>
        <w:rPr>
          <w:rFonts w:eastAsia="Segoe UI" w:cs="Segoe UI"/>
          <w:b/>
          <w:color w:val="0F4761"/>
          <w:sz w:val="26"/>
        </w:rPr>
        <w:t>4.8  No licence and no obligation</w:t>
      </w:r>
    </w:p>
    <w:p>
      <w:pPr>
        <w:pStyle w:val="Normal"/>
        <w:numPr>
          <w:ilvl w:val="0"/>
          <w:numId w:val="20"/>
        </w:numPr>
        <w:spacing w:before="0" w:after="60"/>
        <w:rPr/>
      </w:pPr>
      <w:r>
        <w:rPr>
          <w:rFonts w:eastAsia="Segoe UI" w:cs="Segoe UI" w:ascii="Segoe UI" w:hAnsi="Segoe UI"/>
          <w:color w:val="101820"/>
          <w:sz w:val="21"/>
        </w:rPr>
        <w:t>All Confidential Information remains the property of the Discloser. No licence or other right is granted under this NDA, except the limited right to use it for the Purpose.</w:t>
      </w:r>
    </w:p>
    <w:p>
      <w:pPr>
        <w:pStyle w:val="Normal"/>
        <w:numPr>
          <w:ilvl w:val="0"/>
          <w:numId w:val="21"/>
        </w:numPr>
        <w:spacing w:before="0" w:after="60"/>
        <w:rPr/>
      </w:pPr>
      <w:r>
        <w:rPr>
          <w:rFonts w:eastAsia="Segoe UI" w:cs="Segoe UI" w:ascii="Segoe UI" w:hAnsi="Segoe UI"/>
          <w:color w:val="101820"/>
          <w:sz w:val="21"/>
        </w:rPr>
        <w:t>Confidential Information is provided "as is". Neither Party makes any warranty on its accuracy or completeness in this NDA.</w:t>
      </w:r>
    </w:p>
    <w:p>
      <w:pPr>
        <w:pStyle w:val="Normal"/>
        <w:numPr>
          <w:ilvl w:val="0"/>
          <w:numId w:val="22"/>
        </w:numPr>
        <w:spacing w:before="0" w:after="60"/>
        <w:rPr/>
      </w:pPr>
      <w:r>
        <w:rPr>
          <w:rFonts w:eastAsia="Segoe UI" w:cs="Segoe UI" w:ascii="Segoe UI" w:hAnsi="Segoe UI"/>
          <w:color w:val="101820"/>
          <w:sz w:val="21"/>
        </w:rPr>
        <w:t>This NDA does not oblige either Party to enter into any further agreement. Any licence or services are governed only by a signed Master Services Agreement and Order Form.</w:t>
      </w:r>
    </w:p>
    <w:p>
      <w:pPr>
        <w:pStyle w:val="Heading2"/>
        <w:rPr/>
      </w:pPr>
      <w:bookmarkStart w:id="16" w:name="__RefHeading___Toc29288_3199679052"/>
      <w:bookmarkEnd w:id="16"/>
      <w:r>
        <w:rPr>
          <w:rFonts w:eastAsia="Segoe UI" w:cs="Segoe UI"/>
          <w:b/>
          <w:color w:val="0F4761"/>
          <w:sz w:val="26"/>
        </w:rPr>
        <w:t>4.9  Non-solicitation</w:t>
      </w:r>
    </w:p>
    <w:p>
      <w:pPr>
        <w:pStyle w:val="Normal"/>
        <w:spacing w:lineRule="auto" w:line="276" w:before="0" w:after="120"/>
        <w:rPr/>
      </w:pPr>
      <w:r>
        <w:rPr>
          <w:rFonts w:eastAsia="Segoe UI" w:cs="Segoe UI" w:ascii="Segoe UI" w:hAnsi="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rPr/>
      </w:pPr>
      <w:bookmarkStart w:id="17" w:name="__RefHeading___Toc29290_3199679052"/>
      <w:bookmarkEnd w:id="17"/>
      <w:r>
        <w:rPr>
          <w:rFonts w:eastAsia="Segoe UI" w:cs="Segoe UI"/>
          <w:b/>
          <w:color w:val="0F4761"/>
          <w:sz w:val="26"/>
        </w:rPr>
        <w:t>4.10  Term</w:t>
      </w:r>
    </w:p>
    <w:p>
      <w:pPr>
        <w:pStyle w:val="Normal"/>
        <w:spacing w:lineRule="auto" w:line="276" w:before="0" w:after="120"/>
        <w:rPr/>
      </w:pPr>
      <w:r>
        <w:rPr>
          <w:rFonts w:eastAsia="Segoe UI" w:cs="Segoe UI" w:ascii="Segoe UI" w:hAnsi="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rPr/>
      </w:pPr>
      <w:bookmarkStart w:id="18" w:name="__RefHeading___Toc29292_3199679052"/>
      <w:bookmarkEnd w:id="18"/>
      <w:r>
        <w:rPr>
          <w:rFonts w:eastAsia="Segoe UI" w:cs="Segoe UI"/>
          <w:b/>
          <w:color w:val="0F4761"/>
          <w:sz w:val="26"/>
        </w:rPr>
        <w:t>4.11  Remedies</w:t>
      </w:r>
    </w:p>
    <w:p>
      <w:pPr>
        <w:pStyle w:val="Normal"/>
        <w:spacing w:lineRule="auto" w:line="276" w:before="0" w:after="120"/>
        <w:rPr/>
      </w:pPr>
      <w:r>
        <w:rPr>
          <w:rFonts w:eastAsia="Segoe UI" w:cs="Segoe UI" w:ascii="Segoe UI" w:hAnsi="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rPr/>
      </w:pPr>
      <w:bookmarkStart w:id="19" w:name="__RefHeading___Toc29294_3199679052"/>
      <w:bookmarkEnd w:id="19"/>
      <w:r>
        <w:rPr>
          <w:rFonts w:eastAsia="Segoe UI" w:cs="Segoe UI"/>
          <w:b/>
          <w:color w:val="0F4761"/>
          <w:sz w:val="26"/>
        </w:rPr>
        <w:t>4.12  Governing law and disputes</w:t>
      </w:r>
    </w:p>
    <w:p>
      <w:pPr>
        <w:pStyle w:val="Normal"/>
        <w:spacing w:lineRule="auto" w:line="276" w:before="0" w:after="120"/>
        <w:rPr/>
      </w:pPr>
      <w:r>
        <w:rPr>
          <w:rFonts w:eastAsia="Segoe UI" w:cs="Segoe UI" w:ascii="Segoe UI" w:hAnsi="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rPr/>
      </w:pPr>
      <w:bookmarkStart w:id="20" w:name="__RefHeading___Toc29296_3199679052"/>
      <w:bookmarkEnd w:id="20"/>
      <w:r>
        <w:rPr>
          <w:rFonts w:eastAsia="Segoe UI" w:cs="Segoe UI"/>
          <w:b/>
          <w:color w:val="0F4761"/>
          <w:sz w:val="26"/>
        </w:rPr>
        <w:t>4.13  General</w:t>
      </w:r>
    </w:p>
    <w:p>
      <w:pPr>
        <w:pStyle w:val="Normal"/>
        <w:numPr>
          <w:ilvl w:val="0"/>
          <w:numId w:val="23"/>
        </w:numPr>
        <w:spacing w:before="0" w:after="60"/>
        <w:rPr/>
      </w:pPr>
      <w:r>
        <w:rPr>
          <w:rFonts w:eastAsia="Segoe UI" w:cs="Segoe UI" w:ascii="Segoe UI" w:hAnsi="Segoe UI"/>
          <w:color w:val="101820"/>
          <w:sz w:val="21"/>
        </w:rPr>
        <w:t>This NDA is the entire agreement on its subject and may be amended only in writing signed by both Parties.</w:t>
      </w:r>
    </w:p>
    <w:p>
      <w:pPr>
        <w:pStyle w:val="Normal"/>
        <w:numPr>
          <w:ilvl w:val="0"/>
          <w:numId w:val="24"/>
        </w:numPr>
        <w:spacing w:before="0" w:after="60"/>
        <w:rPr/>
      </w:pPr>
      <w:r>
        <w:rPr>
          <w:rFonts w:eastAsia="Segoe UI" w:cs="Segoe UI" w:ascii="Segoe UI" w:hAnsi="Segoe UI"/>
          <w:color w:val="101820"/>
          <w:sz w:val="21"/>
        </w:rPr>
        <w:t>Neither Party may assign it without the other's written consent.</w:t>
      </w:r>
    </w:p>
    <w:p>
      <w:pPr>
        <w:pStyle w:val="Normal"/>
        <w:numPr>
          <w:ilvl w:val="0"/>
          <w:numId w:val="25"/>
        </w:numPr>
        <w:spacing w:before="0" w:after="60"/>
        <w:rPr/>
      </w:pPr>
      <w:r>
        <w:rPr>
          <w:rFonts w:eastAsia="Segoe UI" w:cs="Segoe UI" w:ascii="Segoe UI" w:hAnsi="Segoe UI"/>
          <w:color w:val="101820"/>
          <w:sz w:val="21"/>
        </w:rPr>
        <w:t>It may be signed in counterparts and by electronic signature, which the Parties accept as valid under RA 8792 (Electronic Commerce Act of 2000).</w:t>
      </w:r>
    </w:p>
    <w:p>
      <w:pPr>
        <w:pStyle w:val="Normal"/>
        <w:numPr>
          <w:ilvl w:val="0"/>
          <w:numId w:val="26"/>
        </w:numPr>
        <w:spacing w:before="0" w:after="60"/>
        <w:rPr/>
      </w:pPr>
      <w:r>
        <w:rPr>
          <w:rFonts w:eastAsia="Segoe UI" w:cs="Segoe UI" w:ascii="Segoe UI" w:hAnsi="Segoe UI"/>
          <w:color w:val="101820"/>
          <w:sz w:val="21"/>
        </w:rPr>
        <w:t>If a provision is unenforceable, the rest remains in force.</w:t>
      </w:r>
      <w:r>
        <w:br w:type="page"/>
      </w:r>
    </w:p>
    <w:p>
      <w:pPr>
        <w:pStyle w:val="Heading1"/>
        <w:rPr/>
      </w:pPr>
      <w:bookmarkStart w:id="21" w:name="__RefHeading___Toc29298_3199679052"/>
      <w:bookmarkEnd w:id="21"/>
      <w:r>
        <w:rPr>
          <w:rFonts w:eastAsia="Segoe UI" w:cs="Segoe UI" w:ascii="Segoe UI" w:hAnsi="Segoe UI"/>
          <w:b/>
          <w:color w:val="0F4761"/>
          <w:sz w:val="32"/>
        </w:rPr>
        <w:t>5.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[Company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2" w:name="__RefHeading___Toc29300_3199679052"/>
      <w:bookmarkStart w:id="23" w:name="_Toc233203395"/>
      <w:bookmarkEnd w:id="22"/>
      <w:r>
        <w:rPr>
          <w:rStyle w:val="BookTitle"/>
          <w:bCs w:val="false"/>
          <w:i w:val="false"/>
          <w:iCs w:val="false"/>
          <w:spacing w:val="0"/>
        </w:rPr>
        <w:t>6.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num>
  <w:num w:numId="17">
    <w:abstractNumId w:val="1"/>
    <w:lvlOverride w:ilvl="0">
      <w:startOverride w:val="1"/>
    </w:lvlOverride>
  </w:num>
  <w:num w:numId="18">
    <w:abstractNumId w:val="1"/>
  </w:num>
  <w:num w:numId="19">
    <w:abstractNumId w:val="1"/>
  </w:num>
  <w:num w:numId="20">
    <w:abstractNumId w:val="1"/>
    <w:lvlOverride w:ilvl="0">
      <w:startOverride w:val="1"/>
    </w:lvlOverride>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