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5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6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6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8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1.1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0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2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4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6598_1894618434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00_1894618434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02_1894618434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04_1894618434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06_1894618434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08_1894618434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10_1894618434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12_1894618434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14_1894618434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16_1894618434">
            <w:r>
              <w:rPr>
                <w:webHidden/>
                <w:rStyle w:val="IndexLink"/>
              </w:rPr>
              <w:t>5.2 Optional modules and partner services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18_1894618434">
            <w:r>
              <w:rPr>
                <w:webHidden/>
                <w:rStyle w:val="IndexLink"/>
              </w:rPr>
              <w:t>5.3 Recurring fees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20_1894618434">
            <w:r>
              <w:rPr>
                <w:webHidden/>
                <w:rStyle w:val="IndexLink"/>
              </w:rPr>
              <w:t>5.4 Contract value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22_1894618434">
            <w:r>
              <w:rPr>
                <w:webHidden/>
                <w:rStyle w:val="IndexLink"/>
              </w:rPr>
              <w:t>5.5 Payment schedule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24_1894618434">
            <w:r>
              <w:rPr>
                <w:webHidden/>
                <w:rStyle w:val="IndexLink"/>
              </w:rPr>
              <w:t>5.6 Conditions of discounts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26_1894618434">
            <w:r>
              <w:rPr>
                <w:webHidden/>
                <w:rStyle w:val="IndexLink"/>
              </w:rPr>
              <w:t>6. Schedules and special terms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28_1894618434">
            <w:r>
              <w:rPr>
                <w:webHidden/>
                <w:rStyle w:val="IndexLink"/>
              </w:rPr>
              <w:t>6.1 Schedules that apply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30_1894618434">
            <w:r>
              <w:rPr>
                <w:webHidden/>
                <w:rStyle w:val="IndexLink"/>
              </w:rPr>
              <w:t>6.2 Special terms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32_1894618434">
            <w:r>
              <w:rPr>
                <w:webHidden/>
                <w:rStyle w:val="IndexLink"/>
              </w:rPr>
              <w:t>6.3 Price basis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34_1894618434">
            <w:r>
              <w:rPr>
                <w:webHidden/>
                <w:rStyle w:val="IndexLink"/>
              </w:rPr>
              <w:t>7. Signatures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6636_1894618434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26598_1894618434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04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1.1.1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Version 1.1.1: Client brand packs: basis is the client's contract with iorta TechNXT (management decision of 04 October 2026). Version 1.1: Optional modules and partner services (16 lines of the Service Catalogue and Rate Annex, S08) added as an order table; 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26600_1894618434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Development environment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Pre-production environment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SIT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System integration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26602_1894618434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26604_1894618434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26606_1894618434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26608_1894618434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 set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or Medium: Dev, UAT, Production / Large or Enterprise: Dev, SIT, UAT, Production with high availability]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Pre-Prod (temporary)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Created from a production backup for the cutover rehearsal and each major release, then removed; planned months of use: [2] around go-live, [1] per major release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Additional 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/ number and purpose: training, second UAT]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26610_1894618434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Heading1"/>
        <w:rPr/>
      </w:pPr>
      <w:r>
        <w:br w:type="page"/>
      </w:r>
      <w:bookmarkStart w:id="11" w:name="__RefHeading___Toc26612_1894618434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26614_1894618434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26616_1894618434"/>
      <w:bookmarkEnd w:id="13"/>
      <w:r>
        <w:rPr>
          <w:rFonts w:eastAsia="Segoe UI" w:cs="Segoe UI"/>
          <w:b/>
          <w:color w:val="0F4761"/>
          <w:sz w:val="26"/>
        </w:rPr>
        <w:t>5.2  Optional modules and partner services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Every module of the Software is included in the licence or subscription fee. The lines below are optional, add-on services of the Service Catalogue and Rate Annex (S08), priced at the stated man-days at PHP 16,100.00 a day, rounded to PHP 10,000.00, and invoiced on delivery. The fees of the regulator or the partner are not included; every filing, registration and enrolment with a regulator is made by the Client in its own name. A Client brand pack carries the Client's marks and is applied only in the environments of this engagement; the Client's contract with iorta TechNXT covers the use of its marks there. Enter the quantity ordered, or delete the rows that do not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841"/>
        <w:gridCol w:w="3108"/>
        <w:gridCol w:w="1123"/>
        <w:gridCol w:w="941"/>
      </w:tblGrid>
      <w:tr>
        <w:trPr>
          <w:tblHeader w:val="true"/>
        </w:trPr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Basis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Quantity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Connector go-live with a partner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 man-days; PHP 80,000.00 per connector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Activation of the AML/CFT toolkit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 man-days; PHP 130,000.00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Activation of the IC compliance registers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 man-days; PHP 100,000.00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Activation of the BIR pack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 man-days; PHP 130,000.00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Dealer programme set-up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 man-days; PHP 50,000.00 per programme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brand pack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 man-days; PHP 30,000.00 per pack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AMLC reporting file validation and portal test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 man-days; PHP 50,000.00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annual statement form alignment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 man-days; PHP 50,000.00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EOPT invoicing review with the Client's tax adviser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 man-days; PHP 30,000.00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CAS registration support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 man-days; PHP 60,000.00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EIS enrolment and certification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 man-days; PHP 80,000.00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 authentication and LTO interface certification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 man-days; PHP 60,000.00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onboarding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 man-days; PHP 50,000.00 per insurer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 certification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 man-days; PHP 30,000.00 per bank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SMS or Viber gateway activation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 man-days; PHP 20,000.00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list provider onboarding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 man-days; PHP 30,000.00 one-time</w:t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[0 / 1]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38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optional modules and partner services</w:t>
            </w:r>
          </w:p>
        </w:tc>
        <w:tc>
          <w:tcPr>
            <w:tcW w:w="31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26618_1894618434"/>
      <w:bookmarkEnd w:id="14"/>
      <w:r>
        <w:rPr>
          <w:rFonts w:eastAsia="Segoe UI" w:cs="Segoe UI"/>
          <w:b/>
          <w:color w:val="0F4761"/>
          <w:sz w:val="26"/>
        </w:rPr>
        <w:t>5.3  Recurring fees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68"/>
        <w:gridCol w:w="2050"/>
        <w:gridCol w:w="941"/>
        <w:gridCol w:w="1134"/>
        <w:gridCol w:w="940"/>
        <w:gridCol w:w="2080"/>
      </w:tblGrid>
      <w:tr>
        <w:trPr>
          <w:tblHeader w:val="true"/>
        </w:trPr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standing environment set: Dev [amount], SIT [amount or not used], UAT [amount], Production 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None: pass-through clause of the Hosting Agreement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Pre-Prod, per month of use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[size]; [number] months planned in Year 1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None: pass-through clause of the Hosting Agreement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None: pass-through clause of the Hosting Agreement</w:t>
            </w:r>
          </w:p>
        </w:tc>
      </w:tr>
      <w:tr>
        <w:trPr/>
        <w:tc>
          <w:tcPr>
            <w:tcW w:w="18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0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20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26620_1894618434"/>
      <w:bookmarkEnd w:id="15"/>
      <w:r>
        <w:rPr>
          <w:rFonts w:eastAsia="Segoe UI" w:cs="Segoe UI"/>
          <w:b/>
          <w:color w:val="0F4761"/>
          <w:sz w:val="26"/>
        </w:rPr>
        <w:t>5.4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26622_1894618434"/>
      <w:bookmarkEnd w:id="16"/>
      <w:r>
        <w:rPr>
          <w:rFonts w:eastAsia="Segoe UI" w:cs="Segoe UI"/>
          <w:b/>
          <w:color w:val="0F4761"/>
          <w:sz w:val="26"/>
        </w:rPr>
        <w:t>5.5  Payment schedule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17"/>
        <w:gridCol w:w="1980"/>
        <w:gridCol w:w="3518"/>
      </w:tblGrid>
      <w:tr>
        <w:trPr>
          <w:tblHeader w:val="true"/>
        </w:trPr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 (extra training days, legacy data sources, additional integrations, environment set-up, on-site days)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modules and partner services (each line ordered in the table of that name above)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 of each service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the handover of each environment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Pre-Prod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 of use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for each month of use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35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198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5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7" w:name="__RefHeading___Toc26624_1894618434"/>
      <w:bookmarkEnd w:id="17"/>
      <w:r>
        <w:rPr>
          <w:rFonts w:eastAsia="Segoe UI" w:cs="Segoe UI"/>
          <w:b/>
          <w:color w:val="0F4761"/>
          <w:sz w:val="26"/>
        </w:rPr>
        <w:t>5.6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Heading1"/>
        <w:rPr/>
      </w:pPr>
      <w:r>
        <w:br w:type="page"/>
      </w:r>
      <w:bookmarkStart w:id="18" w:name="__RefHeading___Toc26626_1894618434"/>
      <w:bookmarkEnd w:id="18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9" w:name="__RefHeading___Toc26628_1894618434"/>
      <w:bookmarkEnd w:id="19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0" w:name="__RefHeading___Toc26630_1894618434"/>
      <w:bookmarkEnd w:id="20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1" w:name="__RefHeading___Toc26632_1894618434"/>
      <w:bookmarkEnd w:id="21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2" w:name="__RefHeading___Toc26634_1894618434"/>
      <w:bookmarkEnd w:id="22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23" w:name="__RefHeading___Toc26636_1894618434"/>
      <w:bookmarkStart w:id="24" w:name="_Toc233203395"/>
      <w:bookmarkEnd w:id="23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4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2026-10-04T12:59:22Z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