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3924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3926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3928_1894618434">
            <w:r>
              <w:rPr>
                <w:webHidden/>
                <w:rStyle w:val="IndexLink"/>
              </w:rPr>
              <w:t>3. About this annex</w:t>
              <w:tab/>
              <w:t>4</w:t>
            </w:r>
          </w:hyperlink>
        </w:p>
        <w:p>
          <w:pPr>
            <w:pStyle w:val="TOC1"/>
            <w:tabs>
              <w:tab w:val="clear" w:pos="900"/>
              <w:tab w:val="clear" w:pos="9350"/>
              <w:tab w:val="right" w:pos="9025" w:leader="dot"/>
            </w:tabs>
            <w:rPr/>
          </w:pPr>
          <w:hyperlink w:anchor="__RefHeading___Toc33930_1894618434">
            <w:r>
              <w:rPr>
                <w:webHidden/>
                <w:rStyle w:val="IndexLink"/>
              </w:rPr>
              <w:t>4. Service catalogue</w:t>
              <w:tab/>
              <w:t>6</w:t>
            </w:r>
          </w:hyperlink>
        </w:p>
        <w:p>
          <w:pPr>
            <w:pStyle w:val="TOC2"/>
            <w:tabs>
              <w:tab w:val="clear" w:pos="900"/>
              <w:tab w:val="clear" w:pos="9350"/>
              <w:tab w:val="right" w:pos="9025" w:leader="dot"/>
            </w:tabs>
            <w:rPr/>
          </w:pPr>
          <w:hyperlink w:anchor="__RefHeading___Toc33932_1894618434">
            <w:r>
              <w:rPr>
                <w:webHidden/>
                <w:rStyle w:val="IndexLink"/>
              </w:rPr>
              <w:t>4.1 Overview</w:t>
              <w:tab/>
              <w:t>6</w:t>
            </w:r>
          </w:hyperlink>
        </w:p>
        <w:p>
          <w:pPr>
            <w:pStyle w:val="TOC2"/>
            <w:tabs>
              <w:tab w:val="clear" w:pos="900"/>
              <w:tab w:val="clear" w:pos="9350"/>
              <w:tab w:val="right" w:pos="9025" w:leader="dot"/>
            </w:tabs>
            <w:rPr/>
          </w:pPr>
          <w:hyperlink w:anchor="__RefHeading___Toc33934_1894618434">
            <w:r>
              <w:rPr>
                <w:webHidden/>
                <w:rStyle w:val="IndexLink"/>
              </w:rPr>
              <w:t>4.2 Size tiers</w:t>
              <w:tab/>
              <w:t>6</w:t>
            </w:r>
          </w:hyperlink>
        </w:p>
        <w:p>
          <w:pPr>
            <w:pStyle w:val="TOC2"/>
            <w:tabs>
              <w:tab w:val="clear" w:pos="900"/>
              <w:tab w:val="clear" w:pos="9350"/>
              <w:tab w:val="right" w:pos="9025" w:leader="dot"/>
            </w:tabs>
            <w:rPr/>
          </w:pPr>
          <w:hyperlink w:anchor="__RefHeading___Toc33936_1894618434">
            <w:r>
              <w:rPr>
                <w:webHidden/>
                <w:rStyle w:val="IndexLink"/>
              </w:rPr>
              <w:t>4.3 Packages</w:t>
              <w:tab/>
              <w:t>6</w:t>
            </w:r>
          </w:hyperlink>
        </w:p>
        <w:p>
          <w:pPr>
            <w:pStyle w:val="TOC1"/>
            <w:tabs>
              <w:tab w:val="clear" w:pos="900"/>
              <w:tab w:val="clear" w:pos="9350"/>
              <w:tab w:val="right" w:pos="9025" w:leader="dot"/>
            </w:tabs>
            <w:rPr/>
          </w:pPr>
          <w:hyperlink w:anchor="__RefHeading___Toc33938_1894618434">
            <w:r>
              <w:rPr>
                <w:webHidden/>
                <w:rStyle w:val="IndexLink"/>
              </w:rPr>
              <w:t>5. Rates</w:t>
              <w:tab/>
              <w:t>8</w:t>
            </w:r>
          </w:hyperlink>
        </w:p>
        <w:p>
          <w:pPr>
            <w:pStyle w:val="TOC2"/>
            <w:tabs>
              <w:tab w:val="clear" w:pos="900"/>
              <w:tab w:val="clear" w:pos="9350"/>
              <w:tab w:val="right" w:pos="9025" w:leader="dot"/>
            </w:tabs>
            <w:rPr/>
          </w:pPr>
          <w:hyperlink w:anchor="__RefHeading___Toc33940_1894618434">
            <w:r>
              <w:rPr>
                <w:webHidden/>
                <w:rStyle w:val="IndexLink"/>
              </w:rPr>
              <w:t>5.1 S01: perpetual licence</w:t>
              <w:tab/>
              <w:t>8</w:t>
            </w:r>
          </w:hyperlink>
        </w:p>
        <w:p>
          <w:pPr>
            <w:pStyle w:val="TOC2"/>
            <w:tabs>
              <w:tab w:val="clear" w:pos="900"/>
              <w:tab w:val="clear" w:pos="9350"/>
              <w:tab w:val="right" w:pos="9025" w:leader="dot"/>
            </w:tabs>
            <w:rPr/>
          </w:pPr>
          <w:hyperlink w:anchor="__RefHeading___Toc33942_1894618434">
            <w:r>
              <w:rPr>
                <w:webHidden/>
                <w:rStyle w:val="IndexLink"/>
              </w:rPr>
              <w:t>5.2 S02: subscription</w:t>
              <w:tab/>
              <w:t>8</w:t>
            </w:r>
          </w:hyperlink>
        </w:p>
        <w:p>
          <w:pPr>
            <w:pStyle w:val="TOC2"/>
            <w:tabs>
              <w:tab w:val="clear" w:pos="900"/>
              <w:tab w:val="clear" w:pos="9350"/>
              <w:tab w:val="right" w:pos="9025" w:leader="dot"/>
            </w:tabs>
            <w:rPr/>
          </w:pPr>
          <w:hyperlink w:anchor="__RefHeading___Toc33944_1894618434">
            <w:r>
              <w:rPr>
                <w:webHidden/>
                <w:rStyle w:val="IndexLink"/>
              </w:rPr>
              <w:t>5.3 S03: implementation or onboarding</w:t>
              <w:tab/>
              <w:t>8</w:t>
            </w:r>
          </w:hyperlink>
        </w:p>
        <w:p>
          <w:pPr>
            <w:pStyle w:val="TOC2"/>
            <w:tabs>
              <w:tab w:val="clear" w:pos="900"/>
              <w:tab w:val="clear" w:pos="9350"/>
              <w:tab w:val="right" w:pos="9025" w:leader="dot"/>
            </w:tabs>
            <w:rPr/>
          </w:pPr>
          <w:hyperlink w:anchor="__RefHeading___Toc33946_1894618434">
            <w:r>
              <w:rPr>
                <w:webHidden/>
                <w:rStyle w:val="IndexLink"/>
              </w:rPr>
              <w:t>5.4 S04 to S06: maintenance and support</w:t>
              <w:tab/>
              <w:t>8</w:t>
            </w:r>
          </w:hyperlink>
        </w:p>
        <w:p>
          <w:pPr>
            <w:pStyle w:val="TOC2"/>
            <w:tabs>
              <w:tab w:val="clear" w:pos="900"/>
              <w:tab w:val="clear" w:pos="9350"/>
              <w:tab w:val="right" w:pos="9025" w:leader="dot"/>
            </w:tabs>
            <w:rPr/>
          </w:pPr>
          <w:hyperlink w:anchor="__RefHeading___Toc33948_1894618434">
            <w:r>
              <w:rPr>
                <w:webHidden/>
                <w:rStyle w:val="IndexLink"/>
              </w:rPr>
              <w:t>5.5 S07: hosting</w:t>
              <w:tab/>
              <w:t>9</w:t>
            </w:r>
          </w:hyperlink>
        </w:p>
        <w:p>
          <w:pPr>
            <w:pStyle w:val="TOC2"/>
            <w:tabs>
              <w:tab w:val="clear" w:pos="900"/>
              <w:tab w:val="clear" w:pos="9350"/>
              <w:tab w:val="right" w:pos="9025" w:leader="dot"/>
            </w:tabs>
            <w:rPr/>
          </w:pPr>
          <w:hyperlink w:anchor="__RefHeading___Toc33950_1894618434">
            <w:r>
              <w:rPr>
                <w:webHidden/>
                <w:rStyle w:val="IndexLink"/>
              </w:rPr>
              <w:t>5.6 S08: optional services</w:t>
              <w:tab/>
              <w:t>9</w:t>
            </w:r>
          </w:hyperlink>
        </w:p>
        <w:p>
          <w:pPr>
            <w:pStyle w:val="TOC2"/>
            <w:tabs>
              <w:tab w:val="clear" w:pos="900"/>
              <w:tab w:val="clear" w:pos="9350"/>
              <w:tab w:val="right" w:pos="9025" w:leader="dot"/>
            </w:tabs>
            <w:rPr/>
          </w:pPr>
          <w:hyperlink w:anchor="__RefHeading___Toc33952_1894618434">
            <w:r>
              <w:rPr>
                <w:webHidden/>
                <w:rStyle w:val="IndexLink"/>
              </w:rPr>
              <w:t>5.7 S09: change requests and day rates</w:t>
              <w:tab/>
              <w:t>12</w:t>
            </w:r>
          </w:hyperlink>
        </w:p>
        <w:p>
          <w:pPr>
            <w:pStyle w:val="TOC2"/>
            <w:tabs>
              <w:tab w:val="clear" w:pos="900"/>
              <w:tab w:val="clear" w:pos="9350"/>
              <w:tab w:val="right" w:pos="9025" w:leader="dot"/>
            </w:tabs>
            <w:rPr/>
          </w:pPr>
          <w:hyperlink w:anchor="__RefHeading___Toc33954_1894618434">
            <w:r>
              <w:rPr>
                <w:webHidden/>
                <w:rStyle w:val="IndexLink"/>
              </w:rPr>
              <w:t>5.8 S10: exit and transition</w:t>
              <w:tab/>
              <w:t>12</w:t>
            </w:r>
          </w:hyperlink>
        </w:p>
        <w:p>
          <w:pPr>
            <w:pStyle w:val="TOC2"/>
            <w:tabs>
              <w:tab w:val="clear" w:pos="900"/>
              <w:tab w:val="clear" w:pos="9350"/>
              <w:tab w:val="right" w:pos="9025" w:leader="dot"/>
            </w:tabs>
            <w:rPr/>
          </w:pPr>
          <w:hyperlink w:anchor="__RefHeading___Toc33956_1894618434">
            <w:r>
              <w:rPr>
                <w:webHidden/>
                <w:rStyle w:val="IndexLink"/>
              </w:rPr>
              <w:t>5.9 S11: source code escrow</w:t>
              <w:tab/>
              <w:t>12</w:t>
            </w:r>
          </w:hyperlink>
        </w:p>
        <w:p>
          <w:pPr>
            <w:pStyle w:val="TOC1"/>
            <w:tabs>
              <w:tab w:val="clear" w:pos="900"/>
              <w:tab w:val="clear" w:pos="9350"/>
              <w:tab w:val="right" w:pos="9025" w:leader="dot"/>
            </w:tabs>
            <w:rPr/>
          </w:pPr>
          <w:hyperlink w:anchor="__RefHeading___Toc33958_1894618434">
            <w:r>
              <w:rPr>
                <w:webHidden/>
                <w:rStyle w:val="IndexLink"/>
              </w:rPr>
              <w:t>6. Payment terms</w:t>
              <w:tab/>
              <w:t>13</w:t>
            </w:r>
          </w:hyperlink>
        </w:p>
        <w:p>
          <w:pPr>
            <w:pStyle w:val="TOC1"/>
            <w:tabs>
              <w:tab w:val="clear" w:pos="900"/>
              <w:tab w:val="clear" w:pos="9350"/>
              <w:tab w:val="right" w:pos="9025" w:leader="dot"/>
            </w:tabs>
            <w:rPr/>
          </w:pPr>
          <w:hyperlink w:anchor="__RefHeading___Toc33960_1894618434">
            <w:r>
              <w:rPr>
                <w:webHidden/>
                <w:rStyle w:val="IndexLink"/>
              </w:rPr>
              <w:t>7. Out of scope</w:t>
              <w:tab/>
              <w:t>14</w:t>
            </w:r>
          </w:hyperlink>
        </w:p>
        <w:p>
          <w:pPr>
            <w:pStyle w:val="TOC2"/>
            <w:tabs>
              <w:tab w:val="clear" w:pos="900"/>
              <w:tab w:val="clear" w:pos="9350"/>
              <w:tab w:val="right" w:pos="9025" w:leader="dot"/>
            </w:tabs>
            <w:rPr/>
          </w:pPr>
          <w:hyperlink w:anchor="__RefHeading___Toc33962_1894618434">
            <w:r>
              <w:rPr>
                <w:webHidden/>
                <w:rStyle w:val="IndexLink"/>
              </w:rPr>
              <w:t>7.1 Product changes</w:t>
              <w:tab/>
              <w:t>14</w:t>
            </w:r>
          </w:hyperlink>
        </w:p>
        <w:p>
          <w:pPr>
            <w:pStyle w:val="TOC2"/>
            <w:tabs>
              <w:tab w:val="clear" w:pos="900"/>
              <w:tab w:val="clear" w:pos="9350"/>
              <w:tab w:val="right" w:pos="9025" w:leader="dot"/>
            </w:tabs>
            <w:rPr/>
          </w:pPr>
          <w:hyperlink w:anchor="__RefHeading___Toc33964_1894618434">
            <w:r>
              <w:rPr>
                <w:webHidden/>
                <w:rStyle w:val="IndexLink"/>
              </w:rPr>
              <w:t>7.2 Data services</w:t>
              <w:tab/>
              <w:t>14</w:t>
            </w:r>
          </w:hyperlink>
        </w:p>
        <w:p>
          <w:pPr>
            <w:pStyle w:val="TOC2"/>
            <w:tabs>
              <w:tab w:val="clear" w:pos="900"/>
              <w:tab w:val="clear" w:pos="9350"/>
              <w:tab w:val="right" w:pos="9025" w:leader="dot"/>
            </w:tabs>
            <w:rPr/>
          </w:pPr>
          <w:hyperlink w:anchor="__RefHeading___Toc33966_1894618434">
            <w:r>
              <w:rPr>
                <w:webHidden/>
                <w:rStyle w:val="IndexLink"/>
              </w:rPr>
              <w:t>7.3 Infrastructure and third parties</w:t>
              <w:tab/>
              <w:t>14</w:t>
            </w:r>
          </w:hyperlink>
        </w:p>
        <w:p>
          <w:pPr>
            <w:pStyle w:val="TOC2"/>
            <w:tabs>
              <w:tab w:val="clear" w:pos="900"/>
              <w:tab w:val="clear" w:pos="9350"/>
              <w:tab w:val="right" w:pos="9025" w:leader="dot"/>
            </w:tabs>
            <w:rPr/>
          </w:pPr>
          <w:hyperlink w:anchor="__RefHeading___Toc33968_1894618434">
            <w:r>
              <w:rPr>
                <w:webHidden/>
                <w:rStyle w:val="IndexLink"/>
              </w:rPr>
              <w:t>7.4 Regulatory and advice</w:t>
              <w:tab/>
              <w:t>14</w:t>
            </w:r>
          </w:hyperlink>
        </w:p>
        <w:p>
          <w:pPr>
            <w:pStyle w:val="TOC2"/>
            <w:tabs>
              <w:tab w:val="clear" w:pos="900"/>
              <w:tab w:val="clear" w:pos="9350"/>
              <w:tab w:val="right" w:pos="9025" w:leader="dot"/>
            </w:tabs>
            <w:rPr/>
          </w:pPr>
          <w:hyperlink w:anchor="__RefHeading___Toc33970_1894618434">
            <w:r>
              <w:rPr>
                <w:webHidden/>
                <w:rStyle w:val="IndexLink"/>
              </w:rPr>
              <w:t>7.5 Training and support</w:t>
              <w:tab/>
              <w:t>15</w:t>
            </w:r>
          </w:hyperlink>
        </w:p>
        <w:p>
          <w:pPr>
            <w:pStyle w:val="TOC1"/>
            <w:tabs>
              <w:tab w:val="clear" w:pos="900"/>
              <w:tab w:val="clear" w:pos="9350"/>
              <w:tab w:val="right" w:pos="9025" w:leader="dot"/>
            </w:tabs>
            <w:rPr/>
          </w:pPr>
          <w:hyperlink w:anchor="__RefHeading___Toc33972_1894618434">
            <w:r>
              <w:rPr>
                <w:webHidden/>
                <w:rStyle w:val="IndexLink"/>
                <w:i w:val="false"/>
                <w:iCs w:val="false"/>
              </w:rPr>
              <w:t>8.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3924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1.0.2: Client brand packs: basis is the client's contract with iorta TechNXT (management decision of 04 October 2026). Version 1.0.1: optional services confirmed by management on 04 October 2026: optional modules and partner services (module activation, connector go-live, dealer programme set-up, client brand pack, regulator and partner items) added to S08 with their man-days and rates; package totals unchanged. Version 1.0: 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3926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3928_1894618434"/>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04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33930_1894618434"/>
      <w:bookmarkEnd w:id="7"/>
      <w:r>
        <w:rPr>
          <w:rFonts w:eastAsia="Segoe UI" w:cs="Segoe UI" w:ascii="Segoe UI" w:hAnsi="Segoe UI"/>
          <w:b/>
          <w:color w:val="0F4761"/>
          <w:sz w:val="32"/>
        </w:rPr>
        <w:t>4.  Service catalogue</w:t>
      </w:r>
    </w:p>
    <w:p>
      <w:pPr>
        <w:pStyle w:val="Heading2"/>
        <w:rPr/>
      </w:pPr>
      <w:bookmarkStart w:id="8" w:name="__RefHeading___Toc33932_1894618434"/>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environment set of the size and the temporary Pre-Prod</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 optional modules and partner services (module activation, connector go-live, dealer programme set-up, client brand pack, regulator and partner items)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33934_1894618434"/>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33936_1894618434"/>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33938_1894618434"/>
      <w:bookmarkEnd w:id="11"/>
      <w:r>
        <w:rPr>
          <w:rFonts w:eastAsia="Segoe UI" w:cs="Segoe UI" w:ascii="Segoe UI" w:hAnsi="Segoe UI"/>
          <w:b/>
          <w:color w:val="0F4761"/>
          <w:sz w:val="32"/>
        </w:rPr>
        <w:t>5.  Rates</w:t>
      </w:r>
    </w:p>
    <w:p>
      <w:pPr>
        <w:pStyle w:val="Heading2"/>
        <w:rPr/>
      </w:pPr>
      <w:bookmarkStart w:id="12" w:name="__RefHeading___Toc33940_1894618434"/>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33942_1894618434"/>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33944_1894618434"/>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33946_1894618434"/>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33948_1894618434"/>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Hosting is priced per environment set. Small and Medium: Dev, UAT and Production. Large and Enterprise: Dev, SIT, UAT and Production with high availability. Daily backups, monitoring, patching and certificates are included. Per month, monthly in advance from the date each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is temporary for every size: created from a production backup for the cutover rehearsal and for each major release, then removed. It is billed per month of use, monthly in advance: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of each environment is in Annex A of the Hosting Agreement. Cloud and local partner prices are confirmed with the provider before the Order Form is signed. When the Client hosts, it provides the same environment set; iorta TechNXT supplies the deployment guide and charges set-up support at day rates.</w:t>
      </w:r>
    </w:p>
    <w:p>
      <w:pPr>
        <w:pStyle w:val="Heading2"/>
        <w:rPr/>
      </w:pPr>
      <w:bookmarkStart w:id="17" w:name="__RefHeading___Toc33950_1894618434"/>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3"/>
        <w:rPr/>
      </w:pPr>
      <w:r>
        <w:rPr>
          <w:rFonts w:eastAsia="Segoe UI" w:cs="Segoe UI"/>
          <w:b/>
          <w:color w:val="0F4761"/>
          <w:sz w:val="23"/>
        </w:rPr>
        <w:t>5.6.1  Optional modules and partner services</w:t>
      </w:r>
    </w:p>
    <w:p>
      <w:pPr>
        <w:pStyle w:val="Normal"/>
        <w:spacing w:lineRule="auto" w:line="276" w:before="0" w:after="120"/>
        <w:rPr/>
      </w:pPr>
      <w:r>
        <w:rPr>
          <w:rFonts w:eastAsia="Segoe UI" w:cs="Segoe UI" w:ascii="Segoe UI" w:hAnsi="Segoe UI"/>
          <w:color w:val="101820"/>
          <w:sz w:val="21"/>
        </w:rPr>
        <w:t>Every module of the Software is included in the licence or subscription fee and in every package. The services in this table are optional, add-on items that the Client may order on an Order Form at any time: the set-up of a module with the Client's officers and advisers, the go-live of a delivered connector with its partner, and the validation or certification steps a regulator or a partner requires before first use. Each rate is the stated man-days at the blended day rate of S09 (PHP 16,100.00), rounded to PHP 10,000.00. The fees of the regulator or the partner (AMLC, IC, BIR, the CTPL provider, insurers, banks, gateways and screening list providers) are not included; the Client contracts with and pays the partner directly, and every filing, registration and enrolment with a regulator is made by the Client in its own name. The Client's compliance officer, accountant and tax adviser confirm the settings and the treatment. Ordering any of these services does not change the price of a package.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7"/>
        <w:gridCol w:w="1123"/>
        <w:gridCol w:w="1413"/>
        <w:gridCol w:w="2737"/>
        <w:gridCol w:w="1004"/>
      </w:tblGrid>
      <w:tr>
        <w:trPr>
          <w:tblHeader w:val="true"/>
        </w:trPr>
        <w:tc>
          <w:tcPr>
            <w:tcW w:w="2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Man-days</w:t>
            </w:r>
          </w:p>
        </w:tc>
        <w:tc>
          <w:tcPr>
            <w:tcW w:w="1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 (PHP)</w:t>
            </w:r>
          </w:p>
        </w:tc>
        <w:tc>
          <w:tcPr>
            <w:tcW w:w="2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Scope</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Billing</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 go-live with a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80,000.00 per connector</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delivered connector (one SMS gateway, the CTPL provider and LTO feed, one insurer's API mapping, one bank's file layout, or the BIR EIS) taken live: configuration, credential check, live test and support of the partner's acceptance</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Activation of the AML/CFT toolkit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 factors and rules workshop with the compliance officer, settings, first list loads, provider set-up and a test AMLC file</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Activation of the IC compliance registers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and fit and proper register load, insurer certificates, complaints and breach settings, mapping of the IC statement to the Client's chart of accounts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Activation of the BIR pack</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and EOPT invoice settings with the tax adviser, ATC mapping, DAT file dry run, CAS books pack</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Dealer programme set-up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per programme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Channels, rates, subsidy, bank letter and the first upload of one programme</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brand pack</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per pack</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sign-in picture, document and e-mail branding, e-signature mapping and the exported pack; a client pack carries the Client's marks and is applied only in the Client's environments, under the Client's contract with iorta TechNXT, which covers the use of its marks there</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reporting file validation and portal test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CTR and STR layout, institution and transaction codes confirmed with the AMLC, test file accepted in the AMLC portal</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annual statement form alignment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accountant's working paper mapped to the IC form set in force for the year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EOPT invoicing review with the Client's tax adviser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Registered invoice documents, supplementary wording, VAT treatment, ATP or CAS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CAS registration support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Books, system description and the Permit to Use filing prepared with the Client</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EIS enrolment and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EIS enrolment, signing certificate, final field list, production endpoint and certification of the connector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and LTO interface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of the live requests by the accredited provider, COC series and the LTO interface where the provider does not transmit</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API onboarding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per insurer</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Endpoint, credentials, field mapping and live test with one insurer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per bank</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Layout validated against the bank's specification and a test file accepted by the bank</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or Viber gateway activation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Sender name or short code, live credentials, templates and consent check tested with the gateway</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r>
        <w:trPr/>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 provider onboarding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one-time</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contract data, API key, adapter test and first screening run</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 delivery</w:t>
            </w:r>
          </w:p>
        </w:tc>
      </w:tr>
    </w:tbl>
    <w:p>
      <w:pPr>
        <w:pStyle w:val="Normal"/>
        <w:spacing w:before="0" w:after="80"/>
        <w:rPr/>
      </w:pPr>
      <w:r>
        <w:rPr/>
      </w:r>
    </w:p>
    <w:p>
      <w:pPr>
        <w:pStyle w:val="Heading2"/>
        <w:rPr/>
      </w:pPr>
      <w:bookmarkStart w:id="18" w:name="__RefHeading___Toc33952_1894618434"/>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33954_1894618434"/>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33956_1894618434"/>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Heading1"/>
        <w:rPr/>
      </w:pPr>
      <w:r>
        <w:br w:type="page"/>
      </w:r>
      <w:bookmarkStart w:id="21" w:name="__RefHeading___Toc33958_1894618434"/>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33960_1894618434"/>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33962_1894618434"/>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33964_1894618434"/>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33966_1894618434"/>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 and the fees of the partners whose interfaces the optional modules and partner services of S08 take live (CTPL provider, insurers, banks, gateways, screening list providers).</w:t>
      </w:r>
    </w:p>
    <w:p>
      <w:pPr>
        <w:pStyle w:val="Heading2"/>
        <w:rPr/>
      </w:pPr>
      <w:bookmarkStart w:id="26" w:name="__RefHeading___Toc33968_1894618434"/>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 The preparation support for some of these (CAS registration, EIS enrolment, AMLC file validation, IC statement form alignment, EOPT invoicing review) is available as an optional module or partner service of S08; the filing itself and the regulator's fees remain with the Client.</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33970_1894618434"/>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33972_1894618434"/>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2026-10-04T12:59:26Z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