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0">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Escrow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Escrow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Source code escrow (optional)</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Source code escrow (optional)</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5714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5716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5718_3199679052">
            <w:r>
              <w:rPr>
                <w:webHidden/>
                <w:rStyle w:val="IndexLink"/>
              </w:rPr>
              <w:t>3. About this template</w:t>
              <w:tab/>
              <w:t>4</w:t>
            </w:r>
          </w:hyperlink>
        </w:p>
        <w:p>
          <w:pPr>
            <w:pStyle w:val="TOC1"/>
            <w:tabs>
              <w:tab w:val="clear" w:pos="900"/>
              <w:tab w:val="clear" w:pos="9350"/>
              <w:tab w:val="right" w:pos="9025" w:leader="dot"/>
            </w:tabs>
            <w:rPr/>
          </w:pPr>
          <w:hyperlink w:anchor="__RefHeading___Toc55720_3199679052">
            <w:r>
              <w:rPr>
                <w:webHidden/>
                <w:rStyle w:val="IndexLink"/>
              </w:rPr>
              <w:t>4. Agreement and definitions</w:t>
              <w:tab/>
              <w:t>5</w:t>
            </w:r>
          </w:hyperlink>
        </w:p>
        <w:p>
          <w:pPr>
            <w:pStyle w:val="TOC2"/>
            <w:tabs>
              <w:tab w:val="clear" w:pos="900"/>
              <w:tab w:val="clear" w:pos="9350"/>
              <w:tab w:val="right" w:pos="9025" w:leader="dot"/>
            </w:tabs>
            <w:rPr/>
          </w:pPr>
          <w:hyperlink w:anchor="__RefHeading___Toc55722_3199679052">
            <w:r>
              <w:rPr>
                <w:webHidden/>
                <w:rStyle w:val="IndexLink"/>
              </w:rPr>
              <w:t>4.1 Parties and background</w:t>
              <w:tab/>
              <w:t>5</w:t>
            </w:r>
          </w:hyperlink>
        </w:p>
        <w:p>
          <w:pPr>
            <w:pStyle w:val="TOC2"/>
            <w:tabs>
              <w:tab w:val="clear" w:pos="900"/>
              <w:tab w:val="clear" w:pos="9350"/>
              <w:tab w:val="right" w:pos="9025" w:leader="dot"/>
            </w:tabs>
            <w:rPr/>
          </w:pPr>
          <w:hyperlink w:anchor="__RefHeading___Toc55724_3199679052">
            <w:r>
              <w:rPr>
                <w:webHidden/>
                <w:rStyle w:val="IndexLink"/>
              </w:rPr>
              <w:t>4.2 Definitions</w:t>
              <w:tab/>
              <w:t>5</w:t>
            </w:r>
          </w:hyperlink>
        </w:p>
        <w:p>
          <w:pPr>
            <w:pStyle w:val="TOC2"/>
            <w:tabs>
              <w:tab w:val="clear" w:pos="900"/>
              <w:tab w:val="clear" w:pos="9350"/>
              <w:tab w:val="right" w:pos="9025" w:leader="dot"/>
            </w:tabs>
            <w:rPr/>
          </w:pPr>
          <w:hyperlink w:anchor="__RefHeading___Toc55726_3199679052">
            <w:r>
              <w:rPr>
                <w:webHidden/>
                <w:rStyle w:val="IndexLink"/>
              </w:rPr>
              <w:t>4.3 Appointment</w:t>
              <w:tab/>
              <w:t>5</w:t>
            </w:r>
          </w:hyperlink>
        </w:p>
        <w:p>
          <w:pPr>
            <w:pStyle w:val="TOC1"/>
            <w:tabs>
              <w:tab w:val="clear" w:pos="900"/>
              <w:tab w:val="clear" w:pos="9350"/>
              <w:tab w:val="right" w:pos="9025" w:leader="dot"/>
            </w:tabs>
            <w:rPr/>
          </w:pPr>
          <w:hyperlink w:anchor="__RefHeading___Toc55728_3199679052">
            <w:r>
              <w:rPr>
                <w:webHidden/>
                <w:rStyle w:val="IndexLink"/>
              </w:rPr>
              <w:t>5. Deposit and verification</w:t>
              <w:tab/>
              <w:t>7</w:t>
            </w:r>
          </w:hyperlink>
        </w:p>
        <w:p>
          <w:pPr>
            <w:pStyle w:val="TOC2"/>
            <w:tabs>
              <w:tab w:val="clear" w:pos="900"/>
              <w:tab w:val="clear" w:pos="9350"/>
              <w:tab w:val="right" w:pos="9025" w:leader="dot"/>
            </w:tabs>
            <w:rPr/>
          </w:pPr>
          <w:hyperlink w:anchor="__RefHeading___Toc55730_3199679052">
            <w:r>
              <w:rPr>
                <w:webHidden/>
                <w:rStyle w:val="IndexLink"/>
              </w:rPr>
              <w:t>5.1 Deposit</w:t>
              <w:tab/>
              <w:t>7</w:t>
            </w:r>
          </w:hyperlink>
        </w:p>
        <w:p>
          <w:pPr>
            <w:pStyle w:val="TOC2"/>
            <w:tabs>
              <w:tab w:val="clear" w:pos="900"/>
              <w:tab w:val="clear" w:pos="9350"/>
              <w:tab w:val="right" w:pos="9025" w:leader="dot"/>
            </w:tabs>
            <w:rPr/>
          </w:pPr>
          <w:hyperlink w:anchor="__RefHeading___Toc55732_3199679052">
            <w:r>
              <w:rPr>
                <w:webHidden/>
                <w:rStyle w:val="IndexLink"/>
              </w:rPr>
              <w:t>5.2 Verification</w:t>
              <w:tab/>
              <w:t>8</w:t>
            </w:r>
          </w:hyperlink>
        </w:p>
        <w:p>
          <w:pPr>
            <w:pStyle w:val="TOC1"/>
            <w:tabs>
              <w:tab w:val="clear" w:pos="900"/>
              <w:tab w:val="clear" w:pos="9350"/>
              <w:tab w:val="right" w:pos="9025" w:leader="dot"/>
            </w:tabs>
            <w:rPr/>
          </w:pPr>
          <w:hyperlink w:anchor="__RefHeading___Toc55734_3199679052">
            <w:r>
              <w:rPr>
                <w:webHidden/>
                <w:rStyle w:val="IndexLink"/>
              </w:rPr>
              <w:t>6. Release</w:t>
              <w:tab/>
              <w:t>9</w:t>
            </w:r>
          </w:hyperlink>
        </w:p>
        <w:p>
          <w:pPr>
            <w:pStyle w:val="TOC2"/>
            <w:tabs>
              <w:tab w:val="clear" w:pos="900"/>
              <w:tab w:val="clear" w:pos="9350"/>
              <w:tab w:val="right" w:pos="9025" w:leader="dot"/>
            </w:tabs>
            <w:rPr/>
          </w:pPr>
          <w:hyperlink w:anchor="__RefHeading___Toc55736_3199679052">
            <w:r>
              <w:rPr>
                <w:webHidden/>
                <w:rStyle w:val="IndexLink"/>
              </w:rPr>
              <w:t>6.1 Release events</w:t>
              <w:tab/>
              <w:t>9</w:t>
            </w:r>
          </w:hyperlink>
        </w:p>
        <w:p>
          <w:pPr>
            <w:pStyle w:val="TOC2"/>
            <w:tabs>
              <w:tab w:val="clear" w:pos="900"/>
              <w:tab w:val="clear" w:pos="9350"/>
              <w:tab w:val="right" w:pos="9025" w:leader="dot"/>
            </w:tabs>
            <w:rPr/>
          </w:pPr>
          <w:hyperlink w:anchor="__RefHeading___Toc55738_3199679052">
            <w:r>
              <w:rPr>
                <w:webHidden/>
                <w:rStyle w:val="IndexLink"/>
              </w:rPr>
              <w:t>6.2 Release procedure</w:t>
              <w:tab/>
              <w:t>9</w:t>
            </w:r>
          </w:hyperlink>
        </w:p>
        <w:p>
          <w:pPr>
            <w:pStyle w:val="TOC2"/>
            <w:tabs>
              <w:tab w:val="clear" w:pos="900"/>
              <w:tab w:val="clear" w:pos="9350"/>
              <w:tab w:val="right" w:pos="9025" w:leader="dot"/>
            </w:tabs>
            <w:rPr/>
          </w:pPr>
          <w:hyperlink w:anchor="__RefHeading___Toc55740_3199679052">
            <w:r>
              <w:rPr>
                <w:webHidden/>
                <w:rStyle w:val="IndexLink"/>
              </w:rPr>
              <w:t>6.3 Use of released code</w:t>
              <w:tab/>
              <w:t>9</w:t>
            </w:r>
          </w:hyperlink>
        </w:p>
        <w:p>
          <w:pPr>
            <w:pStyle w:val="TOC1"/>
            <w:tabs>
              <w:tab w:val="clear" w:pos="900"/>
              <w:tab w:val="clear" w:pos="9350"/>
              <w:tab w:val="right" w:pos="9025" w:leader="dot"/>
            </w:tabs>
            <w:rPr/>
          </w:pPr>
          <w:hyperlink w:anchor="__RefHeading___Toc55742_3199679052">
            <w:r>
              <w:rPr>
                <w:webHidden/>
                <w:rStyle w:val="IndexLink"/>
              </w:rPr>
              <w:t>7. Fees, duties and term</w:t>
              <w:tab/>
              <w:t>11</w:t>
            </w:r>
          </w:hyperlink>
        </w:p>
        <w:p>
          <w:pPr>
            <w:pStyle w:val="TOC2"/>
            <w:tabs>
              <w:tab w:val="clear" w:pos="900"/>
              <w:tab w:val="clear" w:pos="9350"/>
              <w:tab w:val="right" w:pos="9025" w:leader="dot"/>
            </w:tabs>
            <w:rPr/>
          </w:pPr>
          <w:hyperlink w:anchor="__RefHeading___Toc55744_3199679052">
            <w:r>
              <w:rPr>
                <w:webHidden/>
                <w:rStyle w:val="IndexLink"/>
              </w:rPr>
              <w:t>7.1 Fees</w:t>
              <w:tab/>
              <w:t>11</w:t>
            </w:r>
          </w:hyperlink>
        </w:p>
        <w:p>
          <w:pPr>
            <w:pStyle w:val="TOC2"/>
            <w:tabs>
              <w:tab w:val="clear" w:pos="900"/>
              <w:tab w:val="clear" w:pos="9350"/>
              <w:tab w:val="right" w:pos="9025" w:leader="dot"/>
            </w:tabs>
            <w:rPr/>
          </w:pPr>
          <w:hyperlink w:anchor="__RefHeading___Toc55746_3199679052">
            <w:r>
              <w:rPr>
                <w:webHidden/>
                <w:rStyle w:val="IndexLink"/>
              </w:rPr>
              <w:t>7.2 Duties and liability of the Escrow Agent</w:t>
              <w:tab/>
              <w:t>11</w:t>
            </w:r>
          </w:hyperlink>
        </w:p>
        <w:p>
          <w:pPr>
            <w:pStyle w:val="TOC2"/>
            <w:tabs>
              <w:tab w:val="clear" w:pos="900"/>
              <w:tab w:val="clear" w:pos="9350"/>
              <w:tab w:val="right" w:pos="9025" w:leader="dot"/>
            </w:tabs>
            <w:rPr/>
          </w:pPr>
          <w:hyperlink w:anchor="__RefHeading___Toc55748_3199679052">
            <w:r>
              <w:rPr>
                <w:webHidden/>
                <w:rStyle w:val="IndexLink"/>
              </w:rPr>
              <w:t>7.3 Confidentiality</w:t>
              <w:tab/>
              <w:t>11</w:t>
            </w:r>
          </w:hyperlink>
        </w:p>
        <w:p>
          <w:pPr>
            <w:pStyle w:val="TOC2"/>
            <w:tabs>
              <w:tab w:val="clear" w:pos="900"/>
              <w:tab w:val="clear" w:pos="9350"/>
              <w:tab w:val="right" w:pos="9025" w:leader="dot"/>
            </w:tabs>
            <w:rPr/>
          </w:pPr>
          <w:hyperlink w:anchor="__RefHeading___Toc55750_3199679052">
            <w:r>
              <w:rPr>
                <w:webHidden/>
                <w:rStyle w:val="IndexLink"/>
              </w:rPr>
              <w:t>7.4 Term and termination</w:t>
              <w:tab/>
              <w:t>11</w:t>
            </w:r>
          </w:hyperlink>
        </w:p>
        <w:p>
          <w:pPr>
            <w:pStyle w:val="TOC2"/>
            <w:tabs>
              <w:tab w:val="clear" w:pos="900"/>
              <w:tab w:val="clear" w:pos="9350"/>
              <w:tab w:val="right" w:pos="9025" w:leader="dot"/>
            </w:tabs>
            <w:rPr/>
          </w:pPr>
          <w:hyperlink w:anchor="__RefHeading___Toc55752_3199679052">
            <w:r>
              <w:rPr>
                <w:webHidden/>
                <w:rStyle w:val="IndexLink"/>
              </w:rPr>
              <w:t>7.5 General</w:t>
              <w:tab/>
              <w:t>12</w:t>
            </w:r>
          </w:hyperlink>
        </w:p>
        <w:p>
          <w:pPr>
            <w:pStyle w:val="TOC1"/>
            <w:tabs>
              <w:tab w:val="clear" w:pos="900"/>
              <w:tab w:val="clear" w:pos="9350"/>
              <w:tab w:val="right" w:pos="9025" w:leader="dot"/>
            </w:tabs>
            <w:rPr/>
          </w:pPr>
          <w:hyperlink w:anchor="__RefHeading___Toc55754_3199679052">
            <w:r>
              <w:rPr>
                <w:webHidden/>
                <w:rStyle w:val="IndexLink"/>
              </w:rPr>
              <w:t>8. Signatures</w:t>
              <w:tab/>
              <w:t>13</w:t>
            </w:r>
          </w:hyperlink>
        </w:p>
        <w:p>
          <w:pPr>
            <w:pStyle w:val="TOC1"/>
            <w:tabs>
              <w:tab w:val="clear" w:pos="900"/>
              <w:tab w:val="clear" w:pos="9350"/>
              <w:tab w:val="right" w:pos="9025" w:leader="dot"/>
            </w:tabs>
            <w:rPr/>
          </w:pPr>
          <w:hyperlink w:anchor="__RefHeading___Toc55756_3199679052">
            <w:r>
              <w:rPr>
                <w:webHidden/>
                <w:rStyle w:val="IndexLink"/>
              </w:rPr>
              <w:t>9. Schedules</w:t>
              <w:tab/>
              <w:t>14</w:t>
            </w:r>
          </w:hyperlink>
        </w:p>
        <w:p>
          <w:pPr>
            <w:pStyle w:val="TOC2"/>
            <w:tabs>
              <w:tab w:val="clear" w:pos="900"/>
              <w:tab w:val="clear" w:pos="9350"/>
              <w:tab w:val="right" w:pos="9025" w:leader="dot"/>
            </w:tabs>
            <w:rPr/>
          </w:pPr>
          <w:hyperlink w:anchor="__RefHeading___Toc55758_3199679052">
            <w:r>
              <w:rPr>
                <w:webHidden/>
                <w:rStyle w:val="IndexLink"/>
              </w:rPr>
              <w:t>9.1 Schedule 1: Deposit Materials</w:t>
              <w:tab/>
              <w:t>14</w:t>
            </w:r>
          </w:hyperlink>
        </w:p>
        <w:p>
          <w:pPr>
            <w:pStyle w:val="TOC2"/>
            <w:tabs>
              <w:tab w:val="clear" w:pos="900"/>
              <w:tab w:val="clear" w:pos="9350"/>
              <w:tab w:val="right" w:pos="9025" w:leader="dot"/>
            </w:tabs>
            <w:rPr/>
          </w:pPr>
          <w:hyperlink w:anchor="__RefHeading___Toc55760_3199679052">
            <w:r>
              <w:rPr>
                <w:webHidden/>
                <w:rStyle w:val="IndexLink"/>
              </w:rPr>
              <w:t>9.2 Schedule 2: verification levels</w:t>
              <w:tab/>
              <w:t>14</w:t>
            </w:r>
          </w:hyperlink>
        </w:p>
        <w:p>
          <w:pPr>
            <w:pStyle w:val="TOC2"/>
            <w:tabs>
              <w:tab w:val="clear" w:pos="900"/>
              <w:tab w:val="clear" w:pos="9350"/>
              <w:tab w:val="right" w:pos="9025" w:leader="dot"/>
            </w:tabs>
            <w:rPr/>
          </w:pPr>
          <w:hyperlink w:anchor="__RefHeading___Toc55762_3199679052">
            <w:r>
              <w:rPr>
                <w:webHidden/>
                <w:rStyle w:val="IndexLink"/>
              </w:rPr>
              <w:t>9.3 Schedule 3: deposit form</w:t>
              <w:tab/>
              <w:t>14</w:t>
            </w:r>
          </w:hyperlink>
        </w:p>
        <w:p>
          <w:pPr>
            <w:pStyle w:val="TOC2"/>
            <w:tabs>
              <w:tab w:val="clear" w:pos="900"/>
              <w:tab w:val="clear" w:pos="9350"/>
              <w:tab w:val="right" w:pos="9025" w:leader="dot"/>
            </w:tabs>
            <w:rPr/>
          </w:pPr>
          <w:hyperlink w:anchor="__RefHeading___Toc55764_3199679052">
            <w:r>
              <w:rPr>
                <w:webHidden/>
                <w:rStyle w:val="IndexLink"/>
              </w:rPr>
              <w:t>9.4 Schedule 4: fees of the Escrow Agent</w:t>
              <w:tab/>
              <w:t>14</w:t>
            </w:r>
          </w:hyperlink>
        </w:p>
        <w:p>
          <w:pPr>
            <w:pStyle w:val="TOC1"/>
            <w:tabs>
              <w:tab w:val="clear" w:pos="900"/>
              <w:tab w:val="clear" w:pos="9350"/>
              <w:tab w:val="right" w:pos="9025" w:leader="dot"/>
            </w:tabs>
            <w:rPr/>
          </w:pPr>
          <w:hyperlink w:anchor="__RefHeading___Toc55766_3199679052">
            <w:r>
              <w:rPr>
                <w:webHidden/>
                <w:rStyle w:val="IndexLink"/>
                <w:i w:val="false"/>
                <w:iCs w:val="false"/>
              </w:rPr>
              <w:t>10. Document Sign-Off</w:t>
            </w:r>
            <w:r>
              <w:rPr>
                <w:rStyle w:val="IndexLink"/>
              </w:rPr>
              <w:tab/>
              <w:t>16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5714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 and the escrow agent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5716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Dispute Resolution Center, Inc.</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5718_3199679052"/>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 and the escrow agent.</w:t>
      </w:r>
    </w:p>
    <w:p>
      <w:pPr>
        <w:pStyle w:val="Normal"/>
        <w:spacing w:lineRule="auto" w:line="276" w:before="0" w:after="120"/>
        <w:rPr/>
      </w:pPr>
      <w:r>
        <w:rPr>
          <w:rFonts w:eastAsia="Segoe UI" w:cs="Segoe UI" w:ascii="Segoe UI" w:hAnsi="Segoe UI"/>
          <w:color w:val="101820"/>
          <w:sz w:val="21"/>
        </w:rPr>
        <w:t xml:space="preserve">This Source Code Escrow Agreement (the </w:t>
      </w:r>
      <w:r>
        <w:rPr>
          <w:rFonts w:eastAsia="Segoe UI" w:cs="Segoe UI" w:ascii="Segoe UI" w:hAnsi="Segoe UI"/>
          <w:b/>
          <w:color w:val="101820"/>
          <w:sz w:val="21"/>
        </w:rPr>
        <w:t>Escrow Agreement</w:t>
      </w:r>
      <w:r>
        <w:rPr>
          <w:rFonts w:eastAsia="Segoe UI" w:cs="Segoe UI" w:ascii="Segoe UI" w:hAnsi="Segoe UI"/>
          <w:color w:val="101820"/>
          <w:sz w:val="21"/>
        </w:rPr>
        <w:t>) is an optional annex to the Perpetual Software Licence Agreement for iNXT BrokerVerse OOTB. It is used only when the Order Form states "Source code escrow: Yes". It is not available with a subscription.</w:t>
      </w:r>
    </w:p>
    <w:p>
      <w:pPr>
        <w:pStyle w:val="Normal"/>
        <w:spacing w:lineRule="auto" w:line="276" w:before="0" w:after="120"/>
        <w:rPr/>
      </w:pPr>
      <w:r>
        <w:rPr>
          <w:rFonts w:eastAsia="Segoe UI" w:cs="Segoe UI" w:ascii="Segoe UI" w:hAnsi="Segoe UI"/>
          <w:color w:val="101820"/>
          <w:sz w:val="21"/>
        </w:rPr>
        <w:t>It is a three-party agreement between iorta TechNXT Corp. as depositor, the Client as beneficiary, and an independent escrow agent. It puts into effect the Source code escrow clause of the Perpetual Software Licence Agreement: the deposit, the updates, the release events and the use of released code are the same in both documents. If the escrow agent requires its own standard form, that form is used only if it is adapted to state the same terms, and the parties' legal counsel confirm this before signature.</w:t>
      </w:r>
    </w:p>
    <w:p>
      <w:pPr>
        <w:pStyle w:val="Normal"/>
        <w:spacing w:lineRule="auto" w:line="276" w:before="0" w:after="120"/>
        <w:rPr/>
      </w:pPr>
      <w:r>
        <w:rPr>
          <w:rFonts w:eastAsia="Segoe UI" w:cs="Segoe UI" w:ascii="Segoe UI" w:hAnsi="Segoe UI"/>
          <w:color w:val="101820"/>
          <w:sz w:val="21"/>
        </w:rPr>
        <w:t xml:space="preserve">Text in [square brackets] is a placeholder or an option. Capitalised terms not defined here have the meaning given in the Master Services Agreement (the </w:t>
      </w:r>
      <w:r>
        <w:rPr>
          <w:rFonts w:eastAsia="Segoe UI" w:cs="Segoe UI" w:ascii="Segoe UI" w:hAnsi="Segoe UI"/>
          <w:b/>
          <w:color w:val="101820"/>
          <w:sz w:val="21"/>
        </w:rPr>
        <w:t>MSA</w:t>
      </w:r>
      <w:r>
        <w:rPr>
          <w:rFonts w:eastAsia="Segoe UI" w:cs="Segoe UI" w:ascii="Segoe UI" w:hAnsi="Segoe UI"/>
          <w:color w:val="101820"/>
          <w:sz w:val="21"/>
        </w:rPr>
        <w:t xml:space="preserve">) and the Perpetual Software Licence Agreement (the </w:t>
      </w:r>
      <w:r>
        <w:rPr>
          <w:rFonts w:eastAsia="Segoe UI" w:cs="Segoe UI" w:ascii="Segoe UI" w:hAnsi="Segoe UI"/>
          <w:b/>
          <w:color w:val="101820"/>
          <w:sz w:val="21"/>
        </w:rPr>
        <w:t>Licence Agreement</w:t>
      </w:r>
      <w:r>
        <w:rPr>
          <w:rFonts w:eastAsia="Segoe UI" w:cs="Segoe UI" w:ascii="Segoe UI" w:hAnsi="Segoe UI"/>
          <w:color w:val="101820"/>
          <w:sz w:val="21"/>
        </w:rPr>
        <w:t>) between iorta TechNXT and the Client.</w:t>
      </w:r>
      <w:r>
        <w:br w:type="page"/>
      </w:r>
    </w:p>
    <w:p>
      <w:pPr>
        <w:pStyle w:val="Heading1"/>
        <w:rPr/>
      </w:pPr>
      <w:bookmarkStart w:id="7" w:name="__RefHeading___Toc55720_3199679052"/>
      <w:bookmarkEnd w:id="7"/>
      <w:r>
        <w:rPr>
          <w:rFonts w:eastAsia="Segoe UI" w:cs="Segoe UI" w:ascii="Segoe UI" w:hAnsi="Segoe UI"/>
          <w:b/>
          <w:color w:val="0F4761"/>
          <w:sz w:val="32"/>
        </w:rPr>
        <w:t>4.  Agreement and definitions</w:t>
      </w:r>
    </w:p>
    <w:p>
      <w:pPr>
        <w:pStyle w:val="Heading2"/>
        <w:rPr/>
      </w:pPr>
      <w:bookmarkStart w:id="8" w:name="__RefHeading___Toc55722_3199679052"/>
      <w:bookmarkEnd w:id="8"/>
      <w:r>
        <w:rPr>
          <w:rFonts w:eastAsia="Segoe UI" w:cs="Segoe UI"/>
          <w:b/>
          <w:color w:val="0F4761"/>
          <w:sz w:val="26"/>
        </w:rPr>
        <w:t>4.1  Parties and background</w:t>
      </w:r>
    </w:p>
    <w:p>
      <w:pPr>
        <w:pStyle w:val="Normal"/>
        <w:spacing w:lineRule="auto" w:line="276" w:before="0" w:after="120"/>
        <w:rPr/>
      </w:pPr>
      <w:r>
        <w:rPr>
          <w:rFonts w:eastAsia="Segoe UI" w:cs="Segoe UI" w:ascii="Segoe UI" w:hAnsi="Segoe UI"/>
          <w:color w:val="101820"/>
          <w:sz w:val="21"/>
        </w:rPr>
        <w:t>This Escrow Agreement is made on [date] at [Makati City / Taguig City], Philippines, between:</w:t>
      </w:r>
    </w:p>
    <w:p>
      <w:pPr>
        <w:pStyle w:val="Normal"/>
        <w:numPr>
          <w:ilvl w:val="0"/>
          <w:numId w:val="15"/>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xml:space="preserve">, a corporation organised under the laws of the Philippines, SEC registration no. [number], with principal office at [address], represented by [name, title] (the </w:t>
      </w:r>
      <w:r>
        <w:rPr>
          <w:rFonts w:eastAsia="Segoe UI" w:cs="Segoe UI" w:ascii="Segoe UI" w:hAnsi="Segoe UI"/>
          <w:b/>
          <w:color w:val="101820"/>
          <w:sz w:val="21"/>
        </w:rPr>
        <w:t>Depositor</w:t>
      </w:r>
      <w:r>
        <w:rPr>
          <w:rFonts w:eastAsia="Segoe UI" w:cs="Segoe UI" w:ascii="Segoe UI" w:hAnsi="Segoe UI"/>
          <w:color w:val="101820"/>
          <w:sz w:val="21"/>
        </w:rPr>
        <w:t xml:space="preserve"> or </w:t>
      </w:r>
      <w:r>
        <w:rPr>
          <w:rFonts w:eastAsia="Segoe UI" w:cs="Segoe UI" w:ascii="Segoe UI" w:hAnsi="Segoe UI"/>
          <w:b/>
          <w:color w:val="101820"/>
          <w:sz w:val="21"/>
        </w:rPr>
        <w:t>iorta TechNXT</w:t>
      </w:r>
      <w:r>
        <w:rPr>
          <w:rFonts w:eastAsia="Segoe UI" w:cs="Segoe UI" w:ascii="Segoe UI" w:hAnsi="Segoe UI"/>
          <w:color w:val="101820"/>
          <w:sz w:val="21"/>
        </w:rPr>
        <w:t>);</w:t>
      </w:r>
    </w:p>
    <w:p>
      <w:pPr>
        <w:pStyle w:val="Normal"/>
        <w:numPr>
          <w:ilvl w:val="0"/>
          <w:numId w:val="2"/>
        </w:numPr>
        <w:spacing w:before="0" w:after="60"/>
        <w:rPr/>
      </w:pPr>
      <w:r>
        <w:rPr>
          <w:rFonts w:eastAsia="Segoe UI" w:cs="Segoe UI" w:ascii="Segoe UI" w:hAnsi="Segoe UI"/>
          <w:b/>
          <w:color w:val="101820"/>
          <w:sz w:val="21"/>
        </w:rPr>
        <w:t>[Client legal name]</w:t>
      </w:r>
      <w:r>
        <w:rPr>
          <w:rFonts w:eastAsia="Segoe UI" w:cs="Segoe UI" w:ascii="Segoe UI" w:hAnsi="Segoe UI"/>
          <w:color w:val="101820"/>
          <w:sz w:val="21"/>
        </w:rPr>
        <w:t xml:space="preserve">, a corporation organised under the laws of the Philippines, SEC registration no. [number], with principal office at [address], represented by [name, title] (the </w:t>
      </w:r>
      <w:r>
        <w:rPr>
          <w:rFonts w:eastAsia="Segoe UI" w:cs="Segoe UI" w:ascii="Segoe UI" w:hAnsi="Segoe UI"/>
          <w:b/>
          <w:color w:val="101820"/>
          <w:sz w:val="21"/>
        </w:rPr>
        <w:t>Beneficiary</w:t>
      </w:r>
      <w:r>
        <w:rPr>
          <w:rFonts w:eastAsia="Segoe UI" w:cs="Segoe UI" w:ascii="Segoe UI" w:hAnsi="Segoe UI"/>
          <w:color w:val="101820"/>
          <w:sz w:val="21"/>
        </w:rPr>
        <w:t xml:space="preserve"> or the </w:t>
      </w:r>
      <w:r>
        <w:rPr>
          <w:rFonts w:eastAsia="Segoe UI" w:cs="Segoe UI" w:ascii="Segoe UI" w:hAnsi="Segoe UI"/>
          <w:b/>
          <w:color w:val="101820"/>
          <w:sz w:val="21"/>
        </w:rPr>
        <w:t>Client</w:t>
      </w:r>
      <w:r>
        <w:rPr>
          <w:rFonts w:eastAsia="Segoe UI" w:cs="Segoe UI" w:ascii="Segoe UI" w:hAnsi="Segoe UI"/>
          <w:color w:val="101820"/>
          <w:sz w:val="21"/>
        </w:rPr>
        <w:t>); and</w:t>
      </w:r>
    </w:p>
    <w:p>
      <w:pPr>
        <w:pStyle w:val="Normal"/>
        <w:numPr>
          <w:ilvl w:val="0"/>
          <w:numId w:val="2"/>
        </w:numPr>
        <w:spacing w:before="0" w:after="60"/>
        <w:rPr/>
      </w:pPr>
      <w:r>
        <w:rPr>
          <w:rFonts w:eastAsia="Segoe UI" w:cs="Segoe UI" w:ascii="Segoe UI" w:hAnsi="Segoe UI"/>
          <w:b/>
          <w:color w:val="101820"/>
          <w:sz w:val="21"/>
        </w:rPr>
        <w:t>[Escrow agent legal name]</w:t>
      </w:r>
      <w:r>
        <w:rPr>
          <w:rFonts w:eastAsia="Segoe UI" w:cs="Segoe UI" w:ascii="Segoe UI" w:hAnsi="Segoe UI"/>
          <w:color w:val="101820"/>
          <w:sz w:val="21"/>
        </w:rPr>
        <w:t xml:space="preserve">, [a corporation organised under the laws of the Philippines / of country], [registration details], with principal office at [address], represented by [name, title] (the </w:t>
      </w:r>
      <w:r>
        <w:rPr>
          <w:rFonts w:eastAsia="Segoe UI" w:cs="Segoe UI" w:ascii="Segoe UI" w:hAnsi="Segoe UI"/>
          <w:b/>
          <w:color w:val="101820"/>
          <w:sz w:val="21"/>
        </w:rPr>
        <w:t>Escrow Agent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Each is a </w:t>
      </w:r>
      <w:r>
        <w:rPr>
          <w:rFonts w:eastAsia="Segoe UI" w:cs="Segoe UI" w:ascii="Segoe UI" w:hAnsi="Segoe UI"/>
          <w:b/>
          <w:color w:val="101820"/>
          <w:sz w:val="21"/>
        </w:rPr>
        <w:t>Party</w:t>
      </w:r>
      <w:r>
        <w:rPr>
          <w:rFonts w:eastAsia="Segoe UI" w:cs="Segoe UI" w:ascii="Segoe UI" w:hAnsi="Segoe UI"/>
          <w:color w:val="101820"/>
          <w:sz w:val="21"/>
        </w:rPr>
        <w:t xml:space="preserve"> and together they are the </w:t>
      </w:r>
      <w:r>
        <w:rPr>
          <w:rFonts w:eastAsia="Segoe UI" w:cs="Segoe UI" w:ascii="Segoe UI" w:hAnsi="Segoe UI"/>
          <w:b/>
          <w:color w:val="101820"/>
          <w:sz w:val="21"/>
        </w:rPr>
        <w:t>Parties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Background:</w:t>
      </w:r>
    </w:p>
    <w:p>
      <w:pPr>
        <w:pStyle w:val="Normal"/>
        <w:numPr>
          <w:ilvl w:val="0"/>
          <w:numId w:val="1"/>
        </w:numPr>
        <w:spacing w:before="0" w:after="60"/>
        <w:rPr/>
      </w:pPr>
      <w:r>
        <w:rPr>
          <w:rFonts w:eastAsia="Segoe UI" w:cs="Segoe UI" w:ascii="Segoe UI" w:hAnsi="Segoe UI"/>
          <w:color w:val="101820"/>
          <w:sz w:val="21"/>
        </w:rPr>
        <w:t>iorta TechNXT has granted the Client a perpetual licence of iNXT BrokerVerse OOTB in object code under the Licence Agreement dated [date] and Order Form no. [number].</w:t>
      </w:r>
    </w:p>
    <w:p>
      <w:pPr>
        <w:pStyle w:val="Normal"/>
        <w:numPr>
          <w:ilvl w:val="0"/>
          <w:numId w:val="1"/>
        </w:numPr>
        <w:spacing w:before="0" w:after="60"/>
        <w:rPr/>
      </w:pPr>
      <w:r>
        <w:rPr>
          <w:rFonts w:eastAsia="Segoe UI" w:cs="Segoe UI" w:ascii="Segoe UI" w:hAnsi="Segoe UI"/>
          <w:color w:val="101820"/>
          <w:sz w:val="21"/>
        </w:rPr>
        <w:t>The Licence Agreement provides that iorta TechNXT deposits the source code of the Licensed Software with an escrow agent, to be released to the Client only on a Release Event.</w:t>
      </w:r>
    </w:p>
    <w:p>
      <w:pPr>
        <w:pStyle w:val="Normal"/>
        <w:numPr>
          <w:ilvl w:val="0"/>
          <w:numId w:val="1"/>
        </w:numPr>
        <w:spacing w:before="0" w:after="60"/>
        <w:rPr/>
      </w:pPr>
      <w:r>
        <w:rPr>
          <w:rFonts w:eastAsia="Segoe UI" w:cs="Segoe UI" w:ascii="Segoe UI" w:hAnsi="Segoe UI"/>
          <w:color w:val="101820"/>
          <w:sz w:val="21"/>
        </w:rPr>
        <w:t>The Escrow Agent is independent of iorta TechNXT and the Client and agrees to hold the deposit on the terms below.</w:t>
      </w:r>
    </w:p>
    <w:p>
      <w:pPr>
        <w:pStyle w:val="Heading2"/>
        <w:rPr/>
      </w:pPr>
      <w:bookmarkStart w:id="9" w:name="__RefHeading___Toc55724_3199679052"/>
      <w:bookmarkEnd w:id="9"/>
      <w:r>
        <w:rPr>
          <w:rFonts w:eastAsia="Segoe UI" w:cs="Segoe UI"/>
          <w:b/>
          <w:color w:val="0F4761"/>
          <w:sz w:val="26"/>
        </w:rPr>
        <w:t>4.2  Definitions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Deposit Materials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materials listed in Schedule 1, for the release of the Licensed Software in production at the Client, as updated under this Escrow Agreement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Deposit</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delivery of Deposit Materials to the Escrow Agent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Major Release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release of the Licensed Software that iorta TechNXT identifies in its release notes as a major release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Event</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event listed in the Release events clause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Notice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written notice from the Client to the Escrow Agent claiming that a Release Event has occurred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Counter-notice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written notice from iorta TechNXT to the Escrow Agent disputing a Release Notice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Verification</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check of a Deposit by the Escrow Agent, at the level stated in Schedule 2</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Day</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day other than a Saturday, Sunday or a regular or special non-working holiday declared in Metro Manila</w:t>
            </w:r>
          </w:p>
        </w:tc>
      </w:tr>
    </w:tbl>
    <w:p>
      <w:pPr>
        <w:pStyle w:val="Normal"/>
        <w:spacing w:before="0" w:after="80"/>
        <w:rPr/>
      </w:pPr>
      <w:r>
        <w:rPr/>
      </w:r>
    </w:p>
    <w:p>
      <w:pPr>
        <w:pStyle w:val="Heading2"/>
        <w:rPr/>
      </w:pPr>
      <w:bookmarkStart w:id="10" w:name="__RefHeading___Toc55726_3199679052"/>
      <w:bookmarkEnd w:id="10"/>
      <w:r>
        <w:rPr>
          <w:rFonts w:eastAsia="Segoe UI" w:cs="Segoe UI"/>
          <w:b/>
          <w:color w:val="0F4761"/>
          <w:sz w:val="26"/>
        </w:rPr>
        <w:t>4.3  Appointment</w:t>
      </w:r>
    </w:p>
    <w:p>
      <w:pPr>
        <w:pStyle w:val="Normal"/>
        <w:spacing w:lineRule="auto" w:line="276" w:before="0" w:after="120"/>
        <w:rPr/>
      </w:pPr>
      <w:r>
        <w:rPr>
          <w:rFonts w:eastAsia="Segoe UI" w:cs="Segoe UI" w:ascii="Segoe UI" w:hAnsi="Segoe UI"/>
          <w:color w:val="101820"/>
          <w:sz w:val="21"/>
        </w:rPr>
        <w:t>The Client and iorta TechNXT appoint the Escrow Agent to receive, hold and release the Deposit Materials under this Escrow Agreement. The Escrow Agent accepts the appointment. The Escrow Agent has only the duties written in this Escrow Agreement.</w:t>
      </w:r>
      <w:r>
        <w:br w:type="page"/>
      </w:r>
    </w:p>
    <w:p>
      <w:pPr>
        <w:pStyle w:val="Heading1"/>
        <w:rPr/>
      </w:pPr>
      <w:bookmarkStart w:id="11" w:name="__RefHeading___Toc55728_3199679052"/>
      <w:bookmarkEnd w:id="11"/>
      <w:r>
        <w:rPr>
          <w:rFonts w:eastAsia="Segoe UI" w:cs="Segoe UI" w:ascii="Segoe UI" w:hAnsi="Segoe UI"/>
          <w:b/>
          <w:color w:val="0F4761"/>
          <w:sz w:val="32"/>
        </w:rPr>
        <w:t>5.  Deposit and verification</w:t>
      </w:r>
    </w:p>
    <w:p>
      <w:pPr>
        <w:pStyle w:val="Heading2"/>
        <w:rPr/>
      </w:pPr>
      <w:bookmarkStart w:id="12" w:name="__RefHeading___Toc55730_3199679052"/>
      <w:bookmarkEnd w:id="12"/>
      <w:r>
        <w:rPr>
          <w:rFonts w:eastAsia="Segoe UI" w:cs="Segoe UI"/>
          <w:b/>
          <w:color w:val="0F4761"/>
          <w:sz w:val="26"/>
        </w:rPr>
        <w:t>5.1  Deposit</w:t>
      </w:r>
    </w:p>
    <w:p>
      <w:pPr>
        <w:pStyle w:val="Heading3"/>
        <w:rPr/>
      </w:pPr>
      <w:r>
        <w:rPr>
          <w:rFonts w:eastAsia="Segoe UI" w:cs="Segoe UI"/>
          <w:b/>
          <w:color w:val="0F4761"/>
          <w:sz w:val="23"/>
        </w:rPr>
        <w:t>5.1.1  First deposit</w:t>
      </w:r>
    </w:p>
    <w:p>
      <w:pPr>
        <w:pStyle w:val="Normal"/>
        <w:spacing w:lineRule="auto" w:line="276" w:before="0" w:after="120"/>
        <w:rPr/>
      </w:pPr>
      <w:r>
        <w:rPr>
          <w:rFonts w:eastAsia="Segoe UI" w:cs="Segoe UI" w:ascii="Segoe UI" w:hAnsi="Segoe UI"/>
          <w:color w:val="101820"/>
          <w:sz w:val="21"/>
        </w:rPr>
        <w:t>iorta TechNXT delivers the first Deposit within 60 days of Go-Live. The Deposit covers the release of the Licensed Software installed in the Client's production environment at that date.</w:t>
      </w:r>
    </w:p>
    <w:p>
      <w:pPr>
        <w:pStyle w:val="Heading3"/>
        <w:rPr/>
      </w:pPr>
      <w:r>
        <w:rPr>
          <w:rFonts w:eastAsia="Segoe UI" w:cs="Segoe UI"/>
          <w:b/>
          <w:color w:val="0F4761"/>
          <w:sz w:val="23"/>
        </w:rPr>
        <w:t>5.1.2  Updates</w:t>
      </w:r>
    </w:p>
    <w:p>
      <w:pPr>
        <w:pStyle w:val="Normal"/>
        <w:numPr>
          <w:ilvl w:val="0"/>
          <w:numId w:val="16"/>
        </w:numPr>
        <w:spacing w:before="0" w:after="60"/>
        <w:rPr/>
      </w:pPr>
      <w:r>
        <w:rPr>
          <w:rFonts w:eastAsia="Segoe UI" w:cs="Segoe UI" w:ascii="Segoe UI" w:hAnsi="Segoe UI"/>
          <w:color w:val="101820"/>
          <w:sz w:val="21"/>
        </w:rPr>
        <w:t>iorta TechNXT delivers an updated Deposit after each Major Release, within [30] days of the release, and in any case at least once a year, while the AMC is in force. Each updated Deposit covers the latest release available to the Client under the AMC.</w:t>
      </w:r>
    </w:p>
    <w:p>
      <w:pPr>
        <w:pStyle w:val="Normal"/>
        <w:numPr>
          <w:ilvl w:val="0"/>
          <w:numId w:val="17"/>
        </w:numPr>
        <w:spacing w:before="0" w:after="60"/>
        <w:rPr/>
      </w:pPr>
      <w:r>
        <w:rPr>
          <w:rFonts w:eastAsia="Segoe UI" w:cs="Segoe UI" w:ascii="Segoe UI" w:hAnsi="Segoe UI"/>
          <w:color w:val="101820"/>
          <w:sz w:val="21"/>
        </w:rPr>
        <w:t>Each updated Deposit replaces the earlier one. The Escrow Agent keeps the [two] latest Deposits and returns or destroys earlier ones to iorta TechNXT, with a written confirmation.</w:t>
      </w:r>
    </w:p>
    <w:p>
      <w:pPr>
        <w:pStyle w:val="Normal"/>
        <w:numPr>
          <w:ilvl w:val="0"/>
          <w:numId w:val="18"/>
        </w:numPr>
        <w:spacing w:before="0" w:after="60"/>
        <w:rPr/>
      </w:pPr>
      <w:r>
        <w:rPr>
          <w:rFonts w:eastAsia="Segoe UI" w:cs="Segoe UI" w:ascii="Segoe UI" w:hAnsi="Segoe UI"/>
          <w:color w:val="101820"/>
          <w:sz w:val="21"/>
        </w:rPr>
        <w:t>When the AMC is no longer in force, iorta TechNXT has no further duty to update the Deposit. The latest Deposit remains in escrow while this Escrow Agreement is in force.</w:t>
      </w:r>
    </w:p>
    <w:p>
      <w:pPr>
        <w:pStyle w:val="Heading3"/>
        <w:rPr/>
      </w:pPr>
      <w:r>
        <w:rPr>
          <w:rFonts w:eastAsia="Segoe UI" w:cs="Segoe UI"/>
          <w:b/>
          <w:color w:val="0F4761"/>
          <w:sz w:val="23"/>
        </w:rPr>
        <w:t>5.1.3  Form of a Deposit</w:t>
      </w:r>
    </w:p>
    <w:p>
      <w:pPr>
        <w:pStyle w:val="Normal"/>
        <w:numPr>
          <w:ilvl w:val="0"/>
          <w:numId w:val="19"/>
        </w:numPr>
        <w:spacing w:before="0" w:after="60"/>
        <w:rPr/>
      </w:pPr>
      <w:r>
        <w:rPr>
          <w:rFonts w:eastAsia="Segoe UI" w:cs="Segoe UI" w:ascii="Segoe UI" w:hAnsi="Segoe UI"/>
          <w:color w:val="101820"/>
          <w:sz w:val="21"/>
        </w:rPr>
        <w:t>Each Deposit is delivered on encrypted electronic media or by a secure electronic transfer that the Escrow Agent provides. The decryption key is delivered separately to the Escrow Agent.</w:t>
      </w:r>
    </w:p>
    <w:p>
      <w:pPr>
        <w:pStyle w:val="Normal"/>
        <w:numPr>
          <w:ilvl w:val="0"/>
          <w:numId w:val="20"/>
        </w:numPr>
        <w:spacing w:before="0" w:after="60"/>
        <w:rPr/>
      </w:pPr>
      <w:r>
        <w:rPr>
          <w:rFonts w:eastAsia="Segoe UI" w:cs="Segoe UI" w:ascii="Segoe UI" w:hAnsi="Segoe UI"/>
          <w:color w:val="101820"/>
          <w:sz w:val="21"/>
        </w:rPr>
        <w:t>Each Deposit comes with a deposit form signed by iorta TechNXT (Schedule 3) that lists the release, the contents, the build tool versions and a checksum of each archive.</w:t>
      </w:r>
    </w:p>
    <w:p>
      <w:pPr>
        <w:pStyle w:val="Normal"/>
        <w:numPr>
          <w:ilvl w:val="0"/>
          <w:numId w:val="21"/>
        </w:numPr>
        <w:spacing w:before="0" w:after="60"/>
        <w:rPr/>
      </w:pPr>
      <w:r>
        <w:rPr>
          <w:rFonts w:eastAsia="Segoe UI" w:cs="Segoe UI" w:ascii="Segoe UI" w:hAnsi="Segoe UI"/>
          <w:color w:val="101820"/>
          <w:sz w:val="21"/>
        </w:rPr>
        <w:t>Deposit Materials do not contain Client Data, production secrets, encryption keys or passwords of any environment.</w:t>
      </w:r>
    </w:p>
    <w:p>
      <w:pPr>
        <w:pStyle w:val="Heading3"/>
        <w:rPr/>
      </w:pPr>
      <w:r>
        <w:rPr>
          <w:rFonts w:eastAsia="Segoe UI" w:cs="Segoe UI"/>
          <w:b/>
          <w:color w:val="0F4761"/>
          <w:sz w:val="23"/>
        </w:rPr>
        <w:t>5.1.4  Receipt</w:t>
      </w:r>
    </w:p>
    <w:p>
      <w:pPr>
        <w:pStyle w:val="Normal"/>
        <w:spacing w:lineRule="auto" w:line="276" w:before="0" w:after="120"/>
        <w:rPr/>
      </w:pPr>
      <w:r>
        <w:rPr>
          <w:rFonts w:eastAsia="Segoe UI" w:cs="Segoe UI" w:ascii="Segoe UI" w:hAnsi="Segoe UI"/>
          <w:color w:val="101820"/>
          <w:sz w:val="21"/>
        </w:rPr>
        <w:t>The Escrow Agent confirms receipt of each Deposit to iorta TechNXT and the Client within 5 Business Days, stating the date, the release named on the deposit form and whether the media could be read and the checksums matched. The Escrow Agent does not otherwise open or examine a Deposit, except for a Verification.</w:t>
      </w:r>
    </w:p>
    <w:p>
      <w:pPr>
        <w:pStyle w:val="Heading3"/>
        <w:rPr/>
      </w:pPr>
      <w:r>
        <w:rPr>
          <w:rFonts w:eastAsia="Segoe UI" w:cs="Segoe UI"/>
          <w:b/>
          <w:color w:val="0F4761"/>
          <w:sz w:val="23"/>
        </w:rPr>
        <w:t>5.1.5  Warranties of iorta TechNXT</w:t>
      </w:r>
    </w:p>
    <w:p>
      <w:pPr>
        <w:pStyle w:val="Normal"/>
        <w:spacing w:lineRule="auto" w:line="276" w:before="0" w:after="120"/>
        <w:rPr/>
      </w:pPr>
      <w:r>
        <w:rPr>
          <w:rFonts w:eastAsia="Segoe UI" w:cs="Segoe UI" w:ascii="Segoe UI" w:hAnsi="Segoe UI"/>
          <w:color w:val="101820"/>
          <w:sz w:val="21"/>
        </w:rPr>
        <w:t>iorta TechNXT warrants that each Deposit:</w:t>
      </w:r>
    </w:p>
    <w:p>
      <w:pPr>
        <w:pStyle w:val="Normal"/>
        <w:numPr>
          <w:ilvl w:val="0"/>
          <w:numId w:val="22"/>
        </w:numPr>
        <w:spacing w:before="0" w:after="60"/>
        <w:rPr/>
      </w:pPr>
      <w:r>
        <w:rPr>
          <w:rFonts w:eastAsia="Segoe UI" w:cs="Segoe UI" w:ascii="Segoe UI" w:hAnsi="Segoe UI"/>
          <w:color w:val="101820"/>
          <w:sz w:val="21"/>
        </w:rPr>
        <w:t>is the source code of the release named on its deposit form, in the form used by iorta TechNXT to build that release;</w:t>
      </w:r>
    </w:p>
    <w:p>
      <w:pPr>
        <w:pStyle w:val="Normal"/>
        <w:numPr>
          <w:ilvl w:val="0"/>
          <w:numId w:val="23"/>
        </w:numPr>
        <w:spacing w:before="0" w:after="60"/>
        <w:rPr/>
      </w:pPr>
      <w:r>
        <w:rPr>
          <w:rFonts w:eastAsia="Segoe UI" w:cs="Segoe UI" w:ascii="Segoe UI" w:hAnsi="Segoe UI"/>
          <w:color w:val="101820"/>
          <w:sz w:val="21"/>
        </w:rPr>
        <w:t>with the build instructions, allows a reasonably skilled developer familiar with the technologies in Schedule 1 to build the Licensed Software without further help from iorta TechNXT;</w:t>
      </w:r>
    </w:p>
    <w:p>
      <w:pPr>
        <w:pStyle w:val="Normal"/>
        <w:numPr>
          <w:ilvl w:val="0"/>
          <w:numId w:val="24"/>
        </w:numPr>
        <w:spacing w:before="0" w:after="60"/>
        <w:rPr/>
      </w:pPr>
      <w:r>
        <w:rPr>
          <w:rFonts w:eastAsia="Segoe UI" w:cs="Segoe UI" w:ascii="Segoe UI" w:hAnsi="Segoe UI"/>
          <w:color w:val="101820"/>
          <w:sz w:val="21"/>
        </w:rPr>
        <w:t>lists the third-party and open-source components that are not included in source form and where they can be obtained.</w:t>
      </w:r>
    </w:p>
    <w:p>
      <w:pPr>
        <w:pStyle w:val="Heading2"/>
        <w:rPr/>
      </w:pPr>
      <w:bookmarkStart w:id="13" w:name="__RefHeading___Toc55732_3199679052"/>
      <w:bookmarkEnd w:id="13"/>
      <w:r>
        <w:rPr>
          <w:rFonts w:eastAsia="Segoe UI" w:cs="Segoe UI"/>
          <w:b/>
          <w:color w:val="0F4761"/>
          <w:sz w:val="26"/>
        </w:rPr>
        <w:t>5.2  Verification</w:t>
      </w:r>
    </w:p>
    <w:p>
      <w:pPr>
        <w:pStyle w:val="Normal"/>
        <w:numPr>
          <w:ilvl w:val="0"/>
          <w:numId w:val="25"/>
        </w:numPr>
        <w:spacing w:before="0" w:after="60"/>
        <w:rPr/>
      </w:pPr>
      <w:r>
        <w:rPr>
          <w:rFonts w:eastAsia="Segoe UI" w:cs="Segoe UI" w:ascii="Segoe UI" w:hAnsi="Segoe UI"/>
          <w:color w:val="101820"/>
          <w:sz w:val="21"/>
        </w:rPr>
        <w:t>The Client may ask the Escrow Agent for a Verification of the latest Deposit, at the level stated in Schedule 2, not more than once a year and after each Major Release.</w:t>
      </w:r>
    </w:p>
    <w:p>
      <w:pPr>
        <w:pStyle w:val="Normal"/>
        <w:numPr>
          <w:ilvl w:val="0"/>
          <w:numId w:val="26"/>
        </w:numPr>
        <w:spacing w:before="0" w:after="60"/>
        <w:rPr/>
      </w:pPr>
      <w:r>
        <w:rPr>
          <w:rFonts w:eastAsia="Segoe UI" w:cs="Segoe UI" w:ascii="Segoe UI" w:hAnsi="Segoe UI"/>
          <w:color w:val="101820"/>
          <w:sz w:val="21"/>
        </w:rPr>
        <w:t>The Client pays the Escrow Agent's verification fee. iorta TechNXT provides reasonable assistance by remote session for up to [1] man-day per Verification at no charge; further assistance is charged at the day rates of the Order Form.</w:t>
      </w:r>
    </w:p>
    <w:p>
      <w:pPr>
        <w:pStyle w:val="Normal"/>
        <w:numPr>
          <w:ilvl w:val="0"/>
          <w:numId w:val="27"/>
        </w:numPr>
        <w:spacing w:before="0" w:after="60"/>
        <w:rPr/>
      </w:pPr>
      <w:r>
        <w:rPr>
          <w:rFonts w:eastAsia="Segoe UI" w:cs="Segoe UI" w:ascii="Segoe UI" w:hAnsi="Segoe UI"/>
          <w:color w:val="101820"/>
          <w:sz w:val="21"/>
        </w:rPr>
        <w:t>The Escrow Agent performs the Verification in a secure environment, does not keep copies beyond what the Verification needs, and reports the result to iorta TechNXT and the Client.</w:t>
      </w:r>
    </w:p>
    <w:p>
      <w:pPr>
        <w:pStyle w:val="Normal"/>
        <w:numPr>
          <w:ilvl w:val="0"/>
          <w:numId w:val="28"/>
        </w:numPr>
        <w:spacing w:before="0" w:after="60"/>
        <w:rPr/>
      </w:pPr>
      <w:r>
        <w:rPr>
          <w:rFonts w:eastAsia="Segoe UI" w:cs="Segoe UI" w:ascii="Segoe UI" w:hAnsi="Segoe UI"/>
          <w:color w:val="101820"/>
          <w:sz w:val="21"/>
        </w:rPr>
        <w:t>If a Verification finds that a Deposit does not meet the warranties above, iorta TechNXT delivers a corrected Deposit within [30] days at its own cost and pays the cost of a second Verification of the corrected Deposit.</w:t>
      </w:r>
      <w:r>
        <w:br w:type="page"/>
      </w:r>
    </w:p>
    <w:p>
      <w:pPr>
        <w:pStyle w:val="Heading1"/>
        <w:rPr/>
      </w:pPr>
      <w:bookmarkStart w:id="14" w:name="__RefHeading___Toc55734_3199679052"/>
      <w:bookmarkEnd w:id="14"/>
      <w:r>
        <w:rPr>
          <w:rFonts w:eastAsia="Segoe UI" w:cs="Segoe UI" w:ascii="Segoe UI" w:hAnsi="Segoe UI"/>
          <w:b/>
          <w:color w:val="0F4761"/>
          <w:sz w:val="32"/>
        </w:rPr>
        <w:t>6.  Release</w:t>
      </w:r>
    </w:p>
    <w:p>
      <w:pPr>
        <w:pStyle w:val="Heading2"/>
        <w:rPr/>
      </w:pPr>
      <w:bookmarkStart w:id="15" w:name="__RefHeading___Toc55736_3199679052"/>
      <w:bookmarkEnd w:id="15"/>
      <w:r>
        <w:rPr>
          <w:rFonts w:eastAsia="Segoe UI" w:cs="Segoe UI"/>
          <w:b/>
          <w:color w:val="0F4761"/>
          <w:sz w:val="26"/>
        </w:rPr>
        <w:t>6.1  Release events</w:t>
      </w:r>
    </w:p>
    <w:p>
      <w:pPr>
        <w:pStyle w:val="Normal"/>
        <w:spacing w:lineRule="auto" w:line="276" w:before="0" w:after="120"/>
        <w:rPr/>
      </w:pPr>
      <w:r>
        <w:rPr>
          <w:rFonts w:eastAsia="Segoe UI" w:cs="Segoe UI" w:ascii="Segoe UI" w:hAnsi="Segoe UI"/>
          <w:color w:val="101820"/>
          <w:sz w:val="21"/>
        </w:rPr>
        <w:t>The Escrow Agent releases the Deposit Materials to the Client only on one of these Release Events, which are the release events of the Licence Agreement:</w:t>
      </w:r>
    </w:p>
    <w:p>
      <w:pPr>
        <w:pStyle w:val="Normal"/>
        <w:numPr>
          <w:ilvl w:val="0"/>
          <w:numId w:val="29"/>
        </w:numPr>
        <w:spacing w:before="0" w:after="60"/>
        <w:rPr/>
      </w:pPr>
      <w:r>
        <w:rPr>
          <w:rFonts w:eastAsia="Segoe UI" w:cs="Segoe UI" w:ascii="Segoe UI" w:hAnsi="Segoe UI"/>
          <w:color w:val="101820"/>
          <w:sz w:val="21"/>
        </w:rPr>
        <w:t>iorta TechNXT ceases to carry on business, is dissolved, or is declared insolvent or placed under rehabilitation or liquidation under RA 10142 (Financial Rehabilitation and Insolvency Act), and no successor assumes its obligations under the AMC within 60 days; or</w:t>
      </w:r>
    </w:p>
    <w:p>
      <w:pPr>
        <w:pStyle w:val="Normal"/>
        <w:numPr>
          <w:ilvl w:val="0"/>
          <w:numId w:val="30"/>
        </w:numPr>
        <w:spacing w:before="0" w:after="60"/>
        <w:rPr/>
      </w:pPr>
      <w:r>
        <w:rPr>
          <w:rFonts w:eastAsia="Segoe UI" w:cs="Segoe UI" w:ascii="Segoe UI" w:hAnsi="Segoe UI"/>
          <w:color w:val="101820"/>
          <w:sz w:val="21"/>
        </w:rPr>
        <w:t>iorta TechNXT, while the AMC is in force and paid, fails to correct a P1 or P2 defect within 60 days of a written notice from the Client, and does not cure the failure within a further 30 days of a second notice.</w:t>
      </w:r>
    </w:p>
    <w:p>
      <w:pPr>
        <w:pStyle w:val="Normal"/>
        <w:spacing w:lineRule="auto" w:line="276" w:before="0" w:after="120"/>
        <w:rPr/>
      </w:pPr>
      <w:r>
        <w:rPr>
          <w:rFonts w:eastAsia="Segoe UI" w:cs="Segoe UI" w:ascii="Segoe UI" w:hAnsi="Segoe UI"/>
          <w:color w:val="101820"/>
          <w:sz w:val="21"/>
        </w:rPr>
        <w:t>An assignment of the Licence Agreement and the AMC to an Affiliate or a successor of iorta TechNXT under the MSA is not a Release Event, provided the assignee assumes all of iorta TechNXT's obligations.</w:t>
      </w:r>
    </w:p>
    <w:p>
      <w:pPr>
        <w:pStyle w:val="Heading2"/>
        <w:rPr/>
      </w:pPr>
      <w:bookmarkStart w:id="16" w:name="__RefHeading___Toc55738_3199679052"/>
      <w:bookmarkEnd w:id="16"/>
      <w:r>
        <w:rPr>
          <w:rFonts w:eastAsia="Segoe UI" w:cs="Segoe UI"/>
          <w:b/>
          <w:color w:val="0F4761"/>
          <w:sz w:val="26"/>
        </w:rPr>
        <w:t>6.2  Release procedure</w:t>
      </w:r>
    </w:p>
    <w:p>
      <w:pPr>
        <w:pStyle w:val="Normal"/>
        <w:numPr>
          <w:ilvl w:val="0"/>
          <w:numId w:val="31"/>
        </w:numPr>
        <w:spacing w:before="0" w:after="60"/>
        <w:rPr/>
      </w:pPr>
      <w:r>
        <w:rPr>
          <w:rFonts w:eastAsia="Segoe UI" w:cs="Segoe UI" w:ascii="Segoe UI" w:hAnsi="Segoe UI"/>
          <w:b/>
          <w:color w:val="101820"/>
          <w:sz w:val="21"/>
        </w:rPr>
        <w:t>Release Notice.</w:t>
      </w:r>
      <w:r>
        <w:rPr>
          <w:rFonts w:eastAsia="Segoe UI" w:cs="Segoe UI" w:ascii="Segoe UI" w:hAnsi="Segoe UI"/>
          <w:color w:val="101820"/>
          <w:sz w:val="21"/>
        </w:rPr>
        <w:t xml:space="preserve"> The Client sends a Release Notice to the Escrow Agent, with a copy to iorta TechNXT. The Release Notice names the Release Event and attaches the evidence: for the first Release Event, a copy of the court order, the SEC record or other public record; for the second, copies of both written notices on the defect and the ticket history.</w:t>
      </w:r>
    </w:p>
    <w:p>
      <w:pPr>
        <w:pStyle w:val="Normal"/>
        <w:numPr>
          <w:ilvl w:val="0"/>
          <w:numId w:val="32"/>
        </w:numPr>
        <w:spacing w:before="0" w:after="60"/>
        <w:rPr/>
      </w:pPr>
      <w:r>
        <w:rPr>
          <w:rFonts w:eastAsia="Segoe UI" w:cs="Segoe UI" w:ascii="Segoe UI" w:hAnsi="Segoe UI"/>
          <w:b/>
          <w:color w:val="101820"/>
          <w:sz w:val="21"/>
        </w:rPr>
        <w:t>Counter-notice.</w:t>
      </w:r>
      <w:r>
        <w:rPr>
          <w:rFonts w:eastAsia="Segoe UI" w:cs="Segoe UI" w:ascii="Segoe UI" w:hAnsi="Segoe UI"/>
          <w:color w:val="101820"/>
          <w:sz w:val="21"/>
        </w:rPr>
        <w:t xml:space="preserve"> iorta TechNXT may send a Counter-notice to the Escrow Agent, with a copy to the Client, within [15] Business Days of receiving the Release Notice, stating why no Release Event has occurred.</w:t>
      </w:r>
    </w:p>
    <w:p>
      <w:pPr>
        <w:pStyle w:val="Normal"/>
        <w:numPr>
          <w:ilvl w:val="0"/>
          <w:numId w:val="33"/>
        </w:numPr>
        <w:spacing w:before="0" w:after="60"/>
        <w:rPr/>
      </w:pPr>
      <w:r>
        <w:rPr>
          <w:rFonts w:eastAsia="Segoe UI" w:cs="Segoe UI" w:ascii="Segoe UI" w:hAnsi="Segoe UI"/>
          <w:b/>
          <w:color w:val="101820"/>
          <w:sz w:val="21"/>
        </w:rPr>
        <w:t>Release without dispute.</w:t>
      </w:r>
      <w:r>
        <w:rPr>
          <w:rFonts w:eastAsia="Segoe UI" w:cs="Segoe UI" w:ascii="Segoe UI" w:hAnsi="Segoe UI"/>
          <w:color w:val="101820"/>
          <w:sz w:val="21"/>
        </w:rPr>
        <w:t xml:space="preserve"> If the Escrow Agent receives no Counter-notice within that period, it releases the latest Deposit to the Client within 5 Business Days after the period ends.</w:t>
      </w:r>
    </w:p>
    <w:p>
      <w:pPr>
        <w:pStyle w:val="Normal"/>
        <w:numPr>
          <w:ilvl w:val="0"/>
          <w:numId w:val="34"/>
        </w:numPr>
        <w:spacing w:before="0" w:after="60"/>
        <w:rPr/>
      </w:pPr>
      <w:r>
        <w:rPr>
          <w:rFonts w:eastAsia="Segoe UI" w:cs="Segoe UI" w:ascii="Segoe UI" w:hAnsi="Segoe UI"/>
          <w:b/>
          <w:color w:val="101820"/>
          <w:sz w:val="21"/>
        </w:rPr>
        <w:t>Release by agreement.</w:t>
      </w:r>
      <w:r>
        <w:rPr>
          <w:rFonts w:eastAsia="Segoe UI" w:cs="Segoe UI" w:ascii="Segoe UI" w:hAnsi="Segoe UI"/>
          <w:color w:val="101820"/>
          <w:sz w:val="21"/>
        </w:rPr>
        <w:t xml:space="preserve"> The Escrow Agent also releases the Deposit on a joint written instruction of iorta TechNXT and the Client.</w:t>
      </w:r>
    </w:p>
    <w:p>
      <w:pPr>
        <w:pStyle w:val="Normal"/>
        <w:numPr>
          <w:ilvl w:val="0"/>
          <w:numId w:val="35"/>
        </w:numPr>
        <w:spacing w:before="0" w:after="60"/>
        <w:rPr/>
      </w:pPr>
      <w:r>
        <w:rPr>
          <w:rFonts w:eastAsia="Segoe UI" w:cs="Segoe UI" w:ascii="Segoe UI" w:hAnsi="Segoe UI"/>
          <w:b/>
          <w:color w:val="101820"/>
          <w:sz w:val="21"/>
        </w:rPr>
        <w:t>Dispute.</w:t>
      </w:r>
      <w:r>
        <w:rPr>
          <w:rFonts w:eastAsia="Segoe UI" w:cs="Segoe UI" w:ascii="Segoe UI" w:hAnsi="Segoe UI"/>
          <w:color w:val="101820"/>
          <w:sz w:val="21"/>
        </w:rPr>
        <w:t xml:space="preserve"> If a Counter-notice is received, the Escrow Agent keeps the Deposit until it receives a joint written instruction or a final arbitral award or court decision. The dispute is resolved by expedited arbitration administered by the Philippine Dispute Resolution Center, Inc. under its rules, by one arbitrator, seated in [Makati City], in English, under RA 9285. The Escrow Agent follows the award.</w:t>
      </w:r>
    </w:p>
    <w:p>
      <w:pPr>
        <w:pStyle w:val="Normal"/>
        <w:numPr>
          <w:ilvl w:val="0"/>
          <w:numId w:val="36"/>
        </w:numPr>
        <w:spacing w:before="0" w:after="60"/>
        <w:rPr/>
      </w:pPr>
      <w:r>
        <w:rPr>
          <w:rFonts w:eastAsia="Segoe UI" w:cs="Segoe UI" w:ascii="Segoe UI" w:hAnsi="Segoe UI"/>
          <w:b/>
          <w:color w:val="101820"/>
          <w:sz w:val="21"/>
        </w:rPr>
        <w:t>No other release.</w:t>
      </w:r>
      <w:r>
        <w:rPr>
          <w:rFonts w:eastAsia="Segoe UI" w:cs="Segoe UI" w:ascii="Segoe UI" w:hAnsi="Segoe UI"/>
          <w:color w:val="101820"/>
          <w:sz w:val="21"/>
        </w:rPr>
        <w:t xml:space="preserve"> The Escrow Agent does not release the Deposit Materials to anyone except as stated in this clause, or as a court or a regulator with authority orders, after notice to iorta TechNXT and the Client where lawful.</w:t>
      </w:r>
    </w:p>
    <w:p>
      <w:pPr>
        <w:pStyle w:val="Heading2"/>
        <w:rPr/>
      </w:pPr>
      <w:bookmarkStart w:id="17" w:name="__RefHeading___Toc55740_3199679052"/>
      <w:bookmarkEnd w:id="17"/>
      <w:r>
        <w:rPr>
          <w:rFonts w:eastAsia="Segoe UI" w:cs="Segoe UI"/>
          <w:b/>
          <w:color w:val="0F4761"/>
          <w:sz w:val="26"/>
        </w:rPr>
        <w:t>6.3  Use of released code</w:t>
      </w:r>
    </w:p>
    <w:p>
      <w:pPr>
        <w:pStyle w:val="Normal"/>
        <w:numPr>
          <w:ilvl w:val="0"/>
          <w:numId w:val="37"/>
        </w:numPr>
        <w:spacing w:before="0" w:after="60"/>
        <w:rPr/>
      </w:pPr>
      <w:r>
        <w:rPr>
          <w:rFonts w:eastAsia="Segoe UI" w:cs="Segoe UI" w:ascii="Segoe UI" w:hAnsi="Segoe UI"/>
          <w:color w:val="101820"/>
          <w:sz w:val="21"/>
        </w:rPr>
        <w:t>On release, the Client may use the Deposit Materials only to maintain and correct the Licensed Software for its own internal business under the Licence Agreement, by its own staff or by a contractor bound by confidentiality duties no less protective than this Escrow Agreement.</w:t>
      </w:r>
    </w:p>
    <w:p>
      <w:pPr>
        <w:pStyle w:val="Normal"/>
        <w:numPr>
          <w:ilvl w:val="0"/>
          <w:numId w:val="38"/>
        </w:numPr>
        <w:spacing w:before="0" w:after="60"/>
        <w:rPr/>
      </w:pPr>
      <w:r>
        <w:rPr>
          <w:rFonts w:eastAsia="Segoe UI" w:cs="Segoe UI" w:ascii="Segoe UI" w:hAnsi="Segoe UI"/>
          <w:color w:val="101820"/>
          <w:sz w:val="21"/>
        </w:rPr>
        <w:t>The Client may not sell, license or disclose the Deposit Materials to anyone else, use them to provide services to other brokers or agents, or use them to build a competing product.</w:t>
      </w:r>
    </w:p>
    <w:p>
      <w:pPr>
        <w:pStyle w:val="Normal"/>
        <w:numPr>
          <w:ilvl w:val="0"/>
          <w:numId w:val="39"/>
        </w:numPr>
        <w:spacing w:before="0" w:after="60"/>
        <w:rPr/>
      </w:pPr>
      <w:r>
        <w:rPr>
          <w:rFonts w:eastAsia="Segoe UI" w:cs="Segoe UI" w:ascii="Segoe UI" w:hAnsi="Segoe UI"/>
          <w:color w:val="101820"/>
          <w:sz w:val="21"/>
        </w:rPr>
        <w:t>The Deposit Materials remain Confidential Information and the property of iorta TechNXT. Release grants no other right and does not change the Licensed Users, the environments or the purpose in the Licence Agreement.</w:t>
      </w:r>
    </w:p>
    <w:p>
      <w:pPr>
        <w:pStyle w:val="Normal"/>
        <w:numPr>
          <w:ilvl w:val="0"/>
          <w:numId w:val="40"/>
        </w:numPr>
        <w:spacing w:before="0" w:after="60"/>
        <w:rPr/>
      </w:pPr>
      <w:r>
        <w:rPr>
          <w:rFonts w:eastAsia="Segoe UI" w:cs="Segoe UI" w:ascii="Segoe UI" w:hAnsi="Segoe UI"/>
          <w:color w:val="101820"/>
          <w:sz w:val="21"/>
        </w:rPr>
        <w:t>The Client tells iorta TechNXT, or its successor or liquidator, in writing the names of the contractors given access to the Deposit Materials.</w:t>
      </w:r>
      <w:r>
        <w:br w:type="page"/>
      </w:r>
    </w:p>
    <w:p>
      <w:pPr>
        <w:pStyle w:val="Heading1"/>
        <w:rPr/>
      </w:pPr>
      <w:bookmarkStart w:id="18" w:name="__RefHeading___Toc55742_3199679052"/>
      <w:bookmarkEnd w:id="18"/>
      <w:r>
        <w:rPr>
          <w:rFonts w:eastAsia="Segoe UI" w:cs="Segoe UI" w:ascii="Segoe UI" w:hAnsi="Segoe UI"/>
          <w:b/>
          <w:color w:val="0F4761"/>
          <w:sz w:val="32"/>
        </w:rPr>
        <w:t>7.  Fees, duties and term</w:t>
      </w:r>
    </w:p>
    <w:p>
      <w:pPr>
        <w:pStyle w:val="Heading2"/>
        <w:rPr/>
      </w:pPr>
      <w:bookmarkStart w:id="19" w:name="__RefHeading___Toc55744_3199679052"/>
      <w:bookmarkEnd w:id="19"/>
      <w:r>
        <w:rPr>
          <w:rFonts w:eastAsia="Segoe UI" w:cs="Segoe UI"/>
          <w:b/>
          <w:color w:val="0F4761"/>
          <w:sz w:val="26"/>
        </w:rPr>
        <w:t>7.1  Fees</w:t>
      </w:r>
    </w:p>
    <w:p>
      <w:pPr>
        <w:pStyle w:val="Normal"/>
        <w:numPr>
          <w:ilvl w:val="0"/>
          <w:numId w:val="41"/>
        </w:numPr>
        <w:spacing w:before="0" w:after="60"/>
        <w:rPr/>
      </w:pPr>
      <w:r>
        <w:rPr>
          <w:rFonts w:eastAsia="Segoe UI" w:cs="Segoe UI" w:ascii="Segoe UI" w:hAnsi="Segoe UI"/>
          <w:color w:val="101820"/>
          <w:sz w:val="21"/>
        </w:rPr>
        <w:t>The Client pays the Escrow Agent's fees in Schedule 4: the set-up fee, the yearly fee, the fee for each updated Deposit beyond [one] a year, the verification fee and the release fee.</w:t>
      </w:r>
    </w:p>
    <w:p>
      <w:pPr>
        <w:pStyle w:val="Normal"/>
        <w:numPr>
          <w:ilvl w:val="0"/>
          <w:numId w:val="42"/>
        </w:numPr>
        <w:spacing w:before="0" w:after="60"/>
        <w:rPr/>
      </w:pPr>
      <w:r>
        <w:rPr>
          <w:rFonts w:eastAsia="Segoe UI" w:cs="Segoe UI" w:ascii="Segoe UI" w:hAnsi="Segoe UI"/>
          <w:color w:val="101820"/>
          <w:sz w:val="21"/>
        </w:rPr>
        <w:t>iorta TechNXT bears its own cost of preparing and delivering each Deposit.</w:t>
      </w:r>
    </w:p>
    <w:p>
      <w:pPr>
        <w:pStyle w:val="Normal"/>
        <w:numPr>
          <w:ilvl w:val="0"/>
          <w:numId w:val="43"/>
        </w:numPr>
        <w:spacing w:before="0" w:after="60"/>
        <w:rPr/>
      </w:pPr>
      <w:r>
        <w:rPr>
          <w:rFonts w:eastAsia="Segoe UI" w:cs="Segoe UI" w:ascii="Segoe UI" w:hAnsi="Segoe UI"/>
          <w:color w:val="101820"/>
          <w:sz w:val="21"/>
        </w:rPr>
        <w:t>The Escrow Agent invoices the Client yearly in advance. Fees exclude VAT. If an invoice remains unpaid 30 days after a written reminder, the Escrow Agent notifies iorta TechNXT and the Client, and either of them may pay it to keep this Escrow Agreement in force. If no payment is received within a further 30 days, the Escrow Agent may terminate this Escrow Agreement under the Term and termination clause.</w:t>
      </w:r>
    </w:p>
    <w:p>
      <w:pPr>
        <w:pStyle w:val="Heading2"/>
        <w:rPr/>
      </w:pPr>
      <w:bookmarkStart w:id="20" w:name="__RefHeading___Toc55746_3199679052"/>
      <w:bookmarkEnd w:id="20"/>
      <w:r>
        <w:rPr>
          <w:rFonts w:eastAsia="Segoe UI" w:cs="Segoe UI"/>
          <w:b/>
          <w:color w:val="0F4761"/>
          <w:sz w:val="26"/>
        </w:rPr>
        <w:t>7.2  Duties and liability of the Escrow Agent</w:t>
      </w:r>
    </w:p>
    <w:p>
      <w:pPr>
        <w:pStyle w:val="Normal"/>
        <w:numPr>
          <w:ilvl w:val="0"/>
          <w:numId w:val="44"/>
        </w:numPr>
        <w:spacing w:before="0" w:after="60"/>
        <w:rPr/>
      </w:pPr>
      <w:r>
        <w:rPr>
          <w:rFonts w:eastAsia="Segoe UI" w:cs="Segoe UI" w:ascii="Segoe UI" w:hAnsi="Segoe UI"/>
          <w:color w:val="101820"/>
          <w:sz w:val="21"/>
        </w:rPr>
        <w:t>The Escrow Agent keeps the Deposit Materials in a secure, access-controlled storage with environmental protection, with at least the care it uses for its own most valuable records, and keeps a log of every access.</w:t>
      </w:r>
    </w:p>
    <w:p>
      <w:pPr>
        <w:pStyle w:val="Normal"/>
        <w:numPr>
          <w:ilvl w:val="0"/>
          <w:numId w:val="45"/>
        </w:numPr>
        <w:spacing w:before="0" w:after="60"/>
        <w:rPr/>
      </w:pPr>
      <w:r>
        <w:rPr>
          <w:rFonts w:eastAsia="Segoe UI" w:cs="Segoe UI" w:ascii="Segoe UI" w:hAnsi="Segoe UI"/>
          <w:color w:val="101820"/>
          <w:sz w:val="21"/>
        </w:rPr>
        <w:t>The Escrow Agent may rely on any notice or document it reasonably believes to be genuine and signed by an authorised person of the Party concerned.</w:t>
      </w:r>
    </w:p>
    <w:p>
      <w:pPr>
        <w:pStyle w:val="Normal"/>
        <w:numPr>
          <w:ilvl w:val="0"/>
          <w:numId w:val="46"/>
        </w:numPr>
        <w:spacing w:before="0" w:after="60"/>
        <w:rPr/>
      </w:pPr>
      <w:r>
        <w:rPr>
          <w:rFonts w:eastAsia="Segoe UI" w:cs="Segoe UI" w:ascii="Segoe UI" w:hAnsi="Segoe UI"/>
          <w:color w:val="101820"/>
          <w:sz w:val="21"/>
        </w:rPr>
        <w:t>The Escrow Agent is not responsible for the content, completeness or quality of a Deposit, except for the checks it reports on receipt and in a Verification.</w:t>
      </w:r>
    </w:p>
    <w:p>
      <w:pPr>
        <w:pStyle w:val="Normal"/>
        <w:numPr>
          <w:ilvl w:val="0"/>
          <w:numId w:val="47"/>
        </w:numPr>
        <w:spacing w:before="0" w:after="60"/>
        <w:rPr/>
      </w:pPr>
      <w:r>
        <w:rPr>
          <w:rFonts w:eastAsia="Segoe UI" w:cs="Segoe UI" w:ascii="Segoe UI" w:hAnsi="Segoe UI"/>
          <w:color w:val="101820"/>
          <w:sz w:val="21"/>
        </w:rPr>
        <w:t>The Escrow Agent's total liability under this Escrow Agreement is limited to [the fees paid to it in the 12 months before the claim / PHP amount], except for fraud, gross negligence or wilful misconduct.</w:t>
      </w:r>
    </w:p>
    <w:p>
      <w:pPr>
        <w:pStyle w:val="Heading2"/>
        <w:rPr/>
      </w:pPr>
      <w:bookmarkStart w:id="21" w:name="__RefHeading___Toc55748_3199679052"/>
      <w:bookmarkEnd w:id="21"/>
      <w:r>
        <w:rPr>
          <w:rFonts w:eastAsia="Segoe UI" w:cs="Segoe UI"/>
          <w:b/>
          <w:color w:val="0F4761"/>
          <w:sz w:val="26"/>
        </w:rPr>
        <w:t>7.3  Confidentiality</w:t>
      </w:r>
    </w:p>
    <w:p>
      <w:pPr>
        <w:pStyle w:val="Normal"/>
        <w:spacing w:lineRule="auto" w:line="276" w:before="0" w:after="120"/>
        <w:rPr/>
      </w:pPr>
      <w:r>
        <w:rPr>
          <w:rFonts w:eastAsia="Segoe UI" w:cs="Segoe UI" w:ascii="Segoe UI" w:hAnsi="Segoe UI"/>
          <w:color w:val="101820"/>
          <w:sz w:val="21"/>
        </w:rPr>
        <w:t>Each Party keeps the Deposit Materials and the terms of this Escrow Agreement confidential, under the Confidentiality clause of the MSA as between iorta TechNXT and the Client, and with at least the same standard on the part of the Escrow Agent. The Escrow Agent's staff with access to the Deposit Materials are bound by written confidentiality duties.</w:t>
      </w:r>
    </w:p>
    <w:p>
      <w:pPr>
        <w:pStyle w:val="Heading2"/>
        <w:rPr/>
      </w:pPr>
      <w:bookmarkStart w:id="22" w:name="__RefHeading___Toc55750_3199679052"/>
      <w:bookmarkEnd w:id="22"/>
      <w:r>
        <w:rPr>
          <w:rFonts w:eastAsia="Segoe UI" w:cs="Segoe UI"/>
          <w:b/>
          <w:color w:val="0F4761"/>
          <w:sz w:val="26"/>
        </w:rPr>
        <w:t>7.4  Term and termination</w:t>
      </w:r>
    </w:p>
    <w:p>
      <w:pPr>
        <w:pStyle w:val="Normal"/>
        <w:numPr>
          <w:ilvl w:val="0"/>
          <w:numId w:val="48"/>
        </w:numPr>
        <w:spacing w:before="0" w:after="60"/>
        <w:rPr/>
      </w:pPr>
      <w:r>
        <w:rPr>
          <w:rFonts w:eastAsia="Segoe UI" w:cs="Segoe UI" w:ascii="Segoe UI" w:hAnsi="Segoe UI"/>
          <w:color w:val="101820"/>
          <w:sz w:val="21"/>
        </w:rPr>
        <w:t>This Escrow Agreement starts on the date it is signed by all Parties and continues while the Licence Agreement is in force, unless terminated under this clause.</w:t>
      </w:r>
    </w:p>
    <w:p>
      <w:pPr>
        <w:pStyle w:val="Normal"/>
        <w:numPr>
          <w:ilvl w:val="0"/>
          <w:numId w:val="49"/>
        </w:numPr>
        <w:spacing w:before="0" w:after="60"/>
        <w:rPr/>
      </w:pPr>
      <w:r>
        <w:rPr>
          <w:rFonts w:eastAsia="Segoe UI" w:cs="Segoe UI" w:ascii="Segoe UI" w:hAnsi="Segoe UI"/>
          <w:color w:val="101820"/>
          <w:sz w:val="21"/>
        </w:rPr>
        <w:t>It ends: (a) on release of the Deposit Materials to the Client and payment of the Escrow Agent's fees; (b) on termination of the Licence Agreement; (c) on written notice from the Client to the other Parties at any time; or (d) on a joint written instruction of iorta TechNXT and the Client.</w:t>
      </w:r>
    </w:p>
    <w:p>
      <w:pPr>
        <w:pStyle w:val="Normal"/>
        <w:numPr>
          <w:ilvl w:val="0"/>
          <w:numId w:val="50"/>
        </w:numPr>
        <w:spacing w:before="0" w:after="60"/>
        <w:rPr/>
      </w:pPr>
      <w:r>
        <w:rPr>
          <w:rFonts w:eastAsia="Segoe UI" w:cs="Segoe UI" w:ascii="Segoe UI" w:hAnsi="Segoe UI"/>
          <w:color w:val="101820"/>
          <w:sz w:val="21"/>
        </w:rPr>
        <w:t>The Escrow Agent may resign on [90] days' written notice, or terminate for unpaid fees as stated in the Fees clause. iorta TechNXT and the Client then appoint a replacement escrow agent on the same terms, and the Escrow Agent transfers the Deposit Materials to it.</w:t>
      </w:r>
    </w:p>
    <w:p>
      <w:pPr>
        <w:pStyle w:val="Normal"/>
        <w:numPr>
          <w:ilvl w:val="0"/>
          <w:numId w:val="51"/>
        </w:numPr>
        <w:spacing w:before="0" w:after="60"/>
        <w:rPr/>
      </w:pPr>
      <w:r>
        <w:rPr>
          <w:rFonts w:eastAsia="Segoe UI" w:cs="Segoe UI" w:ascii="Segoe UI" w:hAnsi="Segoe UI"/>
          <w:color w:val="101820"/>
          <w:sz w:val="21"/>
        </w:rPr>
        <w:t>On termination other than by release or transfer, the Escrow Agent returns the Deposit Materials to iorta TechNXT, or destroys them on its instruction, and confirms this in writing to iorta TechNXT and the Client.</w:t>
      </w:r>
    </w:p>
    <w:p>
      <w:pPr>
        <w:pStyle w:val="Normal"/>
        <w:numPr>
          <w:ilvl w:val="0"/>
          <w:numId w:val="52"/>
        </w:numPr>
        <w:spacing w:before="0" w:after="60"/>
        <w:rPr/>
      </w:pPr>
      <w:r>
        <w:rPr>
          <w:rFonts w:eastAsia="Segoe UI" w:cs="Segoe UI" w:ascii="Segoe UI" w:hAnsi="Segoe UI"/>
          <w:color w:val="101820"/>
          <w:sz w:val="21"/>
        </w:rPr>
        <w:t>The Use of released code, Confidentiality and Fees clauses survive termination.</w:t>
      </w:r>
    </w:p>
    <w:p>
      <w:pPr>
        <w:pStyle w:val="Heading2"/>
        <w:rPr/>
      </w:pPr>
      <w:bookmarkStart w:id="23" w:name="__RefHeading___Toc55752_3199679052"/>
      <w:bookmarkEnd w:id="23"/>
      <w:r>
        <w:rPr>
          <w:rFonts w:eastAsia="Segoe UI" w:cs="Segoe UI"/>
          <w:b/>
          <w:color w:val="0F4761"/>
          <w:sz w:val="26"/>
        </w:rPr>
        <w:t>7.5  General</w:t>
      </w:r>
    </w:p>
    <w:p>
      <w:pPr>
        <w:pStyle w:val="Normal"/>
        <w:numPr>
          <w:ilvl w:val="0"/>
          <w:numId w:val="53"/>
        </w:numPr>
        <w:spacing w:before="0" w:after="60"/>
        <w:rPr/>
      </w:pPr>
      <w:r>
        <w:rPr>
          <w:rFonts w:eastAsia="Segoe UI" w:cs="Segoe UI" w:ascii="Segoe UI" w:hAnsi="Segoe UI"/>
          <w:b/>
          <w:color w:val="101820"/>
          <w:sz w:val="21"/>
        </w:rPr>
        <w:t>Governing law.</w:t>
      </w:r>
      <w:r>
        <w:rPr>
          <w:rFonts w:eastAsia="Segoe UI" w:cs="Segoe UI" w:ascii="Segoe UI" w:hAnsi="Segoe UI"/>
          <w:color w:val="101820"/>
          <w:sz w:val="21"/>
        </w:rPr>
        <w:t xml:space="preserve"> This Escrow Agreement is governed by the laws of the Republic of the Philippines.</w:t>
      </w:r>
    </w:p>
    <w:p>
      <w:pPr>
        <w:pStyle w:val="Normal"/>
        <w:numPr>
          <w:ilvl w:val="0"/>
          <w:numId w:val="54"/>
        </w:numPr>
        <w:spacing w:before="0" w:after="60"/>
        <w:rPr/>
      </w:pPr>
      <w:r>
        <w:rPr>
          <w:rFonts w:eastAsia="Segoe UI" w:cs="Segoe UI" w:ascii="Segoe UI" w:hAnsi="Segoe UI"/>
          <w:b/>
          <w:color w:val="101820"/>
          <w:sz w:val="21"/>
        </w:rPr>
        <w:t>Disputes between iorta TechNXT and the Client</w:t>
      </w:r>
      <w:r>
        <w:rPr>
          <w:rFonts w:eastAsia="Segoe UI" w:cs="Segoe UI" w:ascii="Segoe UI" w:hAnsi="Segoe UI"/>
          <w:color w:val="101820"/>
          <w:sz w:val="21"/>
        </w:rPr>
        <w:t xml:space="preserve"> on matters other than a release are resolved under the Dispute resolution clause of the MSA.</w:t>
      </w:r>
    </w:p>
    <w:p>
      <w:pPr>
        <w:pStyle w:val="Normal"/>
        <w:numPr>
          <w:ilvl w:val="0"/>
          <w:numId w:val="55"/>
        </w:numPr>
        <w:spacing w:before="0" w:after="60"/>
        <w:rPr/>
      </w:pPr>
      <w:r>
        <w:rPr>
          <w:rFonts w:eastAsia="Segoe UI" w:cs="Segoe UI" w:ascii="Segoe UI" w:hAnsi="Segoe UI"/>
          <w:b/>
          <w:color w:val="101820"/>
          <w:sz w:val="21"/>
        </w:rPr>
        <w:t>Notices</w:t>
      </w:r>
      <w:r>
        <w:rPr>
          <w:rFonts w:eastAsia="Segoe UI" w:cs="Segoe UI" w:ascii="Segoe UI" w:hAnsi="Segoe UI"/>
          <w:color w:val="101820"/>
          <w:sz w:val="21"/>
        </w:rPr>
        <w:t xml:space="preserve"> are in writing in English and are delivered by hand, by courier, or by e-mail confirmed by courier, to the addresses in the signature blocks.</w:t>
      </w:r>
    </w:p>
    <w:p>
      <w:pPr>
        <w:pStyle w:val="Normal"/>
        <w:numPr>
          <w:ilvl w:val="0"/>
          <w:numId w:val="56"/>
        </w:numPr>
        <w:spacing w:before="0" w:after="60"/>
        <w:rPr/>
      </w:pPr>
      <w:r>
        <w:rPr>
          <w:rFonts w:eastAsia="Segoe UI" w:cs="Segoe UI" w:ascii="Segoe UI" w:hAnsi="Segoe UI"/>
          <w:b/>
          <w:color w:val="101820"/>
          <w:sz w:val="21"/>
        </w:rPr>
        <w:t>Order of precedence.</w:t>
      </w:r>
      <w:r>
        <w:rPr>
          <w:rFonts w:eastAsia="Segoe UI" w:cs="Segoe UI" w:ascii="Segoe UI" w:hAnsi="Segoe UI"/>
          <w:color w:val="101820"/>
          <w:sz w:val="21"/>
        </w:rPr>
        <w:t xml:space="preserve"> Between iorta TechNXT and the Client, the Licence Agreement prevails over this Escrow Agreement on the scope of the licence; this Escrow Agreement prevails on the deposit, verification and release procedure.</w:t>
      </w:r>
    </w:p>
    <w:p>
      <w:pPr>
        <w:pStyle w:val="Normal"/>
        <w:numPr>
          <w:ilvl w:val="0"/>
          <w:numId w:val="57"/>
        </w:numPr>
        <w:spacing w:before="0" w:after="60"/>
        <w:rPr/>
      </w:pPr>
      <w:r>
        <w:rPr>
          <w:rFonts w:eastAsia="Segoe UI" w:cs="Segoe UI" w:ascii="Segoe UI" w:hAnsi="Segoe UI"/>
          <w:b/>
          <w:color w:val="101820"/>
          <w:sz w:val="21"/>
        </w:rPr>
        <w:t>Amendment</w:t>
      </w:r>
      <w:r>
        <w:rPr>
          <w:rFonts w:eastAsia="Segoe UI" w:cs="Segoe UI" w:ascii="Segoe UI" w:hAnsi="Segoe UI"/>
          <w:color w:val="101820"/>
          <w:sz w:val="21"/>
        </w:rPr>
        <w:t xml:space="preserve"> is valid only in writing signed by all three Parties.</w:t>
      </w:r>
    </w:p>
    <w:p>
      <w:pPr>
        <w:pStyle w:val="Normal"/>
        <w:numPr>
          <w:ilvl w:val="0"/>
          <w:numId w:val="58"/>
        </w:numPr>
        <w:spacing w:before="0" w:after="60"/>
        <w:rPr/>
      </w:pPr>
      <w:r>
        <w:rPr>
          <w:rFonts w:eastAsia="Segoe UI" w:cs="Segoe UI" w:ascii="Segoe UI" w:hAnsi="Segoe UI"/>
          <w:b/>
          <w:color w:val="101820"/>
          <w:sz w:val="21"/>
        </w:rPr>
        <w:t>Electronic signatures and counterparts</w:t>
      </w:r>
      <w:r>
        <w:rPr>
          <w:rFonts w:eastAsia="Segoe UI" w:cs="Segoe UI" w:ascii="Segoe UI" w:hAnsi="Segoe UI"/>
          <w:color w:val="101820"/>
          <w:sz w:val="21"/>
        </w:rPr>
        <w:t xml:space="preserve"> are accepted under RA 8792 (Electronic Commerce Act of 2000).</w:t>
      </w:r>
      <w:r>
        <w:br w:type="page"/>
      </w:r>
    </w:p>
    <w:p>
      <w:pPr>
        <w:pStyle w:val="Heading1"/>
        <w:rPr/>
      </w:pPr>
      <w:bookmarkStart w:id="24" w:name="__RefHeading___Toc55754_3199679052"/>
      <w:bookmarkEnd w:id="24"/>
      <w:r>
        <w:rPr>
          <w:rFonts w:eastAsia="Segoe UI" w:cs="Segoe UI" w:ascii="Segoe UI" w:hAnsi="Segoe UI"/>
          <w:b/>
          <w:color w:val="0F4761"/>
          <w:sz w:val="32"/>
        </w:rPr>
        <w:t>8.  Signatures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76"/>
        <w:gridCol w:w="3145"/>
        <w:gridCol w:w="2892"/>
      </w:tblGrid>
      <w:tr>
        <w:trPr>
          <w:tblHeader w:val="true"/>
        </w:trPr>
        <w:tc>
          <w:tcPr>
            <w:tcW w:w="29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 (Depositor)</w:t>
            </w:r>
          </w:p>
        </w:tc>
        <w:tc>
          <w:tcPr>
            <w:tcW w:w="3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 (Beneficiary)</w:t>
            </w:r>
          </w:p>
        </w:tc>
        <w:tc>
          <w:tcPr>
            <w:tcW w:w="28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[Escrow agent] (Escrow Agent)</w:t>
            </w:r>
          </w:p>
        </w:tc>
      </w:tr>
      <w:tr>
        <w:trPr/>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w:t>
            </w:r>
          </w:p>
        </w:tc>
        <w:tc>
          <w:tcPr>
            <w:tcW w:w="2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w:t>
            </w:r>
          </w:p>
        </w:tc>
      </w:tr>
      <w:tr>
        <w:trPr/>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2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2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2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r>
        <w:trPr/>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address and e-mail: [entry]</w:t>
            </w:r>
          </w:p>
        </w:tc>
        <w:tc>
          <w:tcPr>
            <w:tcW w:w="3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address and e-mail: [entry]</w:t>
            </w:r>
          </w:p>
        </w:tc>
        <w:tc>
          <w:tcPr>
            <w:tcW w:w="2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address and e-mail: [entry]</w:t>
            </w:r>
          </w:p>
        </w:tc>
      </w:tr>
    </w:tbl>
    <w:p>
      <w:pPr>
        <w:pStyle w:val="Heading1"/>
        <w:rPr/>
      </w:pPr>
      <w:r>
        <w:br w:type="page"/>
      </w:r>
      <w:bookmarkStart w:id="25" w:name="__RefHeading___Toc55756_3199679052"/>
      <w:bookmarkEnd w:id="25"/>
      <w:r>
        <w:rPr>
          <w:rFonts w:eastAsia="Segoe UI" w:cs="Segoe UI" w:ascii="Segoe UI" w:hAnsi="Segoe UI"/>
          <w:b/>
          <w:color w:val="0F4761"/>
          <w:sz w:val="32"/>
        </w:rPr>
        <w:t>9.  Schedules</w:t>
      </w:r>
    </w:p>
    <w:p>
      <w:pPr>
        <w:pStyle w:val="Heading2"/>
        <w:rPr/>
      </w:pPr>
      <w:bookmarkStart w:id="26" w:name="__RefHeading___Toc55758_3199679052"/>
      <w:bookmarkEnd w:id="26"/>
      <w:r>
        <w:rPr>
          <w:rFonts w:eastAsia="Segoe UI" w:cs="Segoe UI"/>
          <w:b/>
          <w:color w:val="0F4761"/>
          <w:sz w:val="26"/>
        </w:rPr>
        <w:t>9.1  Schedule 1: Deposit Materials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40"/>
        <w:gridCol w:w="4973"/>
      </w:tblGrid>
      <w:tr>
        <w:trPr>
          <w:tblHeader w:val="true"/>
        </w:trPr>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source code</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of the API (Node.js 22), including the database migrations and the seed data</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source code</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of the web application (React 18), with its build configuration</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Schema of the PostgreSQL 16 database as created by the migrations; the data dictionary</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and deployment</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manifests and lock files, container build files, deployment scripts and the deployment guide, with the versions of the build tools</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instructions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Step-by-step instructions to build the back end and the front end from the Deposit and to install them in a clean environment, with a smoke test</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templates and document templates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delivered upload templates and printed document templates of the release</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Third-party components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 of the third-party and open-source components with their versions, licences and sources</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of the deposited release</w:t>
            </w:r>
          </w:p>
        </w:tc>
      </w:tr>
      <w:tr>
        <w:trPr/>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Excluded</w:t>
            </w:r>
          </w:p>
        </w:tc>
        <w:tc>
          <w:tcPr>
            <w:tcW w:w="4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 secrets, encryption keys and passwords of any environment; iorta TechNXT internal tools that are not needed to build or run the Licensed Software</w:t>
            </w:r>
          </w:p>
        </w:tc>
      </w:tr>
    </w:tbl>
    <w:p>
      <w:pPr>
        <w:pStyle w:val="Normal"/>
        <w:spacing w:before="0" w:after="80"/>
        <w:rPr/>
      </w:pPr>
      <w:r>
        <w:rPr/>
      </w:r>
    </w:p>
    <w:p>
      <w:pPr>
        <w:pStyle w:val="Heading2"/>
        <w:rPr/>
      </w:pPr>
      <w:bookmarkStart w:id="27" w:name="__RefHeading___Toc55760_3199679052"/>
      <w:bookmarkEnd w:id="27"/>
      <w:r>
        <w:rPr>
          <w:rFonts w:eastAsia="Segoe UI" w:cs="Segoe UI"/>
          <w:b/>
          <w:color w:val="0F4761"/>
          <w:sz w:val="26"/>
        </w:rPr>
        <w:t>9.2  Schedule 2: verification levels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Escrow Agent checks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Level 1: inventory</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Media readable; checksums match the deposit form; contents match Schedule 1 by file inventory; no Client Data or secrets present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Level 2: build</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Level 1, plus a build of the back end and the front end from the Deposit by following the build instructions in a clean environment, and a start of the API against an empty PostgreSQL 16 database with the migrations applied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level chosen by the Client: [Level 1 / Level 2].</w:t>
      </w:r>
    </w:p>
    <w:p>
      <w:pPr>
        <w:pStyle w:val="Heading2"/>
        <w:rPr/>
      </w:pPr>
      <w:bookmarkStart w:id="28" w:name="__RefHeading___Toc55762_3199679052"/>
      <w:bookmarkEnd w:id="28"/>
      <w:r>
        <w:rPr>
          <w:rFonts w:eastAsia="Segoe UI" w:cs="Segoe UI"/>
          <w:b/>
          <w:color w:val="0F4761"/>
          <w:sz w:val="26"/>
        </w:rPr>
        <w:t>9.3  Schedule 3: deposit form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Deposit no.</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Agreement and Order Form</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 and numbers]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deposited</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tag and date]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Archives and checksums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name: checksum]</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tool versions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 package manager, container tool and others]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by (iorta TechNXT)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Received by (Escrow Agent)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bl>
    <w:p>
      <w:pPr>
        <w:pStyle w:val="Normal"/>
        <w:spacing w:before="0" w:after="80"/>
        <w:rPr/>
      </w:pPr>
      <w:r>
        <w:rPr/>
      </w:r>
    </w:p>
    <w:p>
      <w:pPr>
        <w:pStyle w:val="Heading2"/>
        <w:rPr/>
      </w:pPr>
      <w:bookmarkStart w:id="29" w:name="__RefHeading___Toc55764_3199679052"/>
      <w:bookmarkEnd w:id="29"/>
      <w:r>
        <w:rPr>
          <w:rFonts w:eastAsia="Segoe UI" w:cs="Segoe UI"/>
          <w:b/>
          <w:color w:val="0F4761"/>
          <w:sz w:val="26"/>
        </w:rPr>
        <w:t>9.4  Schedule 4: fees of the Escrow Agent</w:t>
      </w:r>
    </w:p>
    <w:p>
      <w:pPr>
        <w:pStyle w:val="Normal"/>
        <w:spacing w:lineRule="auto" w:line="276" w:before="0" w:after="120"/>
        <w:rPr/>
      </w:pPr>
      <w:r>
        <w:rPr>
          <w:rFonts w:eastAsia="Segoe UI" w:cs="Segoe UI" w:ascii="Segoe UI" w:hAnsi="Segoe UI"/>
          <w:color w:val="101820"/>
          <w:sz w:val="21"/>
        </w:rPr>
        <w:t>The fees are those of the Escrow Agent's quotation ref. [reference], payable by the Client and excluding VAT.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82"/>
        <w:gridCol w:w="1503"/>
        <w:gridCol w:w="2128"/>
      </w:tblGrid>
      <w:tr>
        <w:trPr>
          <w:tblHeader w:val="true"/>
        </w:trPr>
        <w:tc>
          <w:tcPr>
            <w:tcW w:w="53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Fee</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w:t>
            </w:r>
          </w:p>
        </w:tc>
        <w:tc>
          <w:tcPr>
            <w:tcW w:w="21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signature</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fee, including [one] updated Deposit</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additional updated Deposit</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deposit</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Verification, Level 1</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Verification, Level 2</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r>
      <w:tr>
        <w:trPr/>
        <w:tc>
          <w:tcPr>
            <w:tcW w:w="5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c>
          <w:tcPr>
            <w:tcW w:w="2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release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0" w:name="__RefHeading___Toc55766_3199679052"/>
      <w:bookmarkStart w:id="31" w:name="_Toc233203395"/>
      <w:bookmarkEnd w:id="30"/>
      <w:r>
        <w:rPr>
          <w:rStyle w:val="BookTitle"/>
          <w:bCs w:val="false"/>
          <w:i w:val="false"/>
          <w:iCs w:val="false"/>
          <w:spacing w:val="0"/>
        </w:rPr>
        <w:t>10.  Document Sign-Off</w:t>
      </w:r>
      <w:bookmarkEnd w:id="3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Choice of escrow agent; review of this template against the escrow agent's standard terms by the parties' legal counsel</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9">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1"/>
    </w:lvlOverride>
  </w:num>
  <w:num w:numId="16">
    <w:abstractNumId w:val="2"/>
    <w:lvlOverride w:ilvl="0">
      <w:startOverride w:val="1"/>
    </w:lvlOverride>
  </w:num>
  <w:num w:numId="17">
    <w:abstractNumId w:val="2"/>
  </w:num>
  <w:num w:numId="18">
    <w:abstractNumId w:val="2"/>
  </w:num>
  <w:num w:numId="19">
    <w:abstractNumId w:val="2"/>
    <w:lvlOverride w:ilvl="0">
      <w:startOverride w:val="1"/>
    </w:lvlOverride>
  </w:num>
  <w:num w:numId="20">
    <w:abstractNumId w:val="2"/>
  </w:num>
  <w:num w:numId="21">
    <w:abstractNumId w:val="2"/>
  </w:num>
  <w:num w:numId="22">
    <w:abstractNumId w:val="2"/>
    <w:lvlOverride w:ilvl="0">
      <w:startOverride w:val="1"/>
    </w:lvlOverride>
  </w:num>
  <w:num w:numId="23">
    <w:abstractNumId w:val="2"/>
  </w:num>
  <w:num w:numId="24">
    <w:abstractNumId w:val="2"/>
  </w:num>
  <w:num w:numId="25">
    <w:abstractNumId w:val="2"/>
    <w:lvlOverride w:ilvl="0">
      <w:startOverride w:val="1"/>
    </w:lvlOverride>
  </w:num>
  <w:num w:numId="26">
    <w:abstractNumId w:val="2"/>
  </w:num>
  <w:num w:numId="27">
    <w:abstractNumId w:val="2"/>
  </w:num>
  <w:num w:numId="28">
    <w:abstractNumId w:val="2"/>
  </w:num>
  <w:num w:numId="29">
    <w:abstractNumId w:val="2"/>
    <w:lvlOverride w:ilvl="0">
      <w:startOverride w:val="1"/>
    </w:lvlOverride>
  </w:num>
  <w:num w:numId="30">
    <w:abstractNumId w:val="2"/>
  </w:num>
  <w:num w:numId="31">
    <w:abstractNumId w:val="2"/>
    <w:lvlOverride w:ilvl="0">
      <w:startOverride w:val="1"/>
    </w:lvlOverride>
  </w:num>
  <w:num w:numId="32">
    <w:abstractNumId w:val="2"/>
  </w:num>
  <w:num w:numId="33">
    <w:abstractNumId w:val="2"/>
  </w:num>
  <w:num w:numId="34">
    <w:abstractNumId w:val="2"/>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num>
  <w:num w:numId="41">
    <w:abstractNumId w:val="2"/>
    <w:lvlOverride w:ilvl="0">
      <w:startOverride w:val="1"/>
    </w:lvlOverride>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lvlOverride w:ilvl="0">
      <w:startOverride w:val="1"/>
    </w:lvlOverride>
  </w:num>
  <w:num w:numId="49">
    <w:abstractNumId w:val="2"/>
  </w:num>
  <w:num w:numId="50">
    <w:abstractNumId w:val="2"/>
  </w:num>
  <w:num w:numId="51">
    <w:abstractNumId w:val="2"/>
  </w:num>
  <w:num w:numId="52">
    <w:abstractNumId w:val="2"/>
  </w:num>
  <w:num w:numId="53">
    <w:abstractNumId w:val="2"/>
    <w:lvlOverride w:ilvl="0">
      <w:startOverride w:val="1"/>
    </w:lvlOverride>
  </w:num>
  <w:num w:numId="54">
    <w:abstractNumId w:val="2"/>
  </w:num>
  <w:num w:numId="55">
    <w:abstractNumId w:val="2"/>
  </w:num>
  <w:num w:numId="56">
    <w:abstractNumId w:val="2"/>
  </w:num>
  <w:num w:numId="57">
    <w:abstractNumId w:val="2"/>
  </w:num>
  <w:num w:numId="58">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