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6.png" ContentType="image/png"/>
  <Override PartName="/word/media/image1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11.png" ContentType="image/png"/>
  <Override PartName="/word/media/image12.jpeg" ContentType="image/jpeg"/>
  <Override PartName="/word/media/image8.png" ContentType="image/png"/>
  <Override PartName="/word/media/image9.png" ContentType="image/png"/>
  <Override PartName="/word/media/image13.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40">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51">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41"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3"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45"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04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04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7"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Dependency Map and Critical Path</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Dependency Map and Critical Path</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9"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implementation, by broker size</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implementation, by broker size</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91393_189461843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91395_189461843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91397_1894618434">
            <w:r>
              <w:rPr>
                <w:webHidden/>
                <w:rStyle w:val="IndexLink"/>
              </w:rPr>
              <w:t>3. Introduction</w:t>
              <w:tab/>
              <w:t>4</w:t>
            </w:r>
          </w:hyperlink>
        </w:p>
        <w:p>
          <w:pPr>
            <w:pStyle w:val="TOC2"/>
            <w:tabs>
              <w:tab w:val="clear" w:pos="900"/>
              <w:tab w:val="clear" w:pos="9350"/>
              <w:tab w:val="right" w:pos="9025" w:leader="dot"/>
            </w:tabs>
            <w:rPr/>
          </w:pPr>
          <w:hyperlink w:anchor="__RefHeading___Toc91399_1894618434">
            <w:r>
              <w:rPr>
                <w:webHidden/>
                <w:rStyle w:val="IndexLink"/>
              </w:rPr>
              <w:t>3.1 Purpose</w:t>
              <w:tab/>
              <w:t>4</w:t>
            </w:r>
          </w:hyperlink>
        </w:p>
        <w:p>
          <w:pPr>
            <w:pStyle w:val="TOC2"/>
            <w:tabs>
              <w:tab w:val="clear" w:pos="900"/>
              <w:tab w:val="clear" w:pos="9350"/>
              <w:tab w:val="right" w:pos="9025" w:leader="dot"/>
            </w:tabs>
            <w:rPr/>
          </w:pPr>
          <w:hyperlink w:anchor="__RefHeading___Toc91401_1894618434">
            <w:r>
              <w:rPr>
                <w:webHidden/>
                <w:rStyle w:val="IndexLink"/>
              </w:rPr>
              <w:t>3.2 How the figures are produced</w:t>
              <w:tab/>
              <w:t>4</w:t>
            </w:r>
          </w:hyperlink>
        </w:p>
        <w:p>
          <w:pPr>
            <w:pStyle w:val="TOC2"/>
            <w:tabs>
              <w:tab w:val="clear" w:pos="900"/>
              <w:tab w:val="clear" w:pos="9350"/>
              <w:tab w:val="right" w:pos="9025" w:leader="dot"/>
            </w:tabs>
            <w:rPr/>
          </w:pPr>
          <w:hyperlink w:anchor="__RefHeading___Toc91403_1894618434">
            <w:r>
              <w:rPr>
                <w:webHidden/>
                <w:rStyle w:val="IndexLink"/>
              </w:rPr>
              <w:t>3.3 Terms</w:t>
              <w:tab/>
              <w:t>5</w:t>
            </w:r>
          </w:hyperlink>
        </w:p>
        <w:p>
          <w:pPr>
            <w:pStyle w:val="TOC2"/>
            <w:tabs>
              <w:tab w:val="clear" w:pos="900"/>
              <w:tab w:val="clear" w:pos="9350"/>
              <w:tab w:val="right" w:pos="9025" w:leader="dot"/>
            </w:tabs>
            <w:rPr/>
          </w:pPr>
          <w:hyperlink w:anchor="__RefHeading___Toc91405_1894618434">
            <w:r>
              <w:rPr>
                <w:webHidden/>
                <w:rStyle w:val="IndexLink"/>
              </w:rPr>
              <w:t>3.4 Version history</w:t>
              <w:tab/>
              <w:t>5</w:t>
            </w:r>
          </w:hyperlink>
        </w:p>
        <w:p>
          <w:pPr>
            <w:pStyle w:val="TOC2"/>
            <w:tabs>
              <w:tab w:val="clear" w:pos="900"/>
              <w:tab w:val="clear" w:pos="9350"/>
              <w:tab w:val="right" w:pos="9025" w:leader="dot"/>
            </w:tabs>
            <w:rPr/>
          </w:pPr>
          <w:hyperlink w:anchor="__RefHeading___Toc91407_1894618434">
            <w:r>
              <w:rPr>
                <w:webHidden/>
                <w:rStyle w:val="IndexLink"/>
              </w:rPr>
              <w:t>3.5 Related documents</w:t>
              <w:tab/>
              <w:t>5</w:t>
            </w:r>
          </w:hyperlink>
        </w:p>
        <w:p>
          <w:pPr>
            <w:pStyle w:val="TOC1"/>
            <w:tabs>
              <w:tab w:val="clear" w:pos="900"/>
              <w:tab w:val="clear" w:pos="9350"/>
              <w:tab w:val="right" w:pos="9025" w:leader="dot"/>
            </w:tabs>
            <w:rPr/>
          </w:pPr>
          <w:hyperlink w:anchor="__RefHeading___Toc91409_1894618434">
            <w:r>
              <w:rPr>
                <w:webHidden/>
                <w:rStyle w:val="IndexLink"/>
              </w:rPr>
              <w:t>4. The dependency map</w:t>
              <w:tab/>
              <w:t>6</w:t>
            </w:r>
          </w:hyperlink>
        </w:p>
        <w:p>
          <w:pPr>
            <w:pStyle w:val="TOC2"/>
            <w:tabs>
              <w:tab w:val="clear" w:pos="900"/>
              <w:tab w:val="clear" w:pos="9350"/>
              <w:tab w:val="right" w:pos="9025" w:leader="dot"/>
            </w:tabs>
            <w:rPr/>
          </w:pPr>
          <w:hyperlink w:anchor="__RefHeading___Toc91411_1894618434">
            <w:r>
              <w:rPr>
                <w:webHidden/>
                <w:rStyle w:val="IndexLink"/>
              </w:rPr>
              <w:t>4.1 Phases and gates</w:t>
              <w:tab/>
              <w:t>6</w:t>
            </w:r>
          </w:hyperlink>
        </w:p>
        <w:p>
          <w:pPr>
            <w:pStyle w:val="TOC2"/>
            <w:tabs>
              <w:tab w:val="clear" w:pos="900"/>
              <w:tab w:val="clear" w:pos="9350"/>
              <w:tab w:val="right" w:pos="9025" w:leader="dot"/>
            </w:tabs>
            <w:rPr/>
          </w:pPr>
          <w:hyperlink w:anchor="__RefHeading___Toc91413_1894618434">
            <w:r>
              <w:rPr>
                <w:webHidden/>
                <w:rStyle w:val="IndexLink"/>
              </w:rPr>
              <w:t>4.2 Three kinds of gate</w:t>
              <w:tab/>
              <w:t>7</w:t>
            </w:r>
          </w:hyperlink>
        </w:p>
        <w:p>
          <w:pPr>
            <w:pStyle w:val="TOC1"/>
            <w:tabs>
              <w:tab w:val="clear" w:pos="900"/>
              <w:tab w:val="clear" w:pos="9350"/>
              <w:tab w:val="right" w:pos="9025" w:leader="dot"/>
            </w:tabs>
            <w:rPr/>
          </w:pPr>
          <w:hyperlink w:anchor="__RefHeading___Toc91415_1894618434">
            <w:r>
              <w:rPr>
                <w:webHidden/>
                <w:rStyle w:val="IndexLink"/>
              </w:rPr>
              <w:t>5. Client inputs</w:t>
              <w:tab/>
              <w:t>8</w:t>
            </w:r>
          </w:hyperlink>
        </w:p>
        <w:p>
          <w:pPr>
            <w:pStyle w:val="TOC2"/>
            <w:tabs>
              <w:tab w:val="clear" w:pos="900"/>
              <w:tab w:val="clear" w:pos="9350"/>
              <w:tab w:val="right" w:pos="9025" w:leader="dot"/>
            </w:tabs>
            <w:rPr/>
          </w:pPr>
          <w:hyperlink w:anchor="__RefHeading___Toc91417_1894618434">
            <w:r>
              <w:rPr>
                <w:webHidden/>
                <w:rStyle w:val="IndexLink"/>
              </w:rPr>
              <w:t>5.1 What the broker provides</w:t>
              <w:tab/>
              <w:t>8</w:t>
            </w:r>
          </w:hyperlink>
        </w:p>
        <w:p>
          <w:pPr>
            <w:pStyle w:val="TOC2"/>
            <w:tabs>
              <w:tab w:val="clear" w:pos="900"/>
              <w:tab w:val="clear" w:pos="9350"/>
              <w:tab w:val="right" w:pos="9025" w:leader="dot"/>
            </w:tabs>
            <w:rPr/>
          </w:pPr>
          <w:hyperlink w:anchor="__RefHeading___Toc91419_1894618434">
            <w:r>
              <w:rPr>
                <w:webHidden/>
                <w:rStyle w:val="IndexLink"/>
              </w:rPr>
              <w:t>5.2 The kits the inputs go into</w:t>
              <w:tab/>
              <w:t>9</w:t>
            </w:r>
          </w:hyperlink>
        </w:p>
        <w:p>
          <w:pPr>
            <w:pStyle w:val="TOC1"/>
            <w:tabs>
              <w:tab w:val="clear" w:pos="900"/>
              <w:tab w:val="clear" w:pos="9350"/>
              <w:tab w:val="right" w:pos="9025" w:leader="dot"/>
            </w:tabs>
            <w:rPr/>
          </w:pPr>
          <w:hyperlink w:anchor="__RefHeading___Toc91421_1894618434">
            <w:r>
              <w:rPr>
                <w:webHidden/>
                <w:rStyle w:val="IndexLink"/>
              </w:rPr>
              <w:t>6. Partner certifications</w:t>
              <w:tab/>
              <w:t>10</w:t>
            </w:r>
          </w:hyperlink>
        </w:p>
        <w:p>
          <w:pPr>
            <w:pStyle w:val="TOC2"/>
            <w:tabs>
              <w:tab w:val="clear" w:pos="900"/>
              <w:tab w:val="clear" w:pos="9350"/>
              <w:tab w:val="right" w:pos="9025" w:leader="dot"/>
            </w:tabs>
            <w:rPr/>
          </w:pPr>
          <w:hyperlink w:anchor="__RefHeading___Toc91423_1894618434">
            <w:r>
              <w:rPr>
                <w:webHidden/>
                <w:rStyle w:val="IndexLink"/>
              </w:rPr>
              <w:t>6.1 Partners and fallbacks</w:t>
              <w:tab/>
              <w:t>10</w:t>
            </w:r>
          </w:hyperlink>
        </w:p>
        <w:p>
          <w:pPr>
            <w:pStyle w:val="TOC2"/>
            <w:tabs>
              <w:tab w:val="clear" w:pos="900"/>
              <w:tab w:val="clear" w:pos="9350"/>
              <w:tab w:val="right" w:pos="9025" w:leader="dot"/>
            </w:tabs>
            <w:rPr/>
          </w:pPr>
          <w:hyperlink w:anchor="__RefHeading___Toc91425_1894618434">
            <w:r>
              <w:rPr>
                <w:webHidden/>
                <w:rStyle w:val="IndexLink"/>
              </w:rPr>
              <w:t>6.2 When each partner must be live</w:t>
              <w:tab/>
              <w:t>11</w:t>
            </w:r>
          </w:hyperlink>
        </w:p>
        <w:p>
          <w:pPr>
            <w:pStyle w:val="TOC1"/>
            <w:tabs>
              <w:tab w:val="clear" w:pos="900"/>
              <w:tab w:val="clear" w:pos="9350"/>
              <w:tab w:val="right" w:pos="9025" w:leader="dot"/>
            </w:tabs>
            <w:rPr/>
          </w:pPr>
          <w:hyperlink w:anchor="__RefHeading___Toc91427_1894618434">
            <w:r>
              <w:rPr>
                <w:webHidden/>
                <w:rStyle w:val="IndexLink"/>
              </w:rPr>
              <w:t>7. Regulatory registrations</w:t>
              <w:tab/>
              <w:t>13</w:t>
            </w:r>
          </w:hyperlink>
        </w:p>
        <w:p>
          <w:pPr>
            <w:pStyle w:val="TOC2"/>
            <w:tabs>
              <w:tab w:val="clear" w:pos="900"/>
              <w:tab w:val="clear" w:pos="9350"/>
              <w:tab w:val="right" w:pos="9025" w:leader="dot"/>
            </w:tabs>
            <w:rPr/>
          </w:pPr>
          <w:hyperlink w:anchor="__RefHeading___Toc91429_1894618434">
            <w:r>
              <w:rPr>
                <w:webHidden/>
                <w:rStyle w:val="IndexLink"/>
              </w:rPr>
              <w:t>7.1 What the broker registers, and what it unlocks</w:t>
              <w:tab/>
              <w:t>13</w:t>
            </w:r>
          </w:hyperlink>
        </w:p>
        <w:p>
          <w:pPr>
            <w:pStyle w:val="TOC1"/>
            <w:tabs>
              <w:tab w:val="clear" w:pos="900"/>
              <w:tab w:val="clear" w:pos="9350"/>
              <w:tab w:val="right" w:pos="9025" w:leader="dot"/>
            </w:tabs>
            <w:rPr/>
          </w:pPr>
          <w:hyperlink w:anchor="__RefHeading___Toc91431_1894618434">
            <w:r>
              <w:rPr>
                <w:webHidden/>
                <w:rStyle w:val="IndexLink"/>
              </w:rPr>
              <w:t>8. Environments, pipeline and keys</w:t>
              <w:tab/>
              <w:t>15</w:t>
            </w:r>
          </w:hyperlink>
        </w:p>
        <w:p>
          <w:pPr>
            <w:pStyle w:val="TOC2"/>
            <w:tabs>
              <w:tab w:val="clear" w:pos="900"/>
              <w:tab w:val="clear" w:pos="9350"/>
              <w:tab w:val="right" w:pos="9025" w:leader="dot"/>
            </w:tabs>
            <w:rPr/>
          </w:pPr>
          <w:hyperlink w:anchor="__RefHeading___Toc91433_1894618434">
            <w:r>
              <w:rPr>
                <w:webHidden/>
                <w:rStyle w:val="IndexLink"/>
              </w:rPr>
              <w:t>8.1 Set-up order</w:t>
              <w:tab/>
              <w:t>15</w:t>
            </w:r>
          </w:hyperlink>
        </w:p>
        <w:p>
          <w:pPr>
            <w:pStyle w:val="TOC2"/>
            <w:tabs>
              <w:tab w:val="clear" w:pos="900"/>
              <w:tab w:val="clear" w:pos="9350"/>
              <w:tab w:val="right" w:pos="9025" w:leader="dot"/>
            </w:tabs>
            <w:rPr/>
          </w:pPr>
          <w:hyperlink w:anchor="__RefHeading___Toc91435_1894618434">
            <w:r>
              <w:rPr>
                <w:webHidden/>
                <w:rStyle w:val="IndexLink"/>
              </w:rPr>
              <w:t>8.2 Encryption key custody</w:t>
              <w:tab/>
              <w:t>17</w:t>
            </w:r>
          </w:hyperlink>
        </w:p>
        <w:p>
          <w:pPr>
            <w:pStyle w:val="TOC1"/>
            <w:tabs>
              <w:tab w:val="clear" w:pos="900"/>
              <w:tab w:val="clear" w:pos="9350"/>
              <w:tab w:val="right" w:pos="9025" w:leader="dot"/>
            </w:tabs>
            <w:rPr/>
          </w:pPr>
          <w:hyperlink w:anchor="__RefHeading___Toc91437_1894618434">
            <w:r>
              <w:rPr>
                <w:webHidden/>
                <w:rStyle w:val="IndexLink"/>
              </w:rPr>
              <w:t>9. Critical path by size</w:t>
              <w:tab/>
              <w:t>19</w:t>
            </w:r>
          </w:hyperlink>
        </w:p>
        <w:p>
          <w:pPr>
            <w:pStyle w:val="TOC2"/>
            <w:tabs>
              <w:tab w:val="clear" w:pos="900"/>
              <w:tab w:val="clear" w:pos="9350"/>
              <w:tab w:val="right" w:pos="9025" w:leader="dot"/>
            </w:tabs>
            <w:rPr/>
          </w:pPr>
          <w:hyperlink w:anchor="__RefHeading___Toc91439_1894618434">
            <w:r>
              <w:rPr>
                <w:webHidden/>
                <w:rStyle w:val="IndexLink"/>
              </w:rPr>
              <w:t>9.1 How to read the charts</w:t>
              <w:tab/>
              <w:t>19</w:t>
            </w:r>
          </w:hyperlink>
        </w:p>
        <w:p>
          <w:pPr>
            <w:pStyle w:val="TOC2"/>
            <w:tabs>
              <w:tab w:val="clear" w:pos="900"/>
              <w:tab w:val="clear" w:pos="9350"/>
              <w:tab w:val="right" w:pos="9025" w:leader="dot"/>
            </w:tabs>
            <w:rPr/>
          </w:pPr>
          <w:hyperlink w:anchor="__RefHeading___Toc91441_1894618434">
            <w:r>
              <w:rPr>
                <w:webHidden/>
                <w:rStyle w:val="IndexLink"/>
              </w:rPr>
              <w:t>9.2 Small broker (8 weeks)</w:t>
              <w:tab/>
              <w:t>19</w:t>
            </w:r>
          </w:hyperlink>
        </w:p>
        <w:p>
          <w:pPr>
            <w:pStyle w:val="TOC2"/>
            <w:tabs>
              <w:tab w:val="clear" w:pos="900"/>
              <w:tab w:val="clear" w:pos="9350"/>
              <w:tab w:val="right" w:pos="9025" w:leader="dot"/>
            </w:tabs>
            <w:rPr/>
          </w:pPr>
          <w:hyperlink w:anchor="__RefHeading___Toc91443_1894618434">
            <w:r>
              <w:rPr>
                <w:webHidden/>
                <w:rStyle w:val="IndexLink"/>
              </w:rPr>
              <w:t>9.3 Medium broker (12 weeks)</w:t>
              <w:tab/>
              <w:t>20</w:t>
            </w:r>
          </w:hyperlink>
        </w:p>
        <w:p>
          <w:pPr>
            <w:pStyle w:val="TOC2"/>
            <w:tabs>
              <w:tab w:val="clear" w:pos="900"/>
              <w:tab w:val="clear" w:pos="9350"/>
              <w:tab w:val="right" w:pos="9025" w:leader="dot"/>
            </w:tabs>
            <w:rPr/>
          </w:pPr>
          <w:hyperlink w:anchor="__RefHeading___Toc91445_1894618434">
            <w:r>
              <w:rPr>
                <w:webHidden/>
                <w:rStyle w:val="IndexLink"/>
              </w:rPr>
              <w:t>9.4 Large broker (20 weeks)</w:t>
              <w:tab/>
              <w:t>20</w:t>
            </w:r>
          </w:hyperlink>
        </w:p>
        <w:p>
          <w:pPr>
            <w:pStyle w:val="TOC2"/>
            <w:tabs>
              <w:tab w:val="clear" w:pos="900"/>
              <w:tab w:val="clear" w:pos="9350"/>
              <w:tab w:val="right" w:pos="9025" w:leader="dot"/>
            </w:tabs>
            <w:rPr/>
          </w:pPr>
          <w:hyperlink w:anchor="__RefHeading___Toc91447_1894618434">
            <w:r>
              <w:rPr>
                <w:webHidden/>
                <w:rStyle w:val="IndexLink"/>
              </w:rPr>
              <w:t>9.5 Enterprise broker (26 weeks)</w:t>
              <w:tab/>
              <w:t>21</w:t>
            </w:r>
          </w:hyperlink>
        </w:p>
        <w:p>
          <w:pPr>
            <w:pStyle w:val="TOC1"/>
            <w:tabs>
              <w:tab w:val="clear" w:pos="900"/>
              <w:tab w:val="clear" w:pos="9350"/>
              <w:tab w:val="right" w:pos="9025" w:leader="dot"/>
            </w:tabs>
            <w:rPr/>
          </w:pPr>
          <w:hyperlink w:anchor="__RefHeading___Toc91449_1894618434">
            <w:r>
              <w:rPr>
                <w:webHidden/>
                <w:rStyle w:val="IndexLink"/>
              </w:rPr>
              <w:t>10. Lead times</w:t>
              <w:tab/>
              <w:t>22</w:t>
            </w:r>
          </w:hyperlink>
        </w:p>
        <w:p>
          <w:pPr>
            <w:pStyle w:val="TOC1"/>
            <w:tabs>
              <w:tab w:val="clear" w:pos="900"/>
              <w:tab w:val="clear" w:pos="9350"/>
              <w:tab w:val="right" w:pos="9025" w:leader="dot"/>
            </w:tabs>
            <w:rPr/>
          </w:pPr>
          <w:hyperlink w:anchor="__RefHeading___Toc91451_1894618434">
            <w:r>
              <w:rPr>
                <w:webHidden/>
                <w:rStyle w:val="IndexLink"/>
              </w:rPr>
              <w:t>11. What slips if a dependency slips</w:t>
              <w:tab/>
              <w:t>23</w:t>
            </w:r>
          </w:hyperlink>
        </w:p>
        <w:p>
          <w:pPr>
            <w:pStyle w:val="TOC2"/>
            <w:tabs>
              <w:tab w:val="clear" w:pos="900"/>
              <w:tab w:val="clear" w:pos="9350"/>
              <w:tab w:val="right" w:pos="9025" w:leader="dot"/>
            </w:tabs>
            <w:rPr/>
          </w:pPr>
          <w:hyperlink w:anchor="__RefHeading___Toc91453_1894618434">
            <w:r>
              <w:rPr>
                <w:webHidden/>
                <w:rStyle w:val="IndexLink"/>
              </w:rPr>
              <w:t>11.1 Dependencies that hold the go-live</w:t>
              <w:tab/>
              <w:t>23</w:t>
            </w:r>
          </w:hyperlink>
        </w:p>
        <w:p>
          <w:pPr>
            <w:pStyle w:val="TOC2"/>
            <w:tabs>
              <w:tab w:val="clear" w:pos="900"/>
              <w:tab w:val="clear" w:pos="9350"/>
              <w:tab w:val="right" w:pos="9025" w:leader="dot"/>
            </w:tabs>
            <w:rPr/>
          </w:pPr>
          <w:hyperlink w:anchor="__RefHeading___Toc91455_1894618434">
            <w:r>
              <w:rPr>
                <w:webHidden/>
                <w:rStyle w:val="IndexLink"/>
              </w:rPr>
              <w:t>11.2 What else moves with it</w:t>
              <w:tab/>
              <w:t>24</w:t>
            </w:r>
          </w:hyperlink>
        </w:p>
        <w:p>
          <w:pPr>
            <w:pStyle w:val="TOC2"/>
            <w:tabs>
              <w:tab w:val="clear" w:pos="900"/>
              <w:tab w:val="clear" w:pos="9350"/>
              <w:tab w:val="right" w:pos="9025" w:leader="dot"/>
            </w:tabs>
            <w:rPr/>
          </w:pPr>
          <w:hyperlink w:anchor="__RefHeading___Toc91457_1894618434">
            <w:r>
              <w:rPr>
                <w:webHidden/>
                <w:rStyle w:val="IndexLink"/>
              </w:rPr>
              <w:t>11.3 Feature-only dependencies</w:t>
              <w:tab/>
              <w:t>24</w:t>
            </w:r>
          </w:hyperlink>
        </w:p>
        <w:p>
          <w:pPr>
            <w:pStyle w:val="TOC1"/>
            <w:tabs>
              <w:tab w:val="clear" w:pos="900"/>
              <w:tab w:val="clear" w:pos="9350"/>
              <w:tab w:val="right" w:pos="9025" w:leader="dot"/>
            </w:tabs>
            <w:rPr/>
          </w:pPr>
          <w:hyperlink w:anchor="__RefHeading___Toc91459_1894618434">
            <w:r>
              <w:rPr>
                <w:webHidden/>
                <w:rStyle w:val="IndexLink"/>
              </w:rPr>
              <w:t>12. Managing the dependencies</w:t>
              <w:tab/>
              <w:t>26</w:t>
            </w:r>
          </w:hyperlink>
        </w:p>
        <w:p>
          <w:pPr>
            <w:pStyle w:val="TOC1"/>
            <w:tabs>
              <w:tab w:val="clear" w:pos="900"/>
              <w:tab w:val="clear" w:pos="9350"/>
              <w:tab w:val="right" w:pos="9025" w:leader="dot"/>
            </w:tabs>
            <w:rPr/>
          </w:pPr>
          <w:hyperlink w:anchor="__RefHeading___Toc91461_1894618434">
            <w:r>
              <w:rPr>
                <w:webHidden/>
                <w:rStyle w:val="IndexLink"/>
                <w:i w:val="false"/>
                <w:iCs w:val="false"/>
              </w:rPr>
              <w:t>13. Document Sign-Off</w:t>
            </w:r>
            <w:r>
              <w:rPr>
                <w:rStyle w:val="IndexLink"/>
              </w:rPr>
              <w:tab/>
              <w:t>27</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91393_189461843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04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1.0.1</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Version 1.0.1: Client brand packs: basis is the client's contract with iorta TechNXT (management decision of 04 October 2026). Version 1.0: Initial issue: dependencies, lead times, critical path by size and the effect of each late dependency</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91395_189461843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AMLC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Anti-Money Laundering Council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Authority to Print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Computerized Accounting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Certificate of cover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CTPL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Compulsory Third Party Liability</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Covered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EIS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Electronic Invoicing System</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GNG</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Go/no-go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LTO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Land Transportation Office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PEP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Politically exposed person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Project manager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and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Suspicious transaction report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91397_1894618434"/>
      <w:bookmarkEnd w:id="6"/>
      <w:r>
        <w:rPr>
          <w:rFonts w:eastAsia="Segoe UI" w:cs="Segoe UI" w:ascii="Segoe UI" w:hAnsi="Segoe UI"/>
          <w:b/>
          <w:color w:val="0F4761"/>
          <w:sz w:val="32"/>
        </w:rPr>
        <w:t>3.  Introduction</w:t>
      </w:r>
    </w:p>
    <w:p>
      <w:pPr>
        <w:pStyle w:val="Heading2"/>
        <w:rPr/>
      </w:pPr>
      <w:bookmarkStart w:id="7" w:name="__RefHeading___Toc91399_1894618434"/>
      <w:bookmarkEnd w:id="7"/>
      <w:r>
        <w:rPr>
          <w:rFonts w:eastAsia="Segoe UI" w:cs="Segoe UI"/>
          <w:b/>
          <w:color w:val="0F4761"/>
          <w:sz w:val="26"/>
        </w:rPr>
        <w:t>3.1  Purpose</w:t>
      </w:r>
    </w:p>
    <w:p>
      <w:pPr>
        <w:pStyle w:val="Normal"/>
        <w:spacing w:lineRule="auto" w:line="276" w:before="0" w:after="120"/>
        <w:rPr/>
      </w:pPr>
      <w:r>
        <w:rPr>
          <w:rFonts w:eastAsia="Segoe UI" w:cs="Segoe UI" w:ascii="Segoe UI" w:hAnsi="Segoe UI"/>
          <w:color w:val="101820"/>
          <w:sz w:val="21"/>
        </w:rPr>
        <w:t>This document shows what a BrokerVerse OOTB implementation depends on, in what order, and what moves when a dependency is late. It is written for the iorta TechNXT head of delivery and project managers, and for the broker's sponsor and project manager. It answers four questions:</w:t>
      </w:r>
    </w:p>
    <w:p>
      <w:pPr>
        <w:pStyle w:val="Normal"/>
        <w:numPr>
          <w:ilvl w:val="0"/>
          <w:numId w:val="6"/>
        </w:numPr>
        <w:spacing w:before="0" w:after="60"/>
        <w:rPr/>
      </w:pPr>
      <w:r>
        <w:rPr>
          <w:rFonts w:eastAsia="Segoe UI" w:cs="Segoe UI" w:ascii="Segoe UI" w:hAnsi="Segoe UI"/>
          <w:color w:val="101820"/>
          <w:sz w:val="21"/>
        </w:rPr>
        <w:t>Which client inputs, partner certifications, regulatory registrations and environment steps does each phase need?</w:t>
      </w:r>
    </w:p>
    <w:p>
      <w:pPr>
        <w:pStyle w:val="Normal"/>
        <w:numPr>
          <w:ilvl w:val="0"/>
          <w:numId w:val="2"/>
        </w:numPr>
        <w:spacing w:before="0" w:after="60"/>
        <w:rPr/>
      </w:pPr>
      <w:r>
        <w:rPr>
          <w:rFonts w:eastAsia="Segoe UI" w:cs="Segoe UI" w:ascii="Segoe UI" w:hAnsi="Segoe UI"/>
          <w:color w:val="101820"/>
          <w:sz w:val="21"/>
        </w:rPr>
        <w:t>Which chain of tasks decides the go-live date for a small, medium, large and enterprise broker?</w:t>
      </w:r>
    </w:p>
    <w:p>
      <w:pPr>
        <w:pStyle w:val="Normal"/>
        <w:numPr>
          <w:ilvl w:val="0"/>
          <w:numId w:val="2"/>
        </w:numPr>
        <w:spacing w:before="0" w:after="60"/>
        <w:rPr/>
      </w:pPr>
      <w:r>
        <w:rPr>
          <w:rFonts w:eastAsia="Segoe UI" w:cs="Segoe UI" w:ascii="Segoe UI" w:hAnsi="Segoe UI"/>
          <w:color w:val="101820"/>
          <w:sz w:val="21"/>
        </w:rPr>
        <w:t>How long does each outside party usually take (lead time), and by when must it start?</w:t>
      </w:r>
    </w:p>
    <w:p>
      <w:pPr>
        <w:pStyle w:val="Normal"/>
        <w:numPr>
          <w:ilvl w:val="0"/>
          <w:numId w:val="2"/>
        </w:numPr>
        <w:spacing w:before="0" w:after="60"/>
        <w:rPr/>
      </w:pPr>
      <w:r>
        <w:rPr>
          <w:rFonts w:eastAsia="Segoe UI" w:cs="Segoe UI" w:ascii="Segoe UI" w:hAnsi="Segoe UI"/>
          <w:color w:val="101820"/>
          <w:sz w:val="21"/>
        </w:rPr>
        <w:t>If a dependency slips, does the go-live move, or only one feature, and by how much?</w:t>
      </w:r>
    </w:p>
    <w:p>
      <w:pPr>
        <w:pStyle w:val="Heading2"/>
        <w:rPr/>
      </w:pPr>
      <w:bookmarkStart w:id="8" w:name="__RefHeading___Toc91401_1894618434"/>
      <w:bookmarkEnd w:id="8"/>
      <w:r>
        <w:rPr>
          <w:rFonts w:eastAsia="Segoe UI" w:cs="Segoe UI"/>
          <w:b/>
          <w:color w:val="0F4761"/>
          <w:sz w:val="26"/>
        </w:rPr>
        <w:t>3.2  How the figures are produced</w:t>
      </w:r>
    </w:p>
    <w:p>
      <w:pPr>
        <w:pStyle w:val="Normal"/>
        <w:spacing w:lineRule="auto" w:line="276" w:before="0" w:after="120"/>
        <w:rPr/>
      </w:pPr>
      <w:r>
        <w:rPr>
          <w:rFonts w:eastAsia="Segoe UI" w:cs="Segoe UI" w:ascii="Segoe UI" w:hAnsi="Segoe UI"/>
          <w:color w:val="101820"/>
          <w:sz w:val="21"/>
        </w:rPr>
        <w:t>Every figure in this document comes from one plan model kept with the documentation tools (</w:t>
      </w:r>
      <w:r>
        <w:rPr>
          <w:rFonts w:eastAsia="Consolas" w:cs="Consolas" w:ascii="Consolas" w:hAnsi="Consolas"/>
          <w:color w:val="101820"/>
          <w:sz w:val="19"/>
        </w:rPr>
        <w:t>docs/package/tools/delivery/plan_model.py</w:t>
      </w:r>
      <w:r>
        <w:rPr>
          <w:rFonts w:eastAsia="Segoe UI" w:cs="Segoe UI" w:ascii="Segoe UI" w:hAnsi="Segoe UI"/>
          <w:color w:val="101820"/>
          <w:sz w:val="21"/>
        </w:rPr>
        <w:t xml:space="preserve">). The model holds each task with its duration by size, its owner party (iorta TechNXT, broker or partner), its predecessors and what it holds back. A forward and backward pass over the links gives the dates, the float of each task and the critical path. The same model builds the companion workbook </w:t>
      </w:r>
      <w:r>
        <w:rPr>
          <w:rFonts w:eastAsia="Consolas" w:cs="Consolas" w:ascii="Consolas" w:hAnsi="Consolas"/>
          <w:color w:val="101820"/>
          <w:sz w:val="19"/>
        </w:rPr>
        <w:t>BrokerVerse_Implementation_Plan.xlsx</w:t>
      </w:r>
      <w:r>
        <w:rPr>
          <w:rFonts w:eastAsia="Segoe UI" w:cs="Segoe UI" w:ascii="Segoe UI" w:hAnsi="Segoe UI"/>
          <w:color w:val="101820"/>
          <w:sz w:val="21"/>
        </w:rPr>
        <w:t xml:space="preserve"> (one task-level Gantt per size, the milestones, every link and the RACI) and the diagrams of this document, so the three never disagree.</w:t>
      </w:r>
    </w:p>
    <w:p>
      <w:pPr>
        <w:pStyle w:val="Normal"/>
        <w:shd w:val="clear" w:color="auto" w:fill="EAF2FB"/>
        <w:spacing w:before="0" w:after="160"/>
        <w:ind w:left="170"/>
        <w:rPr/>
      </w:pPr>
      <w:r>
        <w:rPr>
          <w:rFonts w:eastAsia="Segoe UI" w:cs="Segoe UI" w:ascii="Segoe UI" w:hAnsi="Segoe UI"/>
          <w:color w:val="101820"/>
          <w:sz w:val="20"/>
        </w:rPr>
        <w:t>Durations and lead times are planning assumptions of iorta TechNXT for an out-of-the-box implementation. Lead times of regulators and partners are outside the control of both parties. The steering committee re-baselines the plan at mobilisation, once the broker has said which registrations it already holds and which partners it uses.</w:t>
      </w:r>
    </w:p>
    <w:p>
      <w:pPr>
        <w:pStyle w:val="Heading2"/>
        <w:rPr/>
      </w:pPr>
      <w:bookmarkStart w:id="9" w:name="__RefHeading___Toc91403_1894618434"/>
      <w:bookmarkEnd w:id="9"/>
      <w:r>
        <w:rPr>
          <w:rFonts w:eastAsia="Segoe UI" w:cs="Segoe UI"/>
          <w:b/>
          <w:color w:val="0F4761"/>
          <w:sz w:val="26"/>
        </w:rPr>
        <w:t>3.3  Terms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Term</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week</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Working days (5 a week). Week 1 starts on the kick-off date. Go-live is the first day of the go-live week</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Float to go-live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Working days a task can finish late before the go-live date moves. 0 means the task is on the critical path</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Holds the go-live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go/no-go cannot pass while the dependency is open</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Feature only</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go-live does not wait; the feature is switched on later and a fallback, described in this document, is used meanwhile</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 time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Elapsed time an outside party needs from a complete request to the result</w:t>
            </w:r>
          </w:p>
        </w:tc>
      </w:tr>
    </w:tbl>
    <w:p>
      <w:pPr>
        <w:pStyle w:val="Normal"/>
        <w:spacing w:before="0" w:after="80"/>
        <w:rPr/>
      </w:pPr>
      <w:r>
        <w:rPr/>
      </w:r>
    </w:p>
    <w:p>
      <w:pPr>
        <w:pStyle w:val="Heading2"/>
        <w:rPr/>
      </w:pPr>
      <w:bookmarkStart w:id="10" w:name="__RefHeading___Toc91405_1894618434"/>
      <w:bookmarkEnd w:id="10"/>
      <w:r>
        <w:rPr>
          <w:rFonts w:eastAsia="Segoe UI" w:cs="Segoe UI"/>
          <w:b/>
          <w:color w:val="0F4761"/>
          <w:sz w:val="26"/>
        </w:rPr>
        <w:t>3.4  Version history</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03"/>
        <w:gridCol w:w="1913"/>
        <w:gridCol w:w="6098"/>
      </w:tblGrid>
      <w:tr>
        <w:trPr>
          <w:tblHeader w:val="true"/>
        </w:trPr>
        <w:tc>
          <w:tcPr>
            <w:tcW w:w="10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Version</w:t>
            </w:r>
          </w:p>
        </w:tc>
        <w:tc>
          <w:tcPr>
            <w:tcW w:w="19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Date</w:t>
            </w:r>
          </w:p>
        </w:tc>
        <w:tc>
          <w:tcPr>
            <w:tcW w:w="60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Change</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October 2026</w:t>
            </w:r>
          </w:p>
        </w:tc>
        <w:tc>
          <w:tcPr>
            <w:tcW w:w="60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Initial issue: dependency diagrams, client inputs, partner certifications, regulatory registrations, environments and keys, critical path by size, lead times, effect of a late dependency</w:t>
            </w:r>
          </w:p>
        </w:tc>
      </w:tr>
      <w:tr>
        <w:trPr/>
        <w:tc>
          <w:tcPr>
            <w:tcW w:w="10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w:t>
            </w:r>
          </w:p>
        </w:tc>
        <w:tc>
          <w:tcPr>
            <w:tcW w:w="19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04 October 2026</w:t>
            </w:r>
          </w:p>
        </w:tc>
        <w:tc>
          <w:tcPr>
            <w:tcW w:w="60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brand packs: basis is the client's contract with iorta TechNXT (management decision of 04 October 2026)</w:t>
            </w:r>
          </w:p>
        </w:tc>
      </w:tr>
    </w:tbl>
    <w:p>
      <w:pPr>
        <w:pStyle w:val="Normal"/>
        <w:spacing w:before="0" w:after="80"/>
        <w:rPr/>
      </w:pPr>
      <w:r>
        <w:rPr/>
      </w:r>
    </w:p>
    <w:p>
      <w:pPr>
        <w:pStyle w:val="Heading2"/>
        <w:rPr/>
      </w:pPr>
      <w:bookmarkStart w:id="11" w:name="__RefHeading___Toc91407_1894618434"/>
      <w:bookmarkEnd w:id="11"/>
      <w:r>
        <w:rPr>
          <w:rFonts w:eastAsia="Segoe UI" w:cs="Segoe UI"/>
          <w:b/>
          <w:color w:val="0F4761"/>
          <w:sz w:val="26"/>
        </w:rPr>
        <w:t>3.5  Related documents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Document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Implementation Approach and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Method, phases, timelines by size, roles, governance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BrokerVerse_Implementation_Plan.xlsx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Task-level plan by size: durations, owners, predecessors, dates, float, critical path; RACI</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BrokerVerse_RAID_Log_Template.xlsx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Pre-filled risks, assumptions, issues and dependencies; the dependencies of this document are its D items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Environment Strategy and Production Rollout</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 sets, pipeline, cutover runbook T-30 to T+30</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BrokerVerse Data Migration and Cutover Plan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reconciliation, go/no-go criteria</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Implementation Statement of Work; Customer Responsibilities and RACI Annex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contractual form of the client dependencies and their effect when late</w:t>
            </w:r>
          </w:p>
        </w:tc>
      </w:tr>
    </w:tbl>
    <w:p>
      <w:pPr>
        <w:pStyle w:val="Heading1"/>
        <w:rPr/>
      </w:pPr>
      <w:r>
        <w:br w:type="page"/>
      </w:r>
      <w:bookmarkStart w:id="12" w:name="__RefHeading___Toc91409_1894618434"/>
      <w:bookmarkEnd w:id="12"/>
      <w:r>
        <w:rPr>
          <w:rFonts w:eastAsia="Segoe UI" w:cs="Segoe UI" w:ascii="Segoe UI" w:hAnsi="Segoe UI"/>
          <w:b/>
          <w:color w:val="0F4761"/>
          <w:sz w:val="32"/>
        </w:rPr>
        <w:t>4.  The dependency map</w:t>
      </w:r>
    </w:p>
    <w:p>
      <w:pPr>
        <w:pStyle w:val="Heading2"/>
        <w:rPr/>
      </w:pPr>
      <w:bookmarkStart w:id="13" w:name="__RefHeading___Toc91411_1894618434"/>
      <w:bookmarkEnd w:id="13"/>
      <w:r>
        <w:rPr>
          <w:rFonts w:eastAsia="Segoe UI" w:cs="Segoe UI"/>
          <w:b/>
          <w:color w:val="0F4761"/>
          <w:sz w:val="26"/>
        </w:rPr>
        <w:t>4.1  Phases and gates</w:t>
      </w:r>
    </w:p>
    <w:p>
      <w:pPr>
        <w:pStyle w:val="Normal"/>
        <w:jc w:val="center"/>
        <w:rPr/>
      </w:pPr>
      <w:r>
        <w:rPr/>
        <w:drawing>
          <wp:inline distT="0" distB="0" distL="0" distR="0">
            <wp:extent cx="5760085" cy="5384165"/>
            <wp:effectExtent l="0" t="0" r="0" b="0"/>
            <wp:docPr id="8" name="Picture 2121288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121288188" descr=""/>
                    <pic:cNvPicPr>
                      <a:picLocks noChangeAspect="1" noChangeArrowheads="1"/>
                    </pic:cNvPicPr>
                  </pic:nvPicPr>
                  <pic:blipFill>
                    <a:blip r:embed="rId4"/>
                    <a:stretch>
                      <a:fillRect/>
                    </a:stretch>
                  </pic:blipFill>
                  <pic:spPr bwMode="auto">
                    <a:xfrm>
                      <a:off x="0" y="0"/>
                      <a:ext cx="5760085" cy="5384165"/>
                    </a:xfrm>
                    <a:prstGeom prst="rect">
                      <a:avLst/>
                    </a:prstGeom>
                  </pic:spPr>
                </pic:pic>
              </a:graphicData>
            </a:graphic>
          </wp:inline>
        </w:drawing>
      </w:r>
    </w:p>
    <w:p>
      <w:pPr>
        <w:pStyle w:val="Normal"/>
        <w:jc w:val="center"/>
        <w:rPr/>
      </w:pPr>
      <w:r>
        <w:rPr>
          <w:rFonts w:eastAsia="Segoe UI" w:cs="Segoe UI" w:ascii="Segoe UI" w:hAnsi="Segoe UI"/>
          <w:i/>
          <w:color w:val="555F6D"/>
          <w:sz w:val="18"/>
        </w:rPr>
        <w:t>Dependency map of the phases. Red arrows: the usual critical path; dashed: features switched on when the partner has certified them</w:t>
      </w:r>
    </w:p>
    <w:p>
      <w:pPr>
        <w:pStyle w:val="Normal"/>
        <w:spacing w:lineRule="auto" w:line="276" w:before="0" w:after="120"/>
        <w:rPr/>
      </w:pPr>
      <w:r>
        <w:rPr>
          <w:rFonts w:eastAsia="Segoe UI" w:cs="Segoe UI" w:ascii="Segoe UI" w:hAnsi="Segoe UI"/>
          <w:color w:val="101820"/>
          <w:sz w:val="21"/>
        </w:rPr>
        <w:t>Reading the map:</w:t>
      </w:r>
    </w:p>
    <w:p>
      <w:pPr>
        <w:pStyle w:val="Normal"/>
        <w:numPr>
          <w:ilvl w:val="0"/>
          <w:numId w:val="1"/>
        </w:numPr>
        <w:spacing w:before="0" w:after="60"/>
        <w:rPr/>
      </w:pPr>
      <w:r>
        <w:rPr>
          <w:rFonts w:eastAsia="Segoe UI" w:cs="Segoe UI" w:ascii="Segoe UI" w:hAnsi="Segoe UI"/>
          <w:b/>
          <w:color w:val="101820"/>
          <w:sz w:val="21"/>
        </w:rPr>
        <w:t>Mobilisation</w:t>
      </w:r>
      <w:r>
        <w:rPr>
          <w:rFonts w:eastAsia="Segoe UI" w:cs="Segoe UI" w:ascii="Segoe UI" w:hAnsi="Segoe UI"/>
          <w:color w:val="101820"/>
          <w:sz w:val="21"/>
        </w:rPr>
        <w:t xml:space="preserve"> releases four streams in week 1: the client inputs (the configuration kit and the data request), discovery, the environments and the regulatory registrations. Registrations with a regulator start on day one because their lead times are the longest and are not in the project's hands.</w:t>
      </w:r>
    </w:p>
    <w:p>
      <w:pPr>
        <w:pStyle w:val="Normal"/>
        <w:numPr>
          <w:ilvl w:val="0"/>
          <w:numId w:val="1"/>
        </w:numPr>
        <w:spacing w:before="0" w:after="60"/>
        <w:rPr/>
      </w:pPr>
      <w:r>
        <w:rPr>
          <w:rFonts w:eastAsia="Segoe UI" w:cs="Segoe UI" w:ascii="Segoe UI" w:hAnsi="Segoe UI"/>
          <w:b/>
          <w:color w:val="101820"/>
          <w:sz w:val="21"/>
        </w:rPr>
        <w:t>Configuration</w:t>
      </w:r>
      <w:r>
        <w:rPr>
          <w:rFonts w:eastAsia="Segoe UI" w:cs="Segoe UI" w:ascii="Segoe UI" w:hAnsi="Segoe UI"/>
          <w:color w:val="101820"/>
          <w:sz w:val="21"/>
        </w:rPr>
        <w:t xml:space="preserve"> needs all three of discovery decisions, client inputs and a working Dev (or SIT) environment with the pipeline. It is the hinge of the plan: compliance set-up, branding, integrations and the mock loads all start from a loaded configuration kit.</w:t>
      </w:r>
    </w:p>
    <w:p>
      <w:pPr>
        <w:pStyle w:val="Normal"/>
        <w:numPr>
          <w:ilvl w:val="0"/>
          <w:numId w:val="1"/>
        </w:numPr>
        <w:spacing w:before="0" w:after="60"/>
        <w:rPr/>
      </w:pPr>
      <w:r>
        <w:rPr>
          <w:rFonts w:eastAsia="Segoe UI" w:cs="Segoe UI" w:ascii="Segoe UI" w:hAnsi="Segoe UI"/>
          <w:b/>
          <w:color w:val="101820"/>
          <w:sz w:val="21"/>
        </w:rPr>
        <w:t>System integration test</w:t>
      </w:r>
      <w:r>
        <w:rPr>
          <w:rFonts w:eastAsia="Segoe UI" w:cs="Segoe UI" w:ascii="Segoe UI" w:hAnsi="Segoe UI"/>
          <w:color w:val="101820"/>
          <w:sz w:val="21"/>
        </w:rPr>
        <w:t xml:space="preserve"> needs configuration, compliance set-up and branding finished. UAT needs SIT exit, trained key users and a reconciled mock load.</w:t>
      </w:r>
    </w:p>
    <w:p>
      <w:pPr>
        <w:pStyle w:val="Normal"/>
        <w:numPr>
          <w:ilvl w:val="0"/>
          <w:numId w:val="1"/>
        </w:numPr>
        <w:spacing w:before="0" w:after="60"/>
        <w:rPr/>
      </w:pPr>
      <w:r>
        <w:rPr>
          <w:rFonts w:eastAsia="Segoe UI" w:cs="Segoe UI" w:ascii="Segoe UI" w:hAnsi="Segoe UI"/>
          <w:b/>
          <w:color w:val="101820"/>
          <w:sz w:val="21"/>
        </w:rPr>
        <w:t>Release to Production</w:t>
      </w:r>
      <w:r>
        <w:rPr>
          <w:rFonts w:eastAsia="Segoe UI" w:cs="Segoe UI" w:ascii="Segoe UI" w:hAnsi="Segoe UI"/>
          <w:color w:val="101820"/>
          <w:sz w:val="21"/>
        </w:rPr>
        <w:t xml:space="preserve"> needs UAT under way, the production environment and the BIR invoice registration (ATP or CAS), because the invoice serial range is part of the frozen configuration.</w:t>
      </w:r>
    </w:p>
    <w:p>
      <w:pPr>
        <w:pStyle w:val="Normal"/>
        <w:numPr>
          <w:ilvl w:val="0"/>
          <w:numId w:val="1"/>
        </w:numPr>
        <w:spacing w:before="0" w:after="60"/>
        <w:rPr/>
      </w:pPr>
      <w:r>
        <w:rPr>
          <w:rFonts w:eastAsia="Segoe UI" w:cs="Segoe UI" w:ascii="Segoe UI" w:hAnsi="Segoe UI"/>
          <w:b/>
          <w:color w:val="101820"/>
          <w:sz w:val="21"/>
        </w:rPr>
        <w:t>Go/no-go</w:t>
      </w:r>
      <w:r>
        <w:rPr>
          <w:rFonts w:eastAsia="Segoe UI" w:cs="Segoe UI" w:ascii="Segoe UI" w:hAnsi="Segoe UI"/>
          <w:color w:val="101820"/>
          <w:sz w:val="21"/>
        </w:rPr>
        <w:t xml:space="preserve"> brings everything together: UAT sign-off, the reconciled rehearsal, trained users, compliance set-up (screening lists, AMLC reporting) and the NPC registration.</w:t>
      </w:r>
    </w:p>
    <w:p>
      <w:pPr>
        <w:pStyle w:val="Normal"/>
        <w:numPr>
          <w:ilvl w:val="0"/>
          <w:numId w:val="1"/>
        </w:numPr>
        <w:spacing w:before="0" w:after="60"/>
        <w:rPr/>
      </w:pPr>
      <w:r>
        <w:rPr>
          <w:rFonts w:eastAsia="Segoe UI" w:cs="Segoe UI" w:ascii="Segoe UI" w:hAnsi="Segoe UI"/>
          <w:b/>
          <w:color w:val="101820"/>
          <w:sz w:val="21"/>
        </w:rPr>
        <w:t>Integrations with partners</w:t>
      </w:r>
      <w:r>
        <w:rPr>
          <w:rFonts w:eastAsia="Segoe UI" w:cs="Segoe UI" w:ascii="Segoe UI" w:hAnsi="Segoe UI"/>
          <w:color w:val="101820"/>
          <w:sz w:val="21"/>
        </w:rPr>
        <w:t xml:space="preserve"> mostly do not hold the go-live: each has a fallback, and the feature is switched on when the partner has certified it (chapter Partner certifications).</w:t>
      </w:r>
    </w:p>
    <w:p>
      <w:pPr>
        <w:pStyle w:val="Heading2"/>
        <w:rPr/>
      </w:pPr>
      <w:bookmarkStart w:id="14" w:name="__RefHeading___Toc91413_1894618434"/>
      <w:bookmarkEnd w:id="14"/>
      <w:r>
        <w:rPr>
          <w:rFonts w:eastAsia="Segoe UI" w:cs="Segoe UI"/>
          <w:b/>
          <w:color w:val="0F4761"/>
          <w:sz w:val="26"/>
        </w:rPr>
        <w:t>4.2  Three kinds of gate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55"/>
        <w:gridCol w:w="3829"/>
        <w:gridCol w:w="3830"/>
      </w:tblGrid>
      <w:tr>
        <w:trPr>
          <w:tblHeader w:val="true"/>
        </w:trPr>
        <w:tc>
          <w:tcPr>
            <w:tcW w:w="135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Gate</w:t>
            </w:r>
          </w:p>
        </w:tc>
        <w:tc>
          <w:tcPr>
            <w:tcW w:w="382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happens when the dependency is late</w:t>
            </w:r>
          </w:p>
        </w:tc>
        <w:tc>
          <w:tcPr>
            <w:tcW w:w="383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Examples</w:t>
            </w:r>
          </w:p>
        </w:tc>
      </w:tr>
      <w:tr>
        <w:trPr/>
        <w:tc>
          <w:tcPr>
            <w:tcW w:w="1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Holds the go-live</w:t>
            </w:r>
          </w:p>
        </w:tc>
        <w:tc>
          <w:tcPr>
            <w:tcW w:w="3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go/no-go fails; the go-live date moves by the delay less the float</w:t>
            </w:r>
          </w:p>
        </w:tc>
        <w:tc>
          <w:tcPr>
            <w:tcW w:w="38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inputs, UAT, rehearsal, ATP or CAS, AMLC registration, screening lists, NPC registration</w:t>
            </w:r>
          </w:p>
        </w:tc>
      </w:tr>
      <w:tr>
        <w:trPr/>
        <w:tc>
          <w:tcPr>
            <w:tcW w:w="1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Feature only</w:t>
            </w:r>
          </w:p>
        </w:tc>
        <w:tc>
          <w:tcPr>
            <w:tcW w:w="3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go-live holds; the feature stays in test mode or switched off and the fallback is used</w:t>
            </w:r>
          </w:p>
        </w:tc>
        <w:tc>
          <w:tcPr>
            <w:tcW w:w="38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 files, SMS, insurer APIs, payment gateway, EIS, CTPL authentication (manual code entry), client brand pack</w:t>
            </w:r>
          </w:p>
        </w:tc>
      </w:tr>
      <w:tr>
        <w:trPr/>
        <w:tc>
          <w:tcPr>
            <w:tcW w:w="135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exit</w:t>
            </w:r>
          </w:p>
        </w:tc>
        <w:tc>
          <w:tcPr>
            <w:tcW w:w="382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Hypercare is extended</w:t>
            </w:r>
          </w:p>
        </w:tc>
        <w:tc>
          <w:tcPr>
            <w:tcW w:w="383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month-end close outside the hypercare window</w:t>
            </w:r>
          </w:p>
        </w:tc>
      </w:tr>
    </w:tbl>
    <w:p>
      <w:pPr>
        <w:pStyle w:val="Heading1"/>
        <w:rPr/>
      </w:pPr>
      <w:r>
        <w:br w:type="page"/>
      </w:r>
      <w:bookmarkStart w:id="15" w:name="__RefHeading___Toc91415_1894618434"/>
      <w:bookmarkEnd w:id="15"/>
      <w:r>
        <w:rPr>
          <w:rFonts w:eastAsia="Segoe UI" w:cs="Segoe UI" w:ascii="Segoe UI" w:hAnsi="Segoe UI"/>
          <w:b/>
          <w:color w:val="0F4761"/>
          <w:sz w:val="32"/>
        </w:rPr>
        <w:t>5.  Client inputs</w:t>
      </w:r>
    </w:p>
    <w:p>
      <w:pPr>
        <w:pStyle w:val="Heading2"/>
        <w:rPr/>
      </w:pPr>
      <w:bookmarkStart w:id="16" w:name="__RefHeading___Toc91417_1894618434"/>
      <w:bookmarkEnd w:id="16"/>
      <w:r>
        <w:rPr>
          <w:rFonts w:eastAsia="Segoe UI" w:cs="Segoe UI"/>
          <w:b/>
          <w:color w:val="0F4761"/>
          <w:sz w:val="26"/>
        </w:rPr>
        <w:t>5.1  What the broker provides</w:t>
      </w:r>
    </w:p>
    <w:p>
      <w:pPr>
        <w:pStyle w:val="Normal"/>
        <w:jc w:val="center"/>
        <w:rPr/>
      </w:pPr>
      <w:r>
        <w:rPr/>
        <w:drawing>
          <wp:inline distT="0" distB="0" distL="0" distR="0">
            <wp:extent cx="5760085" cy="6055360"/>
            <wp:effectExtent l="0" t="0" r="0" b="0"/>
            <wp:docPr id="9" name="Picture 2121288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121288189" descr=""/>
                    <pic:cNvPicPr>
                      <a:picLocks noChangeAspect="1" noChangeArrowheads="1"/>
                    </pic:cNvPicPr>
                  </pic:nvPicPr>
                  <pic:blipFill>
                    <a:blip r:embed="rId5"/>
                    <a:stretch>
                      <a:fillRect/>
                    </a:stretch>
                  </pic:blipFill>
                  <pic:spPr bwMode="auto">
                    <a:xfrm>
                      <a:off x="0" y="0"/>
                      <a:ext cx="5760085" cy="6055360"/>
                    </a:xfrm>
                    <a:prstGeom prst="rect">
                      <a:avLst/>
                    </a:prstGeom>
                  </pic:spPr>
                </pic:pic>
              </a:graphicData>
            </a:graphic>
          </wp:inline>
        </w:drawing>
      </w:r>
    </w:p>
    <w:p>
      <w:pPr>
        <w:pStyle w:val="Normal"/>
        <w:jc w:val="center"/>
        <w:rPr/>
      </w:pPr>
      <w:r>
        <w:rPr>
          <w:rFonts w:eastAsia="Segoe UI" w:cs="Segoe UI" w:ascii="Segoe UI" w:hAnsi="Segoe UI"/>
          <w:i/>
          <w:color w:val="555F6D"/>
          <w:sz w:val="18"/>
        </w:rPr>
        <w:t>Client inputs and what each feeds. Red: on the critical path for every size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424"/>
        <w:gridCol w:w="1423"/>
        <w:gridCol w:w="2298"/>
        <w:gridCol w:w="196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242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Input</w:t>
            </w:r>
          </w:p>
        </w:tc>
        <w:tc>
          <w:tcPr>
            <w:tcW w:w="1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 (broker)</w:t>
            </w:r>
          </w:p>
        </w:tc>
        <w:tc>
          <w:tcPr>
            <w:tcW w:w="22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Needed by: Small / Medium / Large / Enterprise</w:t>
            </w:r>
          </w:p>
        </w:tc>
        <w:tc>
          <w:tcPr>
            <w:tcW w:w="19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Feeds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M4</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Named team: PM, key users, Accounting Manager, System Administrator, compliance officer, DPO</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for every size</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Workshops, decisions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I1</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list and agreements, commission and referrer rates, product list</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 W2 / W3 / W4</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kit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I2</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Chart of accounts and the accountant's mapping decisions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Manager</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 W2 / W3 / W4</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kit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I3</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list with roles, branches and reporting lines (My Work &gt; My Team follows the reporting line)</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Administrator</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 W2 / W3 / W3</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kit, Users sheet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I4</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SMTP mailbox and credentials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head</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 W2 / W2 / W2</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test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I5</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accounts, one statement export per account, bank contacts, payee bank accounts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 W2 / W3 / W3</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Statement formats, bank payment files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I6</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Partner contracts and credentials (SMS provider, CTPL authentication provider, payment gateway, insurer API access)</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head and sponsor</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 W3 / W4 / W6</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Partner certifications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I7</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COC number series of each insurer</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Operations</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 W2 / W3 / W3</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COC Series sheet, CTPL authentication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I8</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Logo, sign-in picture, signatories with their e-signature consent</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Marketing, signatories</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 W2 / W2 / W3</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Branding, documents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G1</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Extracts of clients, in-force policies, open items, open claims and the trial balance, cleansed</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owners</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 W3 / W5 / W6</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I9</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Training rooms, devices, attendance list</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Before end-user training</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I10</w:t>
            </w:r>
          </w:p>
        </w:tc>
        <w:tc>
          <w:tcPr>
            <w:tcW w:w="242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testers and sign-off authority</w:t>
            </w:r>
          </w:p>
        </w:tc>
        <w:tc>
          <w:tcPr>
            <w:tcW w:w="1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w:t>
            </w:r>
          </w:p>
        </w:tc>
        <w:tc>
          <w:tcPr>
            <w:tcW w:w="22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Before UAT</w:t>
            </w:r>
          </w:p>
        </w:tc>
        <w:tc>
          <w:tcPr>
            <w:tcW w:w="19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The insurer, product and commission data (I1) and the chart of accounts with its mapping (I2) are on the critical path for every size: the configuration kit cannot be completed without them, and everything after configuration waits for it. The user list (I3) has one to three days of float only.</w:t>
      </w:r>
    </w:p>
    <w:p>
      <w:pPr>
        <w:pStyle w:val="Heading2"/>
        <w:rPr/>
      </w:pPr>
      <w:bookmarkStart w:id="17" w:name="__RefHeading___Toc91419_1894618434"/>
      <w:bookmarkEnd w:id="17"/>
      <w:r>
        <w:rPr>
          <w:rFonts w:eastAsia="Segoe UI" w:cs="Segoe UI"/>
          <w:b/>
          <w:color w:val="0F4761"/>
          <w:sz w:val="26"/>
        </w:rPr>
        <w:t>5.2  The kits the inputs go into</w:t>
      </w:r>
    </w:p>
    <w:p>
      <w:pPr>
        <w:pStyle w:val="Normal"/>
        <w:spacing w:lineRule="auto" w:line="276" w:before="0" w:after="120"/>
        <w:rPr/>
      </w:pPr>
      <w:r>
        <w:rPr>
          <w:rFonts w:eastAsia="Segoe UI" w:cs="Segoe UI" w:ascii="Segoe UI" w:hAnsi="Segoe UI"/>
          <w:color w:val="101820"/>
          <w:sz w:val="21"/>
        </w:rPr>
        <w:t>The broker fills two workbooks downloaded from Master &gt; Go-Live Data Load:</w:t>
      </w:r>
    </w:p>
    <w:p>
      <w:pPr>
        <w:pStyle w:val="Normal"/>
        <w:numPr>
          <w:ilvl w:val="0"/>
          <w:numId w:val="1"/>
        </w:numPr>
        <w:spacing w:before="0" w:after="60"/>
        <w:rPr/>
      </w:pPr>
      <w:r>
        <w:rPr>
          <w:rFonts w:eastAsia="Segoe UI" w:cs="Segoe UI" w:ascii="Segoe UI" w:hAnsi="Segoe UI"/>
          <w:color w:val="101820"/>
          <w:sz w:val="21"/>
        </w:rPr>
        <w:t xml:space="preserve">the </w:t>
      </w:r>
      <w:r>
        <w:rPr>
          <w:rFonts w:eastAsia="Segoe UI" w:cs="Segoe UI" w:ascii="Segoe UI" w:hAnsi="Segoe UI"/>
          <w:b/>
          <w:color w:val="101820"/>
          <w:sz w:val="21"/>
        </w:rPr>
        <w:t>configuration kit</w:t>
      </w:r>
      <w:r>
        <w:rPr>
          <w:rFonts w:eastAsia="Segoe UI" w:cs="Segoe UI" w:ascii="Segoe UI" w:hAnsi="Segoe UI"/>
          <w:color w:val="101820"/>
          <w:sz w:val="21"/>
        </w:rPr>
        <w:t xml:space="preserve"> (company, settings, PSGC regions, provinces, cities and barangays, branches, departments, hierarchy, designations, users, currencies, chart of accounts, banks, bank accounts, signatories, insurers, lines of business, products, covers, vehicles, suppliers, asset classes, short-period rates, cancellation reasons, claim document checklist, repair shops, commission rates, premium taxes, LGU rates, authority limits, numbering, payee bank accounts, COC series);</w:t>
      </w:r>
    </w:p>
    <w:p>
      <w:pPr>
        <w:pStyle w:val="Normal"/>
        <w:numPr>
          <w:ilvl w:val="0"/>
          <w:numId w:val="1"/>
        </w:numPr>
        <w:spacing w:before="0" w:after="60"/>
        <w:rPr/>
      </w:pPr>
      <w:r>
        <w:rPr>
          <w:rFonts w:eastAsia="Segoe UI" w:cs="Segoe UI" w:ascii="Segoe UI" w:hAnsi="Segoe UI"/>
          <w:color w:val="101820"/>
          <w:sz w:val="21"/>
        </w:rPr>
        <w:t xml:space="preserve">the </w:t>
      </w:r>
      <w:r>
        <w:rPr>
          <w:rFonts w:eastAsia="Segoe UI" w:cs="Segoe UI" w:ascii="Segoe UI" w:hAnsi="Segoe UI"/>
          <w:b/>
          <w:color w:val="101820"/>
          <w:sz w:val="21"/>
        </w:rPr>
        <w:t>migration kit</w:t>
      </w:r>
      <w:r>
        <w:rPr>
          <w:rFonts w:eastAsia="Segoe UI" w:cs="Segoe UI" w:ascii="Segoe UI" w:hAnsi="Segoe UI"/>
          <w:color w:val="101820"/>
          <w:sz w:val="21"/>
        </w:rPr>
        <w:t xml:space="preserve"> (clients, in-force policies, open items, open claims, opening balances), refused until the cutover date </w:t>
      </w:r>
      <w:r>
        <w:rPr>
          <w:rFonts w:eastAsia="Consolas" w:cs="Consolas" w:ascii="Consolas" w:hAnsi="Consolas"/>
          <w:color w:val="101820"/>
          <w:sz w:val="19"/>
        </w:rPr>
        <w:t>golive.cutover_date</w:t>
      </w:r>
      <w:r>
        <w:rPr>
          <w:rFonts w:eastAsia="Segoe UI" w:cs="Segoe UI" w:ascii="Segoe UI" w:hAnsi="Segoe UI"/>
          <w:color w:val="101820"/>
          <w:sz w:val="21"/>
        </w:rPr>
        <w:t xml:space="preserve"> is set.</w:t>
      </w:r>
    </w:p>
    <w:p>
      <w:pPr>
        <w:pStyle w:val="Normal"/>
        <w:spacing w:lineRule="auto" w:line="276" w:before="0" w:after="120"/>
        <w:rPr/>
      </w:pPr>
      <w:r>
        <w:rPr>
          <w:rFonts w:eastAsia="Segoe UI" w:cs="Segoe UI" w:ascii="Segoe UI" w:hAnsi="Segoe UI"/>
          <w:color w:val="101820"/>
          <w:sz w:val="21"/>
        </w:rPr>
        <w:t>Each upload is validated as a trial run, the errors come back as an errors workbook, and a corrected file is loaded again without duplicates. A late or poor input therefore shows quickly as rows in error, which the project manager reports weekly.</w:t>
      </w:r>
      <w:r>
        <w:br w:type="page"/>
      </w:r>
    </w:p>
    <w:p>
      <w:pPr>
        <w:pStyle w:val="Heading1"/>
        <w:rPr/>
      </w:pPr>
      <w:bookmarkStart w:id="18" w:name="__RefHeading___Toc91421_1894618434"/>
      <w:bookmarkEnd w:id="18"/>
      <w:r>
        <w:rPr>
          <w:rFonts w:eastAsia="Segoe UI" w:cs="Segoe UI" w:ascii="Segoe UI" w:hAnsi="Segoe UI"/>
          <w:b/>
          <w:color w:val="0F4761"/>
          <w:sz w:val="32"/>
        </w:rPr>
        <w:t>6.  Partner certifications</w:t>
      </w:r>
    </w:p>
    <w:p>
      <w:pPr>
        <w:pStyle w:val="Heading2"/>
        <w:rPr/>
      </w:pPr>
      <w:bookmarkStart w:id="19" w:name="__RefHeading___Toc91423_1894618434"/>
      <w:bookmarkEnd w:id="19"/>
      <w:r>
        <w:rPr>
          <w:rFonts w:eastAsia="Segoe UI" w:cs="Segoe UI"/>
          <w:b/>
          <w:color w:val="0F4761"/>
          <w:sz w:val="26"/>
        </w:rPr>
        <w:t>6.1  Partners and fallbacks</w:t>
      </w:r>
    </w:p>
    <w:p>
      <w:pPr>
        <w:pStyle w:val="Normal"/>
        <w:jc w:val="center"/>
        <w:rPr/>
      </w:pPr>
      <w:r>
        <w:rPr/>
        <w:drawing>
          <wp:inline distT="0" distB="0" distL="0" distR="0">
            <wp:extent cx="5760085" cy="6706870"/>
            <wp:effectExtent l="0" t="0" r="0" b="0"/>
            <wp:docPr id="10" name="Picture 2121288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121288190" descr=""/>
                    <pic:cNvPicPr>
                      <a:picLocks noChangeAspect="1" noChangeArrowheads="1"/>
                    </pic:cNvPicPr>
                  </pic:nvPicPr>
                  <pic:blipFill>
                    <a:blip r:embed="rId6"/>
                    <a:stretch>
                      <a:fillRect/>
                    </a:stretch>
                  </pic:blipFill>
                  <pic:spPr bwMode="auto">
                    <a:xfrm>
                      <a:off x="0" y="0"/>
                      <a:ext cx="5760085" cy="6706870"/>
                    </a:xfrm>
                    <a:prstGeom prst="rect">
                      <a:avLst/>
                    </a:prstGeom>
                  </pic:spPr>
                </pic:pic>
              </a:graphicData>
            </a:graphic>
          </wp:inline>
        </w:drawing>
      </w:r>
    </w:p>
    <w:p>
      <w:pPr>
        <w:pStyle w:val="Normal"/>
        <w:jc w:val="center"/>
        <w:rPr/>
      </w:pPr>
      <w:r>
        <w:rPr>
          <w:rFonts w:eastAsia="Segoe UI" w:cs="Segoe UI" w:ascii="Segoe UI" w:hAnsi="Segoe UI"/>
          <w:i/>
          <w:color w:val="555F6D"/>
          <w:sz w:val="18"/>
        </w:rPr>
        <w:t>Partner certifications: what each partner certifies, the feature it switches on and the fallback while it is not certified</w:t>
      </w:r>
    </w:p>
    <w:p>
      <w:pPr>
        <w:pStyle w:val="Normal"/>
        <w:spacing w:lineRule="auto" w:line="276" w:before="0" w:after="120"/>
        <w:rPr/>
      </w:pPr>
      <w:r>
        <w:rPr>
          <w:rFonts w:eastAsia="Segoe UI" w:cs="Segoe UI" w:ascii="Segoe UI" w:hAnsi="Segoe UI"/>
          <w:color w:val="101820"/>
          <w:sz w:val="21"/>
        </w:rPr>
        <w:t>BrokerVerse delivers each connector in test mode (Master &gt; System Configuration &gt; Integrations): the whole process can be tried before the partner contract is signed. What is certified with each partner is done during onboarding with that partner; the system cannot certify it alone.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85"/>
        <w:gridCol w:w="1985"/>
        <w:gridCol w:w="1570"/>
        <w:gridCol w:w="1489"/>
        <w:gridCol w:w="1986"/>
      </w:tblGrid>
      <w:tr>
        <w:trPr>
          <w:tblHeader w:val="true"/>
        </w:trPr>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Partner</w:t>
            </w:r>
          </w:p>
        </w:tc>
        <w:tc>
          <w:tcPr>
            <w:tcW w:w="19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Certified during the project</w:t>
            </w:r>
          </w:p>
        </w:tc>
        <w:tc>
          <w:tcPr>
            <w:tcW w:w="15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148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Lead time assumption (S / M / L / E)</w:t>
            </w:r>
          </w:p>
        </w:tc>
        <w:tc>
          <w:tcPr>
            <w:tcW w:w="198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Fallback at go-live</w:t>
            </w:r>
          </w:p>
        </w:tc>
      </w:tr>
      <w:tr>
        <w:trPr/>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Banks (payment files)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Each starter layout validated against the bank's current specification; a test file accepted by the bank</w:t>
            </w:r>
          </w:p>
        </w:tc>
        <w:tc>
          <w:tcPr>
            <w:tcW w:w="1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with Accounting</w:t>
            </w:r>
          </w:p>
        </w:tc>
        <w:tc>
          <w:tcPr>
            <w:tcW w:w="1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 15 / 20 / 25 days</w:t>
            </w:r>
          </w:p>
        </w:tc>
        <w:tc>
          <w:tcPr>
            <w:tcW w:w="1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Cheques and manual transfers in the bank portal</w:t>
            </w:r>
          </w:p>
        </w:tc>
      </w:tr>
      <w:tr>
        <w:trPr/>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Banks (statements)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One statement per account imported with a balancing preview</w:t>
            </w:r>
          </w:p>
        </w:tc>
        <w:tc>
          <w:tcPr>
            <w:tcW w:w="1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with iorta TechNXT</w:t>
            </w:r>
          </w:p>
        </w:tc>
        <w:tc>
          <w:tcPr>
            <w:tcW w:w="1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 4 / 6 / 8 days</w:t>
            </w:r>
          </w:p>
        </w:tc>
        <w:tc>
          <w:tcPr>
            <w:tcW w:w="1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Manual bank items</w:t>
            </w:r>
          </w:p>
        </w:tc>
      </w:tr>
      <w:tr>
        <w:trPr/>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SMS or Viber provider</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 sender name, live test message</w:t>
            </w:r>
          </w:p>
        </w:tc>
        <w:tc>
          <w:tcPr>
            <w:tcW w:w="1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Provider, with the IT head</w:t>
            </w:r>
          </w:p>
        </w:tc>
        <w:tc>
          <w:tcPr>
            <w:tcW w:w="1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 8 / 10 / 10 days</w:t>
            </w:r>
          </w:p>
        </w:tc>
        <w:tc>
          <w:tcPr>
            <w:tcW w:w="1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notices; SMS jobs stay switched off</w:t>
            </w:r>
          </w:p>
        </w:tc>
      </w:tr>
      <w:tr>
        <w:trPr/>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CTPL authentication provider (IC-accredited); LTO</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accredited; COC series loaded; one COC authenticated live; LTO feed when the provider does not send it</w:t>
            </w:r>
          </w:p>
        </w:tc>
        <w:tc>
          <w:tcPr>
            <w:tcW w:w="1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Provider, with Operations</w:t>
            </w:r>
          </w:p>
        </w:tc>
        <w:tc>
          <w:tcPr>
            <w:tcW w:w="1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 10 / 15 / 15 days</w:t>
            </w:r>
          </w:p>
        </w:tc>
        <w:tc>
          <w:tcPr>
            <w:tcW w:w="1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Enter code from the provider portal</w:t>
            </w:r>
            <w:r>
              <w:rPr>
                <w:rFonts w:eastAsia="Segoe UI" w:cs="Segoe UI" w:ascii="Segoe UI" w:hAnsi="Segoe UI"/>
                <w:color w:val="101820"/>
                <w:kern w:val="0"/>
                <w:sz w:val="16"/>
                <w:szCs w:val="24"/>
                <w:lang w:val="en-US" w:eastAsia="ja-JP" w:bidi="ar-SA"/>
              </w:rPr>
              <w:t xml:space="preserve"> on Operations &gt; CTPL Authentication</w:t>
            </w:r>
          </w:p>
        </w:tc>
      </w:tr>
      <w:tr>
        <w:trPr/>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Mapping per insurer, preview, test issuance and claim status accepted</w:t>
            </w:r>
          </w:p>
        </w:tc>
        <w:tc>
          <w:tcPr>
            <w:tcW w:w="1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Each insurer, with the Processing Team</w:t>
            </w:r>
          </w:p>
        </w:tc>
        <w:tc>
          <w:tcPr>
            <w:tcW w:w="1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 15 / 20 / 25 days</w:t>
            </w:r>
          </w:p>
        </w:tc>
        <w:tc>
          <w:tcPr>
            <w:tcW w:w="1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6"/>
                <w:szCs w:val="24"/>
                <w:lang w:val="en-US" w:eastAsia="ja-JP" w:bidi="ar-SA"/>
              </w:rPr>
              <w:t>Record Issued Policy</w:t>
            </w:r>
            <w:r>
              <w:rPr>
                <w:rFonts w:eastAsia="Segoe UI" w:cs="Segoe UI" w:ascii="Segoe UI" w:hAnsi="Segoe UI"/>
                <w:color w:val="101820"/>
                <w:kern w:val="0"/>
                <w:sz w:val="16"/>
                <w:szCs w:val="24"/>
                <w:lang w:val="en-US" w:eastAsia="ja-JP" w:bidi="ar-SA"/>
              </w:rPr>
              <w:t>; claim status file (CSV)</w:t>
            </w:r>
          </w:p>
        </w:tc>
      </w:tr>
      <w:tr>
        <w:trPr/>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gateway</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Sandbox payment receipted; one live test payment</w:t>
            </w:r>
          </w:p>
        </w:tc>
        <w:tc>
          <w:tcPr>
            <w:tcW w:w="1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Gateway, with Accounting</w:t>
            </w:r>
          </w:p>
        </w:tc>
        <w:tc>
          <w:tcPr>
            <w:tcW w:w="1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 5 / 5 / 5 days</w:t>
            </w:r>
          </w:p>
        </w:tc>
        <w:tc>
          <w:tcPr>
            <w:tcW w:w="1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transfer, cheque, cash</w:t>
            </w:r>
          </w:p>
        </w:tc>
      </w:tr>
      <w:tr>
        <w:trPr/>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EIS</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Enrolment; test submissions accepted</w:t>
            </w:r>
          </w:p>
        </w:tc>
        <w:tc>
          <w:tcPr>
            <w:tcW w:w="1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Manager</w:t>
            </w:r>
          </w:p>
        </w:tc>
        <w:tc>
          <w:tcPr>
            <w:tcW w:w="1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 for every size</w:t>
            </w:r>
          </w:p>
        </w:tc>
        <w:tc>
          <w:tcPr>
            <w:tcW w:w="1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Connector off; </w:t>
            </w:r>
            <w:r>
              <w:rPr>
                <w:rFonts w:eastAsia="Segoe UI" w:cs="Segoe UI" w:ascii="Segoe UI" w:hAnsi="Segoe UI"/>
                <w:b/>
                <w:color w:val="101820"/>
                <w:kern w:val="0"/>
                <w:sz w:val="16"/>
                <w:szCs w:val="24"/>
                <w:lang w:val="en-US" w:eastAsia="ja-JP" w:bidi="ar-SA"/>
              </w:rPr>
              <w:t>Queue earlier invoices</w:t>
            </w:r>
            <w:r>
              <w:rPr>
                <w:rFonts w:eastAsia="Segoe UI" w:cs="Segoe UI" w:ascii="Segoe UI" w:hAnsi="Segoe UI"/>
                <w:color w:val="101820"/>
                <w:kern w:val="0"/>
                <w:sz w:val="16"/>
                <w:szCs w:val="24"/>
                <w:lang w:val="en-US" w:eastAsia="ja-JP" w:bidi="ar-SA"/>
              </w:rPr>
              <w:t xml:space="preserve"> once live; </w:t>
            </w:r>
            <w:r>
              <w:rPr>
                <w:rFonts w:eastAsia="Segoe UI" w:cs="Segoe UI" w:ascii="Segoe UI" w:hAnsi="Segoe UI"/>
                <w:b/>
                <w:color w:val="101820"/>
                <w:kern w:val="0"/>
                <w:sz w:val="16"/>
                <w:szCs w:val="24"/>
                <w:lang w:val="en-US" w:eastAsia="ja-JP" w:bidi="ar-SA"/>
              </w:rPr>
              <w:t>Export payloads</w:t>
            </w:r>
            <w:r>
              <w:rPr>
                <w:rFonts w:eastAsia="Segoe UI" w:cs="Segoe UI" w:ascii="Segoe UI" w:hAnsi="Segoe UI"/>
                <w:color w:val="101820"/>
                <w:kern w:val="0"/>
                <w:sz w:val="16"/>
                <w:szCs w:val="24"/>
                <w:lang w:val="en-US" w:eastAsia="ja-JP" w:bidi="ar-SA"/>
              </w:rPr>
              <w:t xml:space="preserve"> for a manual upload</w:t>
            </w:r>
          </w:p>
        </w:tc>
      </w:tr>
      <w:tr>
        <w:trPr/>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 portal</w:t>
            </w:r>
          </w:p>
        </w:tc>
        <w:tc>
          <w:tcPr>
            <w:tcW w:w="19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Portal access; a CTR test file generated</w:t>
            </w:r>
          </w:p>
        </w:tc>
        <w:tc>
          <w:tcPr>
            <w:tcW w:w="15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officer</w:t>
            </w:r>
          </w:p>
        </w:tc>
        <w:tc>
          <w:tcPr>
            <w:tcW w:w="148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 20 / 20 / 20 days</w:t>
            </w:r>
          </w:p>
        </w:tc>
        <w:tc>
          <w:tcPr>
            <w:tcW w:w="198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None: needed before go-live</w:t>
            </w:r>
          </w:p>
        </w:tc>
      </w:tr>
    </w:tbl>
    <w:p>
      <w:pPr>
        <w:pStyle w:val="Normal"/>
        <w:spacing w:before="0" w:after="80"/>
        <w:rPr/>
      </w:pPr>
      <w:r>
        <w:rPr/>
      </w:r>
    </w:p>
    <w:p>
      <w:pPr>
        <w:pStyle w:val="Heading2"/>
        <w:rPr/>
      </w:pPr>
      <w:bookmarkStart w:id="20" w:name="__RefHeading___Toc91425_1894618434"/>
      <w:bookmarkEnd w:id="20"/>
      <w:r>
        <w:rPr>
          <w:rFonts w:eastAsia="Segoe UI" w:cs="Segoe UI"/>
          <w:b/>
          <w:color w:val="0F4761"/>
          <w:sz w:val="26"/>
        </w:rPr>
        <w:t>6.2  When each partner must be live</w:t>
      </w:r>
    </w:p>
    <w:p>
      <w:pPr>
        <w:pStyle w:val="Normal"/>
        <w:spacing w:lineRule="auto" w:line="276" w:before="0" w:after="120"/>
        <w:rPr/>
      </w:pPr>
      <w:r>
        <w:rPr>
          <w:rFonts w:eastAsia="Segoe UI" w:cs="Segoe UI" w:ascii="Segoe UI" w:hAnsi="Segoe UI"/>
          <w:color w:val="101820"/>
          <w:sz w:val="21"/>
        </w:rPr>
        <w:t>With the planned durations, every partner certification finishes before go-live except the EIS, which waits for the BIR enrolment and is switched on in the first hypercare week. The margin is the number of working days the certification can slip before the go-live starts with the fallback.</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726"/>
        <w:gridCol w:w="1549"/>
        <w:gridCol w:w="1551"/>
        <w:gridCol w:w="1591"/>
        <w:gridCol w:w="1690"/>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17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Dependency</w:t>
            </w:r>
          </w:p>
        </w:tc>
        <w:tc>
          <w:tcPr>
            <w:tcW w:w="15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155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59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169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I6</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Partner contracts and credentials</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W2, 20 days before go-live</w:t>
            </w:r>
          </w:p>
        </w:tc>
        <w:tc>
          <w:tcPr>
            <w:tcW w:w="1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W3, 31 days before go-live</w:t>
            </w:r>
          </w:p>
        </w:tc>
        <w:tc>
          <w:tcPr>
            <w:tcW w:w="15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to W4, 50 days before go-live</w:t>
            </w:r>
          </w:p>
        </w:tc>
        <w:tc>
          <w:tcPr>
            <w:tcW w:w="16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 to W6, 74 days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I7</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COC series</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W2, 24 days before go-live</w:t>
            </w:r>
          </w:p>
        </w:tc>
        <w:tc>
          <w:tcPr>
            <w:tcW w:w="1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W2, 36 days before go-live</w:t>
            </w:r>
          </w:p>
        </w:tc>
        <w:tc>
          <w:tcPr>
            <w:tcW w:w="15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W3, 59 days before go-live</w:t>
            </w:r>
          </w:p>
        </w:tc>
        <w:tc>
          <w:tcPr>
            <w:tcW w:w="16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 to W3, 89 days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N3</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payment files certified</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to W5, 8 days before go-live</w:t>
            </w:r>
          </w:p>
        </w:tc>
        <w:tc>
          <w:tcPr>
            <w:tcW w:w="1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to W7, 11 days before go-live</w:t>
            </w:r>
          </w:p>
        </w:tc>
        <w:tc>
          <w:tcPr>
            <w:tcW w:w="15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W6 to W10, 21 days before go-live</w:t>
            </w:r>
          </w:p>
        </w:tc>
        <w:tc>
          <w:tcPr>
            <w:tcW w:w="16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W8 to W13, 39 days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N4</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SMS or Viber live</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to W4, 13 days before go-live</w:t>
            </w:r>
          </w:p>
        </w:tc>
        <w:tc>
          <w:tcPr>
            <w:tcW w:w="1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to W6, 18 days before go-live</w:t>
            </w:r>
          </w:p>
        </w:tc>
        <w:tc>
          <w:tcPr>
            <w:tcW w:w="15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W6 to W8, 31 days before go-live</w:t>
            </w:r>
          </w:p>
        </w:tc>
        <w:tc>
          <w:tcPr>
            <w:tcW w:w="16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W8 to W10, 54 days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N5</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CTPL authentication live</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to W4, 10 days before go-live</w:t>
            </w:r>
          </w:p>
        </w:tc>
        <w:tc>
          <w:tcPr>
            <w:tcW w:w="1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to W6, 16 days before go-live</w:t>
            </w:r>
          </w:p>
        </w:tc>
        <w:tc>
          <w:tcPr>
            <w:tcW w:w="15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W6 to W9, 26 days before go-live</w:t>
            </w:r>
          </w:p>
        </w:tc>
        <w:tc>
          <w:tcPr>
            <w:tcW w:w="16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W8 to W11, 49 days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N6</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API connectors</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to W5, 6 days before go-live</w:t>
            </w:r>
          </w:p>
        </w:tc>
        <w:tc>
          <w:tcPr>
            <w:tcW w:w="1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W5 to W8, 9 days before go-live</w:t>
            </w:r>
          </w:p>
        </w:tc>
        <w:tc>
          <w:tcPr>
            <w:tcW w:w="15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W7 to W11, 19 days before go-live</w:t>
            </w:r>
          </w:p>
        </w:tc>
        <w:tc>
          <w:tcPr>
            <w:tcW w:w="16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W8 to W13, 37 days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N7</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gateway live</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W3, 15 days before go-live</w:t>
            </w:r>
          </w:p>
        </w:tc>
        <w:tc>
          <w:tcPr>
            <w:tcW w:w="1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to W5, 21 days before go-live</w:t>
            </w:r>
          </w:p>
        </w:tc>
        <w:tc>
          <w:tcPr>
            <w:tcW w:w="15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W6 to W7, 36 days before go-live</w:t>
            </w:r>
          </w:p>
        </w:tc>
        <w:tc>
          <w:tcPr>
            <w:tcW w:w="16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W8 to W9, 59 days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N8</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EIS connector in test mode</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W4, 10 days before go-live</w:t>
            </w:r>
          </w:p>
        </w:tc>
        <w:tc>
          <w:tcPr>
            <w:tcW w:w="1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W7, 14 days before go-live</w:t>
            </w:r>
          </w:p>
        </w:tc>
        <w:tc>
          <w:tcPr>
            <w:tcW w:w="15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W10, 21 days before go-live</w:t>
            </w:r>
          </w:p>
        </w:tc>
        <w:tc>
          <w:tcPr>
            <w:tcW w:w="16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W13, 37 days before go-live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N9</w:t>
            </w:r>
          </w:p>
        </w:tc>
        <w:tc>
          <w:tcPr>
            <w:tcW w:w="17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EIS connector live</w:t>
            </w:r>
          </w:p>
        </w:tc>
        <w:tc>
          <w:tcPr>
            <w:tcW w:w="15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W7, in the go-live week</w:t>
            </w:r>
          </w:p>
        </w:tc>
        <w:tc>
          <w:tcPr>
            <w:tcW w:w="155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W10, in the go-live week</w:t>
            </w:r>
          </w:p>
        </w:tc>
        <w:tc>
          <w:tcPr>
            <w:tcW w:w="159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W15, in the go-live week</w:t>
            </w:r>
          </w:p>
        </w:tc>
        <w:tc>
          <w:tcPr>
            <w:tcW w:w="169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W21, in the go-live week</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 xml:space="preserve">CTPL authentication is the partner dependency with the most effect on daily work: every motor policy with CTPL needs an authenticated COC before release. If the provider is not live at go-live, the go/no-go records the decision to use </w:t>
      </w:r>
      <w:r>
        <w:rPr>
          <w:rFonts w:eastAsia="Segoe UI" w:cs="Segoe UI" w:ascii="Segoe UI" w:hAnsi="Segoe UI"/>
          <w:b/>
          <w:color w:val="101820"/>
          <w:sz w:val="20"/>
        </w:rPr>
        <w:t>Enter code from the provider portal</w:t>
      </w:r>
      <w:r>
        <w:rPr>
          <w:rFonts w:eastAsia="Segoe UI" w:cs="Segoe UI" w:ascii="Segoe UI" w:hAnsi="Segoe UI"/>
          <w:color w:val="101820"/>
          <w:sz w:val="20"/>
        </w:rPr>
        <w:t xml:space="preserve"> for every COC, and Operations staff the extra work until the connector is live.</w:t>
      </w:r>
      <w:r>
        <w:br w:type="page"/>
      </w:r>
    </w:p>
    <w:p>
      <w:pPr>
        <w:pStyle w:val="Heading1"/>
        <w:rPr/>
      </w:pPr>
      <w:bookmarkStart w:id="21" w:name="__RefHeading___Toc91427_1894618434"/>
      <w:bookmarkEnd w:id="21"/>
      <w:r>
        <w:rPr>
          <w:rFonts w:eastAsia="Segoe UI" w:cs="Segoe UI" w:ascii="Segoe UI" w:hAnsi="Segoe UI"/>
          <w:b/>
          <w:color w:val="0F4761"/>
          <w:sz w:val="32"/>
        </w:rPr>
        <w:t>7.  Regulatory registrations</w:t>
      </w:r>
    </w:p>
    <w:p>
      <w:pPr>
        <w:pStyle w:val="Heading2"/>
        <w:rPr/>
      </w:pPr>
      <w:bookmarkStart w:id="22" w:name="__RefHeading___Toc91429_1894618434"/>
      <w:bookmarkEnd w:id="22"/>
      <w:r>
        <w:rPr>
          <w:rFonts w:eastAsia="Segoe UI" w:cs="Segoe UI"/>
          <w:b/>
          <w:color w:val="0F4761"/>
          <w:sz w:val="26"/>
        </w:rPr>
        <w:t>7.1  What the broker registers, and what it unlocks</w:t>
      </w:r>
    </w:p>
    <w:p>
      <w:pPr>
        <w:pStyle w:val="Normal"/>
        <w:jc w:val="center"/>
        <w:rPr/>
      </w:pPr>
      <w:r>
        <w:rPr/>
        <w:drawing>
          <wp:inline distT="0" distB="0" distL="0" distR="0">
            <wp:extent cx="5760085" cy="3599815"/>
            <wp:effectExtent l="0" t="0" r="0" b="0"/>
            <wp:docPr id="11" name="Picture 2121288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21288191" descr=""/>
                    <pic:cNvPicPr>
                      <a:picLocks noChangeAspect="1" noChangeArrowheads="1"/>
                    </pic:cNvPicPr>
                  </pic:nvPicPr>
                  <pic:blipFill>
                    <a:blip r:embed="rId7"/>
                    <a:stretch>
                      <a:fillRect/>
                    </a:stretch>
                  </pic:blipFill>
                  <pic:spPr bwMode="auto">
                    <a:xfrm>
                      <a:off x="0" y="0"/>
                      <a:ext cx="5760085" cy="3599815"/>
                    </a:xfrm>
                    <a:prstGeom prst="rect">
                      <a:avLst/>
                    </a:prstGeom>
                  </pic:spPr>
                </pic:pic>
              </a:graphicData>
            </a:graphic>
          </wp:inline>
        </w:drawing>
      </w:r>
    </w:p>
    <w:p>
      <w:pPr>
        <w:pStyle w:val="Normal"/>
        <w:jc w:val="center"/>
        <w:rPr/>
      </w:pPr>
      <w:r>
        <w:rPr>
          <w:rFonts w:eastAsia="Segoe UI" w:cs="Segoe UI" w:ascii="Segoe UI" w:hAnsi="Segoe UI"/>
          <w:i/>
          <w:color w:val="555F6D"/>
          <w:sz w:val="18"/>
        </w:rPr>
        <w:t>Regulatory registrations: the broker's registration with each regulator, its set-up in BrokerVerse and the gate it opens</w:t>
      </w:r>
    </w:p>
    <w:p>
      <w:pPr>
        <w:pStyle w:val="Normal"/>
        <w:spacing w:lineRule="auto" w:line="276" w:before="0" w:after="120"/>
        <w:rPr/>
      </w:pPr>
      <w:r>
        <w:rPr>
          <w:rFonts w:eastAsia="Segoe UI" w:cs="Segoe UI" w:ascii="Segoe UI" w:hAnsi="Segoe UI"/>
          <w:color w:val="101820"/>
          <w:sz w:val="21"/>
        </w:rPr>
        <w:t>The registrations are the broker's own obligations; iorta TechNXT plans around them and sets the system up from their results. A registration the broker already holds takes no lead time: it is confirmed at mobilisation and the task is closed.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934"/>
        <w:gridCol w:w="1506"/>
        <w:gridCol w:w="1513"/>
        <w:gridCol w:w="1976"/>
        <w:gridCol w:w="1178"/>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19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Registration</w:t>
            </w:r>
          </w:p>
        </w:tc>
        <w:tc>
          <w:tcPr>
            <w:tcW w:w="1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15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Lead time assumption (S / M / L / E)</w:t>
            </w:r>
          </w:p>
        </w:tc>
        <w:tc>
          <w:tcPr>
            <w:tcW w:w="197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Set-up in BrokerVerse</w:t>
            </w:r>
          </w:p>
        </w:tc>
        <w:tc>
          <w:tcPr>
            <w:tcW w:w="11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Gate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w:t>
            </w:r>
          </w:p>
        </w:tc>
        <w:tc>
          <w:tcPr>
            <w:tcW w:w="1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Authority to Print or CAS registration; registered serial range of the sales invoices; last numbers used</w:t>
            </w:r>
          </w:p>
        </w:tc>
        <w:tc>
          <w:tcPr>
            <w:tcW w:w="1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Manager with the tax adviser</w:t>
            </w:r>
          </w:p>
        </w:tc>
        <w:tc>
          <w:tcPr>
            <w:tcW w:w="1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 25 / 30 / 30 days</w:t>
            </w:r>
          </w:p>
        </w:tc>
        <w:tc>
          <w:tcPr>
            <w:tcW w:w="1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invoice.atp_number</w:t>
            </w:r>
            <w:r>
              <w:rPr>
                <w:rFonts w:eastAsia="Segoe UI" w:cs="Segoe UI" w:ascii="Segoe UI" w:hAnsi="Segoe UI"/>
                <w:color w:val="101820"/>
                <w:kern w:val="0"/>
                <w:sz w:val="16"/>
                <w:szCs w:val="24"/>
                <w:lang w:val="en-US" w:eastAsia="ja-JP" w:bidi="ar-SA"/>
              </w:rPr>
              <w:t xml:space="preserve"> or </w:t>
            </w:r>
            <w:r>
              <w:rPr>
                <w:rFonts w:eastAsia="Consolas" w:cs="Consolas" w:ascii="Consolas" w:hAnsi="Consolas"/>
                <w:color w:val="101820"/>
                <w:kern w:val="0"/>
                <w:sz w:val="14"/>
                <w:szCs w:val="24"/>
                <w:lang w:val="en-US" w:eastAsia="ja-JP" w:bidi="ar-SA"/>
              </w:rPr>
              <w:t>invoice.cas_permit_number</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invoice.serial_from</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invoice.serial_to</w:t>
            </w:r>
            <w:r>
              <w:rPr>
                <w:rFonts w:eastAsia="Segoe UI" w:cs="Segoe UI" w:ascii="Segoe UI" w:hAnsi="Segoe UI"/>
                <w:color w:val="101820"/>
                <w:kern w:val="0"/>
                <w:sz w:val="16"/>
                <w:szCs w:val="24"/>
                <w:lang w:val="en-US" w:eastAsia="ja-JP" w:bidi="ar-SA"/>
              </w:rPr>
              <w:t>; Numbering sheet; CAS Books and Documents readiness (</w:t>
            </w:r>
            <w:r>
              <w:rPr>
                <w:rFonts w:eastAsia="Consolas" w:cs="Consolas" w:ascii="Consolas" w:hAnsi="Consolas"/>
                <w:color w:val="101820"/>
                <w:kern w:val="0"/>
                <w:sz w:val="14"/>
                <w:szCs w:val="24"/>
                <w:lang w:val="en-US" w:eastAsia="ja-JP" w:bidi="ar-SA"/>
              </w:rPr>
              <w:t>cas.permit_number</w:t>
            </w:r>
            <w:r>
              <w:rPr>
                <w:rFonts w:eastAsia="Segoe UI" w:cs="Segoe UI" w:ascii="Segoe UI" w:hAnsi="Segoe UI"/>
                <w:color w:val="101820"/>
                <w:kern w:val="0"/>
                <w:sz w:val="16"/>
                <w:szCs w:val="24"/>
                <w:lang w:val="en-US" w:eastAsia="ja-JP" w:bidi="ar-SA"/>
              </w:rPr>
              <w:t>)</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to Production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R2</w:t>
            </w:r>
          </w:p>
        </w:tc>
        <w:tc>
          <w:tcPr>
            <w:tcW w:w="1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EIS enrolment and certification, when the broker is covered</w:t>
            </w:r>
          </w:p>
        </w:tc>
        <w:tc>
          <w:tcPr>
            <w:tcW w:w="1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Accounting Manager</w:t>
            </w:r>
          </w:p>
        </w:tc>
        <w:tc>
          <w:tcPr>
            <w:tcW w:w="1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w:t>
            </w:r>
          </w:p>
        </w:tc>
        <w:tc>
          <w:tcPr>
            <w:tcW w:w="1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eis.enabled</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eis.mode</w:t>
            </w:r>
            <w:r>
              <w:rPr>
                <w:rFonts w:eastAsia="Segoe UI" w:cs="Segoe UI" w:ascii="Segoe UI" w:hAnsi="Segoe UI"/>
                <w:color w:val="101820"/>
                <w:kern w:val="0"/>
                <w:sz w:val="16"/>
                <w:szCs w:val="24"/>
                <w:lang w:val="en-US" w:eastAsia="ja-JP" w:bidi="ar-SA"/>
              </w:rPr>
              <w:t>, endpoint, accreditation id; credential variable names</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Feature only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R3</w:t>
            </w:r>
          </w:p>
        </w:tc>
        <w:tc>
          <w:tcPr>
            <w:tcW w:w="1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 registration as covered person, portal access, institution code</w:t>
            </w:r>
          </w:p>
        </w:tc>
        <w:tc>
          <w:tcPr>
            <w:tcW w:w="1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officer</w:t>
            </w:r>
          </w:p>
        </w:tc>
        <w:tc>
          <w:tcPr>
            <w:tcW w:w="1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 20 / 20 / 20 days</w:t>
            </w:r>
          </w:p>
        </w:tc>
        <w:tc>
          <w:tcPr>
            <w:tcW w:w="1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aml.amlc_institution_code</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aml.amlc_transaction_codes</w:t>
            </w:r>
            <w:r>
              <w:rPr>
                <w:rFonts w:eastAsia="Segoe UI" w:cs="Segoe UI" w:ascii="Segoe UI" w:hAnsi="Segoe UI"/>
                <w:color w:val="101820"/>
                <w:kern w:val="0"/>
                <w:sz w:val="16"/>
                <w:szCs w:val="24"/>
                <w:lang w:val="en-US" w:eastAsia="ja-JP" w:bidi="ar-SA"/>
              </w:rPr>
              <w:t>; CTR test file</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R4</w:t>
            </w:r>
          </w:p>
        </w:tc>
        <w:tc>
          <w:tcPr>
            <w:tcW w:w="1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 licences of the firm, officers, licensed individuals and agents; certificates of authority of the insurers</w:t>
            </w:r>
          </w:p>
        </w:tc>
        <w:tc>
          <w:tcPr>
            <w:tcW w:w="1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officer</w:t>
            </w:r>
          </w:p>
        </w:tc>
        <w:tc>
          <w:tcPr>
            <w:tcW w:w="1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 8 / 10 / 12 days</w:t>
            </w:r>
          </w:p>
        </w:tc>
        <w:tc>
          <w:tcPr>
            <w:tcW w:w="1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Compliance &gt; Licence Register, Fit and Proper; insurer </w:t>
            </w:r>
            <w:r>
              <w:rPr>
                <w:rFonts w:eastAsia="Segoe UI" w:cs="Segoe UI" w:ascii="Segoe UI" w:hAnsi="Segoe UI"/>
                <w:b/>
                <w:color w:val="101820"/>
                <w:kern w:val="0"/>
                <w:sz w:val="16"/>
                <w:szCs w:val="24"/>
                <w:lang w:val="en-US" w:eastAsia="ja-JP" w:bidi="ar-SA"/>
              </w:rPr>
              <w:t>IC Certificate of Authority No.</w:t>
            </w:r>
            <w:r>
              <w:rPr>
                <w:rFonts w:eastAsia="Segoe UI" w:cs="Segoe UI" w:ascii="Segoe UI" w:hAnsi="Segoe UI"/>
                <w:color w:val="101820"/>
                <w:kern w:val="0"/>
                <w:sz w:val="16"/>
                <w:szCs w:val="24"/>
                <w:lang w:val="en-US" w:eastAsia="ja-JP" w:bidi="ar-SA"/>
              </w:rPr>
              <w:t xml:space="preserve"> and validity</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set-up; go/no-go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R5</w:t>
            </w:r>
          </w:p>
        </w:tc>
        <w:tc>
          <w:tcPr>
            <w:tcW w:w="1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 registration of the DPO and the data processing systems; privacy notice version</w:t>
            </w:r>
          </w:p>
        </w:tc>
        <w:tc>
          <w:tcPr>
            <w:tcW w:w="1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DPO</w:t>
            </w:r>
          </w:p>
        </w:tc>
        <w:tc>
          <w:tcPr>
            <w:tcW w:w="1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 25 / 30 / 30 days</w:t>
            </w:r>
          </w:p>
        </w:tc>
        <w:tc>
          <w:tcPr>
            <w:tcW w:w="1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4"/>
                <w:szCs w:val="24"/>
                <w:lang w:val="en-US" w:eastAsia="ja-JP" w:bidi="ar-SA"/>
              </w:rPr>
              <w:t>privacy.notice_version</w:t>
            </w:r>
            <w:r>
              <w:rPr>
                <w:rFonts w:eastAsia="Segoe UI" w:cs="Segoe UI" w:ascii="Segoe UI" w:hAnsi="Segoe UI"/>
                <w:color w:val="101820"/>
                <w:kern w:val="0"/>
                <w:sz w:val="16"/>
                <w:szCs w:val="24"/>
                <w:lang w:val="en-US" w:eastAsia="ja-JP" w:bidi="ar-SA"/>
              </w:rPr>
              <w:t>; breach register owner</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R6</w:t>
            </w:r>
          </w:p>
        </w:tc>
        <w:tc>
          <w:tcPr>
            <w:tcW w:w="1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 adviser confirmation of tax codes, ATC, rates, invoice and receipt wording, VAT treatment of commission</w:t>
            </w:r>
          </w:p>
        </w:tc>
        <w:tc>
          <w:tcPr>
            <w:tcW w:w="1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 adviser</w:t>
            </w:r>
          </w:p>
        </w:tc>
        <w:tc>
          <w:tcPr>
            <w:tcW w:w="1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 5 / 8 / 10 days</w:t>
            </w:r>
          </w:p>
        </w:tc>
        <w:tc>
          <w:tcPr>
            <w:tcW w:w="1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Taxation, </w:t>
            </w:r>
            <w:r>
              <w:rPr>
                <w:rFonts w:eastAsia="Consolas" w:cs="Consolas" w:ascii="Consolas" w:hAnsi="Consolas"/>
                <w:color w:val="101820"/>
                <w:kern w:val="0"/>
                <w:sz w:val="14"/>
                <w:szCs w:val="24"/>
                <w:lang w:val="en-US" w:eastAsia="ja-JP" w:bidi="ar-SA"/>
              </w:rPr>
              <w:t>bir.*</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invoice.*</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receipts.document_title</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sign-off</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R7</w:t>
            </w:r>
          </w:p>
        </w:tc>
        <w:tc>
          <w:tcPr>
            <w:tcW w:w="1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Screening lists: UN and AMLC lists obtained; PEP list licence from a provider when used</w:t>
            </w:r>
          </w:p>
        </w:tc>
        <w:tc>
          <w:tcPr>
            <w:tcW w:w="1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officer</w:t>
            </w:r>
          </w:p>
        </w:tc>
        <w:tc>
          <w:tcPr>
            <w:tcW w:w="1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 12 / 15 / 15 days</w:t>
            </w:r>
          </w:p>
        </w:tc>
        <w:tc>
          <w:tcPr>
            <w:tcW w:w="1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Compliance &gt; Screening Lists (no list content is delivered with BrokerVerse); </w:t>
            </w:r>
            <w:r>
              <w:rPr>
                <w:rFonts w:eastAsia="Consolas" w:cs="Consolas" w:ascii="Consolas" w:hAnsi="Consolas"/>
                <w:color w:val="101820"/>
                <w:kern w:val="0"/>
                <w:sz w:val="14"/>
                <w:szCs w:val="24"/>
                <w:lang w:val="en-US" w:eastAsia="ja-JP" w:bidi="ar-SA"/>
              </w:rPr>
              <w:t>aml.screening_provider</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R8</w:t>
            </w:r>
          </w:p>
        </w:tc>
        <w:tc>
          <w:tcPr>
            <w:tcW w:w="19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reference covering the use of the client's marks on the engagement file (client brand pack only)</w:t>
            </w:r>
          </w:p>
        </w:tc>
        <w:tc>
          <w:tcPr>
            <w:tcW w:w="1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w:t>
            </w:r>
          </w:p>
        </w:tc>
        <w:tc>
          <w:tcPr>
            <w:tcW w:w="15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 5 / 5 / 5 days</w:t>
            </w:r>
          </w:p>
        </w:tc>
        <w:tc>
          <w:tcPr>
            <w:tcW w:w="197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Theme and Branding &gt; Brand packs</w:t>
            </w:r>
          </w:p>
        </w:tc>
        <w:tc>
          <w:tcPr>
            <w:tcW w:w="11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Feature only</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Points that matter to the plan:</w:t>
      </w:r>
    </w:p>
    <w:p>
      <w:pPr>
        <w:pStyle w:val="Normal"/>
        <w:numPr>
          <w:ilvl w:val="0"/>
          <w:numId w:val="1"/>
        </w:numPr>
        <w:spacing w:before="0" w:after="60"/>
        <w:rPr/>
      </w:pPr>
      <w:r>
        <w:rPr>
          <w:rFonts w:eastAsia="Segoe UI" w:cs="Segoe UI" w:ascii="Segoe UI" w:hAnsi="Segoe UI"/>
          <w:b/>
          <w:color w:val="101820"/>
          <w:sz w:val="21"/>
        </w:rPr>
        <w:t>ATP or CAS (R1)</w:t>
      </w:r>
      <w:r>
        <w:rPr>
          <w:rFonts w:eastAsia="Segoe UI" w:cs="Segoe UI" w:ascii="Segoe UI" w:hAnsi="Segoe UI"/>
          <w:color w:val="101820"/>
          <w:sz w:val="21"/>
        </w:rPr>
        <w:t xml:space="preserve"> is the regulatory item with the least float for a small broker: 2 working days. A broker that must register a new CAS or obtain a new ATP should start on the kick-off day, or the go-live moves.</w:t>
      </w:r>
    </w:p>
    <w:p>
      <w:pPr>
        <w:pStyle w:val="Normal"/>
        <w:numPr>
          <w:ilvl w:val="0"/>
          <w:numId w:val="1"/>
        </w:numPr>
        <w:spacing w:before="0" w:after="60"/>
        <w:rPr/>
      </w:pPr>
      <w:r>
        <w:rPr>
          <w:rFonts w:eastAsia="Segoe UI" w:cs="Segoe UI" w:ascii="Segoe UI" w:hAnsi="Segoe UI"/>
          <w:b/>
          <w:color w:val="101820"/>
          <w:sz w:val="21"/>
        </w:rPr>
        <w:t>Screening lists (R7)</w:t>
      </w:r>
      <w:r>
        <w:rPr>
          <w:rFonts w:eastAsia="Segoe UI" w:cs="Segoe UI" w:ascii="Segoe UI" w:hAnsi="Segoe UI"/>
          <w:color w:val="101820"/>
          <w:sz w:val="21"/>
        </w:rPr>
        <w:t xml:space="preserve"> must be loaded and every client screened before go-live: onboarding, policy issue and payouts check the lists, and a High-risk or matched client gets no policy. The UN and AMLC lists are public; a PEP list is licensed from a provider.</w:t>
      </w:r>
    </w:p>
    <w:p>
      <w:pPr>
        <w:pStyle w:val="Normal"/>
        <w:numPr>
          <w:ilvl w:val="0"/>
          <w:numId w:val="1"/>
        </w:numPr>
        <w:spacing w:before="0" w:after="60"/>
        <w:rPr/>
      </w:pPr>
      <w:r>
        <w:rPr>
          <w:rFonts w:eastAsia="Segoe UI" w:cs="Segoe UI" w:ascii="Segoe UI" w:hAnsi="Segoe UI"/>
          <w:b/>
          <w:color w:val="101820"/>
          <w:sz w:val="21"/>
        </w:rPr>
        <w:t>IC licence data (R4)</w:t>
      </w:r>
      <w:r>
        <w:rPr>
          <w:rFonts w:eastAsia="Segoe UI" w:cs="Segoe UI" w:ascii="Segoe UI" w:hAnsi="Segoe UI"/>
          <w:color w:val="101820"/>
          <w:sz w:val="21"/>
        </w:rPr>
        <w:t xml:space="preserve"> drives the commission payout check: with </w:t>
      </w:r>
      <w:r>
        <w:rPr>
          <w:rFonts w:eastAsia="Consolas" w:cs="Consolas" w:ascii="Consolas" w:hAnsi="Consolas"/>
          <w:color w:val="101820"/>
          <w:sz w:val="19"/>
        </w:rPr>
        <w:t>compliance.referrer_licence_check</w:t>
      </w:r>
      <w:r>
        <w:rPr>
          <w:rFonts w:eastAsia="Segoe UI" w:cs="Segoe UI" w:ascii="Segoe UI" w:hAnsi="Segoe UI"/>
          <w:color w:val="101820"/>
          <w:sz w:val="21"/>
        </w:rPr>
        <w:t xml:space="preserve"> set to block (delivered), commission to an agent without a licence in force is refused. Load the licences before the first commission run after go-live.</w:t>
      </w:r>
    </w:p>
    <w:p>
      <w:pPr>
        <w:pStyle w:val="Normal"/>
        <w:numPr>
          <w:ilvl w:val="0"/>
          <w:numId w:val="1"/>
        </w:numPr>
        <w:spacing w:before="0" w:after="60"/>
        <w:rPr/>
      </w:pPr>
      <w:r>
        <w:rPr>
          <w:rFonts w:eastAsia="Segoe UI" w:cs="Segoe UI" w:ascii="Segoe UI" w:hAnsi="Segoe UI"/>
          <w:b/>
          <w:color w:val="101820"/>
          <w:sz w:val="21"/>
        </w:rPr>
        <w:t>Insurer certificates of authority</w:t>
      </w:r>
      <w:r>
        <w:rPr>
          <w:rFonts w:eastAsia="Segoe UI" w:cs="Segoe UI" w:ascii="Segoe UI" w:hAnsi="Segoe UI"/>
          <w:color w:val="101820"/>
          <w:sz w:val="21"/>
        </w:rPr>
        <w:t xml:space="preserve"> are checked at request for quotation, firm order and issue. Start with </w:t>
      </w:r>
      <w:r>
        <w:rPr>
          <w:rFonts w:eastAsia="Consolas" w:cs="Consolas" w:ascii="Consolas" w:hAnsi="Consolas"/>
          <w:color w:val="101820"/>
          <w:sz w:val="19"/>
        </w:rPr>
        <w:t>compliance.insurer_authority_check</w:t>
      </w:r>
      <w:r>
        <w:rPr>
          <w:rFonts w:eastAsia="Segoe UI" w:cs="Segoe UI" w:ascii="Segoe UI" w:hAnsi="Segoe UI"/>
          <w:color w:val="101820"/>
          <w:sz w:val="21"/>
        </w:rPr>
        <w:t xml:space="preserve"> at warn (delivered) and switch to block once every insurer's certificate is entered.</w:t>
      </w:r>
      <w:r>
        <w:br w:type="page"/>
      </w:r>
    </w:p>
    <w:p>
      <w:pPr>
        <w:pStyle w:val="Heading1"/>
        <w:rPr/>
      </w:pPr>
      <w:bookmarkStart w:id="23" w:name="__RefHeading___Toc91431_1894618434"/>
      <w:bookmarkEnd w:id="23"/>
      <w:r>
        <w:rPr>
          <w:rFonts w:eastAsia="Segoe UI" w:cs="Segoe UI" w:ascii="Segoe UI" w:hAnsi="Segoe UI"/>
          <w:b/>
          <w:color w:val="0F4761"/>
          <w:sz w:val="32"/>
        </w:rPr>
        <w:t>8.  Environments, pipeline and keys</w:t>
      </w:r>
    </w:p>
    <w:p>
      <w:pPr>
        <w:pStyle w:val="Heading2"/>
        <w:rPr/>
      </w:pPr>
      <w:bookmarkStart w:id="24" w:name="__RefHeading___Toc91433_1894618434"/>
      <w:bookmarkEnd w:id="24"/>
      <w:r>
        <w:rPr>
          <w:rFonts w:eastAsia="Segoe UI" w:cs="Segoe UI"/>
          <w:b/>
          <w:color w:val="0F4761"/>
          <w:sz w:val="26"/>
        </w:rPr>
        <w:t>8.1  Set-up order</w:t>
      </w:r>
    </w:p>
    <w:p>
      <w:pPr>
        <w:pStyle w:val="Normal"/>
        <w:jc w:val="center"/>
        <w:rPr/>
      </w:pPr>
      <w:r>
        <w:rPr/>
        <w:drawing>
          <wp:inline distT="0" distB="0" distL="0" distR="0">
            <wp:extent cx="5760085" cy="9263380"/>
            <wp:effectExtent l="0" t="0" r="0" b="0"/>
            <wp:docPr id="12" name="Picture 21212881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121288192" descr=""/>
                    <pic:cNvPicPr>
                      <a:picLocks noChangeAspect="1" noChangeArrowheads="1"/>
                    </pic:cNvPicPr>
                  </pic:nvPicPr>
                  <pic:blipFill>
                    <a:blip r:embed="rId8"/>
                    <a:stretch>
                      <a:fillRect/>
                    </a:stretch>
                  </pic:blipFill>
                  <pic:spPr bwMode="auto">
                    <a:xfrm>
                      <a:off x="0" y="0"/>
                      <a:ext cx="5760085" cy="9263380"/>
                    </a:xfrm>
                    <a:prstGeom prst="rect">
                      <a:avLst/>
                    </a:prstGeom>
                  </pic:spPr>
                </pic:pic>
              </a:graphicData>
            </a:graphic>
          </wp:inline>
        </w:drawing>
      </w:r>
    </w:p>
    <w:p>
      <w:pPr>
        <w:pStyle w:val="Normal"/>
        <w:jc w:val="center"/>
        <w:rPr/>
      </w:pPr>
      <w:r>
        <w:rPr>
          <w:rFonts w:eastAsia="Segoe UI" w:cs="Segoe UI" w:ascii="Segoe UI" w:hAnsi="Segoe UI"/>
          <w:i/>
          <w:color w:val="555F6D"/>
          <w:sz w:val="18"/>
        </w:rPr>
        <w:t>Environments, pipeline and encryption keys from the hosting decision to the removal of Pre-Prod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80"/>
        <w:gridCol w:w="2500"/>
        <w:gridCol w:w="2516"/>
        <w:gridCol w:w="2518"/>
      </w:tblGrid>
      <w:tr>
        <w:trPr>
          <w:tblHeader w:val="true"/>
        </w:trPr>
        <w:tc>
          <w:tcPr>
            <w:tcW w:w="14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Environment set</w:t>
            </w:r>
          </w:p>
        </w:tc>
        <w:tc>
          <w:tcPr>
            <w:tcW w:w="250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Small and medium</w:t>
            </w:r>
          </w:p>
        </w:tc>
        <w:tc>
          <w:tcPr>
            <w:tcW w:w="251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Large</w:t>
            </w:r>
          </w:p>
        </w:tc>
        <w:tc>
          <w:tcPr>
            <w:tcW w:w="251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Enterprise</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Standing environments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UAT, Production</w:t>
            </w:r>
          </w:p>
        </w:tc>
        <w:tc>
          <w:tcPr>
            <w:tcW w:w="2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SIT, UAT, Production with high availability</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large, with a cross-region copy of the backups</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Where SIT runs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Dev (synthetic data only)</w:t>
            </w:r>
          </w:p>
        </w:tc>
        <w:tc>
          <w:tcPr>
            <w:tcW w:w="2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w:t>
            </w:r>
          </w:p>
        </w:tc>
        <w:tc>
          <w:tcPr>
            <w:tcW w:w="2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then UAT</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SIT, then UAT</w:t>
            </w:r>
          </w:p>
        </w:tc>
      </w:tr>
      <w:tr>
        <w:trPr/>
        <w:tc>
          <w:tcPr>
            <w:tcW w:w="14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Pre-Prod</w:t>
            </w:r>
          </w:p>
        </w:tc>
        <w:tc>
          <w:tcPr>
            <w:tcW w:w="250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Temporary: created from a production backup for the rehearsal, removed after hypercare</w:t>
            </w:r>
          </w:p>
        </w:tc>
        <w:tc>
          <w:tcPr>
            <w:tcW w:w="251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w:t>
            </w:r>
          </w:p>
        </w:tc>
        <w:tc>
          <w:tcPr>
            <w:tcW w:w="251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Same</w:t>
            </w:r>
          </w:p>
        </w:tc>
      </w:tr>
    </w:tbl>
    <w:p>
      <w:pPr>
        <w:pStyle w:val="Normal"/>
        <w:spacing w:before="0" w:after="80"/>
        <w:rPr/>
      </w:pPr>
      <w:r>
        <w:rPr/>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520"/>
        <w:gridCol w:w="2498"/>
        <w:gridCol w:w="1147"/>
        <w:gridCol w:w="1944"/>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25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Step</w:t>
            </w:r>
          </w:p>
        </w:tc>
        <w:tc>
          <w:tcPr>
            <w:tcW w:w="249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11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Depends on</w:t>
            </w:r>
          </w:p>
        </w:tc>
        <w:tc>
          <w:tcPr>
            <w:tcW w:w="194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Float (S / M / L / E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M5</w:t>
            </w:r>
          </w:p>
        </w:tc>
        <w:tc>
          <w:tcPr>
            <w:tcW w:w="2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option, environment set and data location decided; transfer of personal data outside the Philippines decided and documented</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sponsor and IT head</w:t>
            </w:r>
          </w:p>
        </w:tc>
        <w:tc>
          <w:tcPr>
            <w:tcW w:w="1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Kick-off</w:t>
            </w:r>
          </w:p>
        </w:tc>
        <w:tc>
          <w:tcPr>
            <w:tcW w:w="19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 / 8 / 12 / 17</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E1, E2, E3</w:t>
            </w:r>
          </w:p>
        </w:tc>
        <w:tc>
          <w:tcPr>
            <w:tcW w:w="2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SIT (large, enterprise) and UAT provisioned</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lead</w:t>
            </w:r>
          </w:p>
        </w:tc>
        <w:tc>
          <w:tcPr>
            <w:tcW w:w="1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M5</w:t>
            </w:r>
          </w:p>
        </w:tc>
        <w:tc>
          <w:tcPr>
            <w:tcW w:w="19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 to 6 / 8 to 10 / 12 to 16 / 17 to 21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E4</w:t>
            </w:r>
          </w:p>
        </w:tc>
        <w:tc>
          <w:tcPr>
            <w:tcW w:w="2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GitHub Environments </w:t>
            </w:r>
            <w:r>
              <w:rPr>
                <w:rFonts w:eastAsia="Consolas" w:cs="Consolas" w:ascii="Consolas" w:hAnsi="Consolas"/>
                <w:color w:val="101820"/>
                <w:kern w:val="0"/>
                <w:sz w:val="14"/>
                <w:szCs w:val="24"/>
                <w:lang w:val="en-US" w:eastAsia="ja-JP" w:bidi="ar-SA"/>
              </w:rPr>
              <w:t>dev</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sit</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uat</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preprod</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production</w:t>
            </w:r>
            <w:r>
              <w:rPr>
                <w:rFonts w:eastAsia="Segoe UI" w:cs="Segoe UI" w:ascii="Segoe UI" w:hAnsi="Segoe UI"/>
                <w:color w:val="101820"/>
                <w:kern w:val="0"/>
                <w:sz w:val="16"/>
                <w:szCs w:val="24"/>
                <w:lang w:val="en-US" w:eastAsia="ja-JP" w:bidi="ar-SA"/>
              </w:rPr>
              <w:t>: required reviewers (two on production, prevent self-review), tag rules, variables (</w:t>
            </w:r>
            <w:r>
              <w:rPr>
                <w:rFonts w:eastAsia="Consolas" w:cs="Consolas" w:ascii="Consolas" w:hAnsi="Consolas"/>
                <w:color w:val="101820"/>
                <w:kern w:val="0"/>
                <w:sz w:val="14"/>
                <w:szCs w:val="24"/>
                <w:lang w:val="en-US" w:eastAsia="ja-JP" w:bidi="ar-SA"/>
              </w:rPr>
              <w:t>DEPLOY_ENABLED</w:t>
            </w:r>
            <w:r>
              <w:rPr>
                <w:rFonts w:eastAsia="Segoe UI" w:cs="Segoe UI" w:ascii="Segoe UI" w:hAnsi="Segoe UI"/>
                <w:color w:val="101820"/>
                <w:kern w:val="0"/>
                <w:sz w:val="16"/>
                <w:szCs w:val="24"/>
                <w:lang w:val="en-US" w:eastAsia="ja-JP" w:bidi="ar-SA"/>
              </w:rPr>
              <w:t>, targets, addresses) and environment secrets (deploy keys, known hosts, bucket and distribution ids)</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lead</w:t>
            </w:r>
          </w:p>
        </w:tc>
        <w:tc>
          <w:tcPr>
            <w:tcW w:w="1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w:t>
            </w:r>
          </w:p>
        </w:tc>
        <w:tc>
          <w:tcPr>
            <w:tcW w:w="19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 / 8 / 13 / 19</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E5</w:t>
            </w:r>
          </w:p>
        </w:tc>
        <w:tc>
          <w:tcPr>
            <w:tcW w:w="2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Application secrets in the secret store of each environment: </w:t>
            </w:r>
            <w:r>
              <w:rPr>
                <w:rFonts w:eastAsia="Consolas" w:cs="Consolas" w:ascii="Consolas" w:hAnsi="Consolas"/>
                <w:color w:val="101820"/>
                <w:kern w:val="0"/>
                <w:sz w:val="14"/>
                <w:szCs w:val="24"/>
                <w:lang w:val="en-US" w:eastAsia="ja-JP" w:bidi="ar-SA"/>
              </w:rPr>
              <w:t>JWT_SECRET</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DATA_ENCRYPTION_KEY</w:t>
            </w:r>
            <w:r>
              <w:rPr>
                <w:rFonts w:eastAsia="Segoe UI" w:cs="Segoe UI" w:ascii="Segoe UI" w:hAnsi="Segoe UI"/>
                <w:color w:val="101820"/>
                <w:kern w:val="0"/>
                <w:sz w:val="16"/>
                <w:szCs w:val="24"/>
                <w:lang w:val="en-US" w:eastAsia="ja-JP" w:bidi="ar-SA"/>
              </w:rPr>
              <w:t xml:space="preserve">, </w:t>
            </w:r>
            <w:r>
              <w:rPr>
                <w:rFonts w:eastAsia="Consolas" w:cs="Consolas" w:ascii="Consolas" w:hAnsi="Consolas"/>
                <w:color w:val="101820"/>
                <w:kern w:val="0"/>
                <w:sz w:val="14"/>
                <w:szCs w:val="24"/>
                <w:lang w:val="en-US" w:eastAsia="ja-JP" w:bidi="ar-SA"/>
              </w:rPr>
              <w:t>PII_ENCRYPTION_KEY</w:t>
            </w:r>
            <w:r>
              <w:rPr>
                <w:rFonts w:eastAsia="Segoe UI" w:cs="Segoe UI" w:ascii="Segoe UI" w:hAnsi="Segoe UI"/>
                <w:color w:val="101820"/>
                <w:kern w:val="0"/>
                <w:sz w:val="16"/>
                <w:szCs w:val="24"/>
                <w:lang w:val="en-US" w:eastAsia="ja-JP" w:bidi="ar-SA"/>
              </w:rPr>
              <w:t xml:space="preserve"> (each at least 32 characters and different), </w:t>
            </w:r>
            <w:r>
              <w:rPr>
                <w:rFonts w:eastAsia="Consolas" w:cs="Consolas" w:ascii="Consolas" w:hAnsi="Consolas"/>
                <w:color w:val="101820"/>
                <w:kern w:val="0"/>
                <w:sz w:val="14"/>
                <w:szCs w:val="24"/>
                <w:lang w:val="en-US" w:eastAsia="ja-JP" w:bidi="ar-SA"/>
              </w:rPr>
              <w:t>SMTP_URL</w:t>
            </w:r>
            <w:r>
              <w:rPr>
                <w:rFonts w:eastAsia="Segoe UI" w:cs="Segoe UI" w:ascii="Segoe UI" w:hAnsi="Segoe UI"/>
                <w:color w:val="101820"/>
                <w:kern w:val="0"/>
                <w:sz w:val="16"/>
                <w:szCs w:val="24"/>
                <w:lang w:val="en-US" w:eastAsia="ja-JP" w:bidi="ar-SA"/>
              </w:rPr>
              <w:t>, partner credentials</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lead with the broker IT head</w:t>
            </w:r>
          </w:p>
        </w:tc>
        <w:tc>
          <w:tcPr>
            <w:tcW w:w="1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w:t>
            </w:r>
          </w:p>
        </w:tc>
        <w:tc>
          <w:tcPr>
            <w:tcW w:w="19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 9 / 14 / 20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E6</w:t>
            </w:r>
          </w:p>
        </w:tc>
        <w:tc>
          <w:tcPr>
            <w:tcW w:w="2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deployment through the pipeline (CI green, deploy, smoke test) to Dev, SIT and UAT</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lead</w:t>
            </w:r>
          </w:p>
        </w:tc>
        <w:tc>
          <w:tcPr>
            <w:tcW w:w="1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E3, E4, E5</w:t>
            </w:r>
          </w:p>
        </w:tc>
        <w:tc>
          <w:tcPr>
            <w:tcW w:w="19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 / 8 / 12 / 17</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E7</w:t>
            </w:r>
          </w:p>
        </w:tc>
        <w:tc>
          <w:tcPr>
            <w:tcW w:w="2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at production topology, backups, monitoring, restore test</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lead</w:t>
            </w:r>
          </w:p>
        </w:tc>
        <w:tc>
          <w:tcPr>
            <w:tcW w:w="1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E5</w:t>
            </w:r>
          </w:p>
        </w:tc>
        <w:tc>
          <w:tcPr>
            <w:tcW w:w="19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 / 23 / 42 / 67</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X2</w:t>
            </w:r>
          </w:p>
        </w:tc>
        <w:tc>
          <w:tcPr>
            <w:tcW w:w="2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Pre-Prod from a production backup: own secrets, e-mail off, scheduler stopped; masked first when people without production access take part</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lead; masking approved by the broker DPO</w:t>
            </w:r>
          </w:p>
        </w:tc>
        <w:tc>
          <w:tcPr>
            <w:tcW w:w="1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to Production</w:t>
            </w:r>
          </w:p>
        </w:tc>
        <w:tc>
          <w:tcPr>
            <w:tcW w:w="19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 / 2 / 2 / 10</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X5</w:t>
            </w:r>
          </w:p>
        </w:tc>
        <w:tc>
          <w:tcPr>
            <w:tcW w:w="25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 xml:space="preserve">Cutover: </w:t>
            </w:r>
            <w:r>
              <w:rPr>
                <w:rFonts w:eastAsia="Consolas" w:cs="Consolas" w:ascii="Consolas" w:hAnsi="Consolas"/>
                <w:color w:val="101820"/>
                <w:kern w:val="0"/>
                <w:sz w:val="14"/>
                <w:szCs w:val="24"/>
                <w:lang w:val="en-US" w:eastAsia="ja-JP" w:bidi="ar-SA"/>
              </w:rPr>
              <w:t>golive.locked</w:t>
            </w:r>
            <w:r>
              <w:rPr>
                <w:rFonts w:eastAsia="Segoe UI" w:cs="Segoe UI" w:ascii="Segoe UI" w:hAnsi="Segoe UI"/>
                <w:color w:val="101820"/>
                <w:kern w:val="0"/>
                <w:sz w:val="16"/>
                <w:szCs w:val="24"/>
                <w:lang w:val="en-US" w:eastAsia="ja-JP" w:bidi="ar-SA"/>
              </w:rPr>
              <w:t xml:space="preserve"> switched on; </w:t>
            </w:r>
            <w:r>
              <w:rPr>
                <w:rFonts w:eastAsia="Consolas" w:cs="Consolas" w:ascii="Consolas" w:hAnsi="Consolas"/>
                <w:color w:val="101820"/>
                <w:kern w:val="0"/>
                <w:sz w:val="14"/>
                <w:szCs w:val="24"/>
                <w:lang w:val="en-US" w:eastAsia="ja-JP" w:bidi="ar-SA"/>
              </w:rPr>
              <w:t>npm run mask:data -- --register-production</w:t>
            </w:r>
            <w:r>
              <w:rPr>
                <w:rFonts w:eastAsia="Segoe UI" w:cs="Segoe UI" w:ascii="Segoe UI" w:hAnsi="Segoe UI"/>
                <w:color w:val="101820"/>
                <w:kern w:val="0"/>
                <w:sz w:val="16"/>
                <w:szCs w:val="24"/>
                <w:lang w:val="en-US" w:eastAsia="ja-JP" w:bidi="ar-SA"/>
              </w:rPr>
              <w:t xml:space="preserve"> run once in Production</w:t>
            </w:r>
          </w:p>
        </w:tc>
        <w:tc>
          <w:tcPr>
            <w:tcW w:w="249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System Administrator; iorta TechNXT DevOps lead</w:t>
            </w:r>
          </w:p>
        </w:tc>
        <w:tc>
          <w:tcPr>
            <w:tcW w:w="11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w:t>
            </w:r>
          </w:p>
        </w:tc>
        <w:tc>
          <w:tcPr>
            <w:tcW w:w="194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w:t>
            </w:r>
          </w:p>
        </w:tc>
      </w:tr>
    </w:tbl>
    <w:p>
      <w:pPr>
        <w:pStyle w:val="Normal"/>
        <w:spacing w:before="0" w:after="80"/>
        <w:rPr/>
      </w:pPr>
      <w:r>
        <w:rPr/>
      </w:r>
    </w:p>
    <w:p>
      <w:pPr>
        <w:pStyle w:val="Heading2"/>
        <w:rPr/>
      </w:pPr>
      <w:bookmarkStart w:id="25" w:name="__RefHeading___Toc91435_1894618434"/>
      <w:bookmarkEnd w:id="25"/>
      <w:r>
        <w:rPr>
          <w:rFonts w:eastAsia="Segoe UI" w:cs="Segoe UI"/>
          <w:b/>
          <w:color w:val="0F4761"/>
          <w:sz w:val="26"/>
        </w:rPr>
        <w:t>8.2  Encryption key custody</w:t>
      </w:r>
    </w:p>
    <w:p>
      <w:pPr>
        <w:pStyle w:val="Normal"/>
        <w:spacing w:lineRule="auto" w:line="276" w:before="0" w:after="120"/>
        <w:rPr/>
      </w:pPr>
      <w:r>
        <w:rPr>
          <w:rFonts w:eastAsia="Consolas" w:cs="Consolas" w:ascii="Consolas" w:hAnsi="Consolas"/>
          <w:color w:val="101820"/>
          <w:sz w:val="19"/>
        </w:rPr>
        <w:t>PII_ENCRYPTION_KEY</w:t>
      </w:r>
      <w:r>
        <w:rPr>
          <w:rFonts w:eastAsia="Segoe UI" w:cs="Segoe UI" w:ascii="Segoe UI" w:hAnsi="Segoe UI"/>
          <w:color w:val="101820"/>
          <w:sz w:val="21"/>
        </w:rPr>
        <w:t xml:space="preserve"> encrypts TIN, government ID numbers and bank account numbers at rest; </w:t>
      </w:r>
      <w:r>
        <w:rPr>
          <w:rFonts w:eastAsia="Consolas" w:cs="Consolas" w:ascii="Consolas" w:hAnsi="Consolas"/>
          <w:color w:val="101820"/>
          <w:sz w:val="19"/>
        </w:rPr>
        <w:t>DATA_ENCRYPTION_KEY</w:t>
      </w:r>
      <w:r>
        <w:rPr>
          <w:rFonts w:eastAsia="Segoe UI" w:cs="Segoe UI" w:ascii="Segoe UI" w:hAnsi="Segoe UI"/>
          <w:color w:val="101820"/>
          <w:sz w:val="21"/>
        </w:rPr>
        <w:t xml:space="preserve"> encrypts two-step verification secrets. A database backup cannot be read without the key it was written with. The key custody record is therefore a dependency of the first deployment, not a formality:</w:t>
      </w:r>
    </w:p>
    <w:p>
      <w:pPr>
        <w:pStyle w:val="Normal"/>
        <w:numPr>
          <w:ilvl w:val="0"/>
          <w:numId w:val="7"/>
        </w:numPr>
        <w:spacing w:before="0" w:after="60"/>
        <w:rPr/>
      </w:pPr>
      <w:r>
        <w:rPr>
          <w:rFonts w:eastAsia="Segoe UI" w:cs="Segoe UI" w:ascii="Segoe UI" w:hAnsi="Segoe UI"/>
          <w:color w:val="101820"/>
          <w:sz w:val="21"/>
        </w:rPr>
        <w:t>Each environment has its own keys; Production keys are generated in the production secret store and never leave it except as the escrow copy.</w:t>
      </w:r>
    </w:p>
    <w:p>
      <w:pPr>
        <w:pStyle w:val="Normal"/>
        <w:numPr>
          <w:ilvl w:val="0"/>
          <w:numId w:val="8"/>
        </w:numPr>
        <w:spacing w:before="0" w:after="60"/>
        <w:rPr/>
      </w:pPr>
      <w:r>
        <w:rPr>
          <w:rFonts w:eastAsia="Segoe UI" w:cs="Segoe UI" w:ascii="Segoe UI" w:hAnsi="Segoe UI"/>
          <w:color w:val="101820"/>
          <w:sz w:val="21"/>
        </w:rPr>
        <w:t>The escrow copy is kept under dual control (one person of the broker, one of iorta TechNXT, or as the hosting contract states), with the backups it opens.</w:t>
      </w:r>
    </w:p>
    <w:p>
      <w:pPr>
        <w:pStyle w:val="Normal"/>
        <w:numPr>
          <w:ilvl w:val="0"/>
          <w:numId w:val="9"/>
        </w:numPr>
        <w:spacing w:before="0" w:after="60"/>
        <w:rPr/>
      </w:pPr>
      <w:r>
        <w:rPr>
          <w:rFonts w:eastAsia="Segoe UI" w:cs="Segoe UI" w:ascii="Segoe UI" w:hAnsi="Segoe UI"/>
          <w:color w:val="101820"/>
          <w:sz w:val="21"/>
        </w:rPr>
        <w:t xml:space="preserve">Pre-Prod restored from a production backup needs the production keys to read the copy. After masking, the copy is rotated to its own key with the rotation procedure of </w:t>
      </w:r>
      <w:r>
        <w:rPr>
          <w:rFonts w:eastAsia="Consolas" w:cs="Consolas" w:ascii="Consolas" w:hAnsi="Consolas"/>
          <w:color w:val="101820"/>
          <w:sz w:val="19"/>
        </w:rPr>
        <w:t>deploy/REFERENCE.md</w:t>
      </w:r>
      <w:r>
        <w:rPr>
          <w:rFonts w:eastAsia="Segoe UI" w:cs="Segoe UI" w:ascii="Segoe UI" w:hAnsi="Segoe UI"/>
          <w:color w:val="101820"/>
          <w:sz w:val="21"/>
        </w:rPr>
        <w:t xml:space="preserve"> (</w:t>
      </w:r>
      <w:r>
        <w:rPr>
          <w:rFonts w:eastAsia="Consolas" w:cs="Consolas" w:ascii="Consolas" w:hAnsi="Consolas"/>
          <w:color w:val="101820"/>
          <w:sz w:val="19"/>
        </w:rPr>
        <w:t>npm run pii:rotate</w:t>
      </w:r>
      <w:r>
        <w:rPr>
          <w:rFonts w:eastAsia="Segoe UI" w:cs="Segoe UI" w:ascii="Segoe UI" w:hAnsi="Segoe UI"/>
          <w:color w:val="101820"/>
          <w:sz w:val="21"/>
        </w:rPr>
        <w:t>).</w:t>
      </w:r>
    </w:p>
    <w:p>
      <w:pPr>
        <w:pStyle w:val="Normal"/>
        <w:numPr>
          <w:ilvl w:val="0"/>
          <w:numId w:val="10"/>
        </w:numPr>
        <w:spacing w:before="0" w:after="60"/>
        <w:rPr/>
      </w:pPr>
      <w:r>
        <w:rPr>
          <w:rFonts w:eastAsia="Segoe UI" w:cs="Segoe UI" w:ascii="Segoe UI" w:hAnsi="Segoe UI"/>
          <w:color w:val="101820"/>
          <w:sz w:val="21"/>
        </w:rPr>
        <w:t>A rotation keeps the previous key (</w:t>
      </w:r>
      <w:r>
        <w:rPr>
          <w:rFonts w:eastAsia="Consolas" w:cs="Consolas" w:ascii="Consolas" w:hAnsi="Consolas"/>
          <w:color w:val="101820"/>
          <w:sz w:val="19"/>
        </w:rPr>
        <w:t>PII_ENCRYPTION_KEY_PREVIOUS</w:t>
      </w:r>
      <w:r>
        <w:rPr>
          <w:rFonts w:eastAsia="Segoe UI" w:cs="Segoe UI" w:ascii="Segoe UI" w:hAnsi="Segoe UI"/>
          <w:color w:val="101820"/>
          <w:sz w:val="21"/>
        </w:rPr>
        <w:t>) until the dry run reports nothing left, and the old key is kept with the backups taken before the rotation.</w:t>
      </w:r>
    </w:p>
    <w:p>
      <w:pPr>
        <w:pStyle w:val="Normal"/>
        <w:spacing w:lineRule="auto" w:line="276" w:before="0" w:after="120"/>
        <w:rPr/>
      </w:pPr>
      <w:r>
        <w:rPr>
          <w:rFonts w:eastAsia="Segoe UI" w:cs="Segoe UI" w:ascii="Segoe UI" w:hAnsi="Segoe UI"/>
          <w:color w:val="101820"/>
          <w:sz w:val="21"/>
        </w:rPr>
        <w:t>If the custody record is not agreed, the first deployment can still go ahead in Dev with a development key, but Production is not provisioned (E7 depends on E5).</w:t>
      </w:r>
      <w:r>
        <w:br w:type="page"/>
      </w:r>
    </w:p>
    <w:p>
      <w:pPr>
        <w:pStyle w:val="Heading1"/>
        <w:rPr/>
      </w:pPr>
      <w:bookmarkStart w:id="26" w:name="__RefHeading___Toc91437_1894618434"/>
      <w:bookmarkEnd w:id="26"/>
      <w:r>
        <w:rPr>
          <w:rFonts w:eastAsia="Segoe UI" w:cs="Segoe UI" w:ascii="Segoe UI" w:hAnsi="Segoe UI"/>
          <w:b/>
          <w:color w:val="0F4761"/>
          <w:sz w:val="32"/>
        </w:rPr>
        <w:t>9.  Critical path by size</w:t>
      </w:r>
    </w:p>
    <w:p>
      <w:pPr>
        <w:pStyle w:val="Heading2"/>
        <w:rPr/>
      </w:pPr>
      <w:bookmarkStart w:id="27" w:name="__RefHeading___Toc91439_1894618434"/>
      <w:bookmarkEnd w:id="27"/>
      <w:r>
        <w:rPr>
          <w:rFonts w:eastAsia="Segoe UI" w:cs="Segoe UI"/>
          <w:b/>
          <w:color w:val="0F4761"/>
          <w:sz w:val="26"/>
        </w:rPr>
        <w:t>9.1  How to read the charts</w:t>
      </w:r>
    </w:p>
    <w:p>
      <w:pPr>
        <w:pStyle w:val="Normal"/>
        <w:spacing w:lineRule="auto" w:line="276" w:before="0" w:after="120"/>
        <w:rPr/>
      </w:pPr>
      <w:r>
        <w:rPr>
          <w:rFonts w:eastAsia="Segoe UI" w:cs="Segoe UI" w:ascii="Segoe UI" w:hAnsi="Segoe UI"/>
          <w:color w:val="101820"/>
          <w:sz w:val="21"/>
        </w:rPr>
        <w:t>Each chart shows the chain of tasks with no float to the go-live, in rows of five from left to right. Blue boxes are iorta TechNXT tasks, green boxes broker tasks, red boxes the gates. A label on an arrow is a start-to-start link with its lag in working days (for example, SIT starts a number of days after on-screen configuration has started, not after it has finished).</w:t>
      </w:r>
    </w:p>
    <w:p>
      <w:pPr>
        <w:pStyle w:val="Normal"/>
        <w:spacing w:lineRule="auto" w:line="276" w:before="0" w:after="120"/>
        <w:rPr/>
      </w:pPr>
      <w:r>
        <w:rPr>
          <w:rFonts w:eastAsia="Segoe UI" w:cs="Segoe UI" w:ascii="Segoe UI" w:hAnsi="Segoe UI"/>
          <w:color w:val="101820"/>
          <w:sz w:val="21"/>
        </w:rPr>
        <w:t>The critical path is the same chain for every size, which is the main message for the project manager:</w:t>
      </w:r>
    </w:p>
    <w:p>
      <w:pPr>
        <w:pStyle w:val="Normal"/>
        <w:spacing w:lineRule="auto" w:line="276" w:before="0" w:after="120"/>
        <w:rPr/>
      </w:pPr>
      <w:r>
        <w:rPr>
          <w:rFonts w:eastAsia="Segoe UI" w:cs="Segoe UI" w:ascii="Segoe UI" w:hAnsi="Segoe UI"/>
          <w:b/>
          <w:color w:val="101820"/>
          <w:sz w:val="21"/>
        </w:rPr>
        <w:t>Client data for the configuration kit (insurers, rates, products, chart of accounts) &gt; configuration kit filled and loaded &gt; on-screen configuration &gt; system integration test &gt; promotion to UAT &gt; UAT &gt; cutover rehearsal &gt; go/no-go &gt; cutover &gt; go-live.</w:t>
      </w:r>
    </w:p>
    <w:p>
      <w:pPr>
        <w:pStyle w:val="Normal"/>
        <w:spacing w:lineRule="auto" w:line="276" w:before="0" w:after="120"/>
        <w:rPr/>
      </w:pPr>
      <w:r>
        <w:rPr>
          <w:rFonts w:eastAsia="Segoe UI" w:cs="Segoe UI" w:ascii="Segoe UI" w:hAnsi="Segoe UI"/>
          <w:color w:val="101820"/>
          <w:sz w:val="21"/>
        </w:rPr>
        <w:t>Discovery workshops, environments and the regulatory registrations run beside it with some float; the size decides how much.</w:t>
      </w:r>
    </w:p>
    <w:p>
      <w:pPr>
        <w:pStyle w:val="Heading2"/>
        <w:rPr/>
      </w:pPr>
      <w:bookmarkStart w:id="28" w:name="__RefHeading___Toc91441_1894618434"/>
      <w:bookmarkEnd w:id="28"/>
      <w:r>
        <w:rPr>
          <w:rFonts w:eastAsia="Segoe UI" w:cs="Segoe UI"/>
          <w:b/>
          <w:color w:val="0F4761"/>
          <w:sz w:val="26"/>
        </w:rPr>
        <w:t>9.2  Small broker (8 weeks)</w:t>
      </w:r>
    </w:p>
    <w:p>
      <w:pPr>
        <w:pStyle w:val="Normal"/>
        <w:jc w:val="center"/>
        <w:rPr/>
      </w:pPr>
      <w:r>
        <w:rPr/>
        <w:drawing>
          <wp:inline distT="0" distB="0" distL="0" distR="0">
            <wp:extent cx="5760085" cy="1613535"/>
            <wp:effectExtent l="0" t="0" r="0" b="0"/>
            <wp:docPr id="13" name="Picture 21212881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121288193" descr=""/>
                    <pic:cNvPicPr>
                      <a:picLocks noChangeAspect="1" noChangeArrowheads="1"/>
                    </pic:cNvPicPr>
                  </pic:nvPicPr>
                  <pic:blipFill>
                    <a:blip r:embed="rId9"/>
                    <a:stretch>
                      <a:fillRect/>
                    </a:stretch>
                  </pic:blipFill>
                  <pic:spPr bwMode="auto">
                    <a:xfrm>
                      <a:off x="0" y="0"/>
                      <a:ext cx="5760085" cy="1613535"/>
                    </a:xfrm>
                    <a:prstGeom prst="rect">
                      <a:avLst/>
                    </a:prstGeom>
                  </pic:spPr>
                </pic:pic>
              </a:graphicData>
            </a:graphic>
          </wp:inline>
        </w:drawing>
      </w:r>
    </w:p>
    <w:p>
      <w:pPr>
        <w:pStyle w:val="Normal"/>
        <w:jc w:val="center"/>
        <w:rPr/>
      </w:pPr>
      <w:r>
        <w:rPr>
          <w:rFonts w:eastAsia="Segoe UI" w:cs="Segoe UI" w:ascii="Segoe UI" w:hAnsi="Segoe UI"/>
          <w:i/>
          <w:color w:val="555F6D"/>
          <w:sz w:val="18"/>
        </w:rPr>
        <w:t>Critical path of a small broker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2"/>
        <w:gridCol w:w="5341"/>
      </w:tblGrid>
      <w:tr>
        <w:trPr>
          <w:tblHeader w:val="true"/>
        </w:trPr>
        <w:tc>
          <w:tcPr>
            <w:tcW w:w="3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3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Critical path</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(W1) &gt; data request and kits issued (W1) &gt; insurers, rates, products; chart of accounts; user list (W1) &gt; configuration kit filled (W2) &gt; kit loaded (W3) &gt; on-screen configuration (W3 to W4) &gt; SIT (W4) &gt; SIT exit (W4) &gt; promotion to UAT (W5) &gt; UAT (W5 to W6) &gt; cutover rehearsal (W6) &gt; go/no-go (W6) &gt; cutover (W6) &gt; go-live (W7)</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Near-critical (float 1 to 5 days)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complete, release to Production, Pre-Prod, UAT sign-off, train-the-trainer and end-user training 1 day; process workshops and BIR ATP or CAS 2 days; mock load 2 3 days; hosting decision, Dev, GitHub Environments, first deployment and compliance set-up 4 days; secrets and keys, fit-gap sign-off and branding 5 days</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it means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small plan has almost no slack: 17 tasks are within one week of the critical path. Any input late by more than a week moves the go-live. Start the ATP or CAS request on the kick-off day</w:t>
            </w:r>
          </w:p>
        </w:tc>
      </w:tr>
    </w:tbl>
    <w:p>
      <w:pPr>
        <w:pStyle w:val="Normal"/>
        <w:spacing w:before="0" w:after="80"/>
        <w:rPr/>
      </w:pPr>
      <w:r>
        <w:rPr/>
      </w:r>
    </w:p>
    <w:p>
      <w:pPr>
        <w:pStyle w:val="Heading2"/>
        <w:rPr/>
      </w:pPr>
      <w:bookmarkStart w:id="29" w:name="__RefHeading___Toc91443_1894618434"/>
      <w:bookmarkEnd w:id="29"/>
      <w:r>
        <w:rPr>
          <w:rFonts w:eastAsia="Segoe UI" w:cs="Segoe UI"/>
          <w:b/>
          <w:color w:val="0F4761"/>
          <w:sz w:val="26"/>
        </w:rPr>
        <w:t>9.3  Medium broker (12 weeks)</w:t>
      </w:r>
    </w:p>
    <w:p>
      <w:pPr>
        <w:pStyle w:val="Normal"/>
        <w:jc w:val="center"/>
        <w:rPr/>
      </w:pPr>
      <w:r>
        <w:rPr/>
        <w:drawing>
          <wp:inline distT="0" distB="0" distL="0" distR="0">
            <wp:extent cx="5760085" cy="1991995"/>
            <wp:effectExtent l="0" t="0" r="0" b="0"/>
            <wp:docPr id="14" name="Picture 21212881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121288194" descr=""/>
                    <pic:cNvPicPr>
                      <a:picLocks noChangeAspect="1" noChangeArrowheads="1"/>
                    </pic:cNvPicPr>
                  </pic:nvPicPr>
                  <pic:blipFill>
                    <a:blip r:embed="rId10"/>
                    <a:stretch>
                      <a:fillRect/>
                    </a:stretch>
                  </pic:blipFill>
                  <pic:spPr bwMode="auto">
                    <a:xfrm>
                      <a:off x="0" y="0"/>
                      <a:ext cx="5760085" cy="1991995"/>
                    </a:xfrm>
                    <a:prstGeom prst="rect">
                      <a:avLst/>
                    </a:prstGeom>
                  </pic:spPr>
                </pic:pic>
              </a:graphicData>
            </a:graphic>
          </wp:inline>
        </w:drawing>
      </w:r>
    </w:p>
    <w:p>
      <w:pPr>
        <w:pStyle w:val="Normal"/>
        <w:jc w:val="center"/>
        <w:rPr/>
      </w:pPr>
      <w:r>
        <w:rPr>
          <w:rFonts w:eastAsia="Segoe UI" w:cs="Segoe UI" w:ascii="Segoe UI" w:hAnsi="Segoe UI"/>
          <w:i/>
          <w:color w:val="555F6D"/>
          <w:sz w:val="18"/>
        </w:rPr>
        <w:t>Critical path of a medium broker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2"/>
        <w:gridCol w:w="5341"/>
      </w:tblGrid>
      <w:tr>
        <w:trPr>
          <w:tblHeader w:val="true"/>
        </w:trPr>
        <w:tc>
          <w:tcPr>
            <w:tcW w:w="3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3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Critical path</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(W1) &gt; data request and kits issued (W1) &gt; insurers, rates, products and chart of accounts (W1 to W2) &gt; configuration kit filled (W2 to W4) &gt; kit loaded (W4) &gt; on-screen configuration (W4 to W6) &gt; SIT (W6 to W7) &gt; SIT exit (W7) &gt; promotion to UAT (W7) &gt; UAT (W8 to W9) &gt; cutover rehearsal (W9) &gt; go/no-go (W9) &gt; cutover (W9) &gt; go-live (W10). A second critical chain runs through configuration complete (W6) &gt; train-the-trainer (W7) &gt; end-user training (W8 to W9)</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Near-critical (float 1 to 5 days)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list 1 day; release to Production and Pre-Prod 2 days; process workshops 3 days; compliance set-up 5 days</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it means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is as critical as testing: key users who are not released for train-the-trainer in week 7 move the go-live</w:t>
            </w:r>
          </w:p>
        </w:tc>
      </w:tr>
    </w:tbl>
    <w:p>
      <w:pPr>
        <w:pStyle w:val="Normal"/>
        <w:spacing w:before="0" w:after="80"/>
        <w:rPr/>
      </w:pPr>
      <w:r>
        <w:rPr/>
      </w:r>
    </w:p>
    <w:p>
      <w:pPr>
        <w:pStyle w:val="Heading2"/>
        <w:rPr/>
      </w:pPr>
      <w:bookmarkStart w:id="30" w:name="__RefHeading___Toc91445_1894618434"/>
      <w:bookmarkEnd w:id="30"/>
      <w:r>
        <w:rPr>
          <w:rFonts w:eastAsia="Segoe UI" w:cs="Segoe UI"/>
          <w:b/>
          <w:color w:val="0F4761"/>
          <w:sz w:val="26"/>
        </w:rPr>
        <w:t>9.4  Large broker (20 weeks)</w:t>
      </w:r>
    </w:p>
    <w:p>
      <w:pPr>
        <w:pStyle w:val="Normal"/>
        <w:jc w:val="center"/>
        <w:rPr/>
      </w:pPr>
      <w:r>
        <w:rPr/>
        <w:drawing>
          <wp:inline distT="0" distB="0" distL="0" distR="0">
            <wp:extent cx="5760085" cy="1555115"/>
            <wp:effectExtent l="0" t="0" r="0" b="0"/>
            <wp:docPr id="15" name="Picture 21212881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121288195" descr=""/>
                    <pic:cNvPicPr>
                      <a:picLocks noChangeAspect="1" noChangeArrowheads="1"/>
                    </pic:cNvPicPr>
                  </pic:nvPicPr>
                  <pic:blipFill>
                    <a:blip r:embed="rId11"/>
                    <a:stretch>
                      <a:fillRect/>
                    </a:stretch>
                  </pic:blipFill>
                  <pic:spPr bwMode="auto">
                    <a:xfrm>
                      <a:off x="0" y="0"/>
                      <a:ext cx="5760085" cy="1555115"/>
                    </a:xfrm>
                    <a:prstGeom prst="rect">
                      <a:avLst/>
                    </a:prstGeom>
                  </pic:spPr>
                </pic:pic>
              </a:graphicData>
            </a:graphic>
          </wp:inline>
        </w:drawing>
      </w:r>
    </w:p>
    <w:p>
      <w:pPr>
        <w:pStyle w:val="Normal"/>
        <w:jc w:val="center"/>
        <w:rPr/>
      </w:pPr>
      <w:r>
        <w:rPr>
          <w:rFonts w:eastAsia="Segoe UI" w:cs="Segoe UI" w:ascii="Segoe UI" w:hAnsi="Segoe UI"/>
          <w:i/>
          <w:color w:val="555F6D"/>
          <w:sz w:val="18"/>
        </w:rPr>
        <w:t>Critical path of a large broker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2"/>
        <w:gridCol w:w="5341"/>
      </w:tblGrid>
      <w:tr>
        <w:trPr>
          <w:tblHeader w:val="true"/>
        </w:trPr>
        <w:tc>
          <w:tcPr>
            <w:tcW w:w="3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3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Critical path</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(W1) &gt; data request and kits issued (W1) &gt; insurers, rates, products and chart of accounts (W1 to W3) &gt; configuration kit filled (W3 to W5) &gt; kit loaded in SIT (W6) &gt; on-screen configuration (W6 to W10) &gt; SIT (W10 to W12) &gt; SIT exit (W12) &gt; promotion to UAT (W12) &gt; UAT (W12 to W14) &gt; cutover rehearsal (W14) &gt; go/no-go (W14) &gt; cutover (W14) &gt; go-live (W15)</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Near-critical (float 1 to 5 days)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End-user training 1 day; user list, release to Production, Pre-Prod and mock load 3 2 days; configuration complete and train-the-trainer 5 days</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it means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 3 in UAT has 2 days of float: a poor second mock load in SIT moves the go-live. Branch training must finish in week 14</w:t>
            </w:r>
          </w:p>
        </w:tc>
      </w:tr>
    </w:tbl>
    <w:p>
      <w:pPr>
        <w:pStyle w:val="Normal"/>
        <w:spacing w:before="0" w:after="80"/>
        <w:rPr/>
      </w:pPr>
      <w:r>
        <w:rPr/>
      </w:r>
    </w:p>
    <w:p>
      <w:pPr>
        <w:pStyle w:val="Heading2"/>
        <w:rPr/>
      </w:pPr>
      <w:bookmarkStart w:id="31" w:name="__RefHeading___Toc91447_1894618434"/>
      <w:bookmarkEnd w:id="31"/>
      <w:r>
        <w:rPr>
          <w:rFonts w:eastAsia="Segoe UI" w:cs="Segoe UI"/>
          <w:b/>
          <w:color w:val="0F4761"/>
          <w:sz w:val="26"/>
        </w:rPr>
        <w:t>9.5  Enterprise broker (26 weeks)</w:t>
      </w:r>
    </w:p>
    <w:p>
      <w:pPr>
        <w:pStyle w:val="Normal"/>
        <w:jc w:val="center"/>
        <w:rPr/>
      </w:pPr>
      <w:r>
        <w:rPr/>
        <w:drawing>
          <wp:inline distT="0" distB="0" distL="0" distR="0">
            <wp:extent cx="5760085" cy="1555115"/>
            <wp:effectExtent l="0" t="0" r="0" b="0"/>
            <wp:docPr id="16" name="Picture 21212881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121288196" descr=""/>
                    <pic:cNvPicPr>
                      <a:picLocks noChangeAspect="1" noChangeArrowheads="1"/>
                    </pic:cNvPicPr>
                  </pic:nvPicPr>
                  <pic:blipFill>
                    <a:blip r:embed="rId12"/>
                    <a:stretch>
                      <a:fillRect/>
                    </a:stretch>
                  </pic:blipFill>
                  <pic:spPr bwMode="auto">
                    <a:xfrm>
                      <a:off x="0" y="0"/>
                      <a:ext cx="5760085" cy="1555115"/>
                    </a:xfrm>
                    <a:prstGeom prst="rect">
                      <a:avLst/>
                    </a:prstGeom>
                  </pic:spPr>
                </pic:pic>
              </a:graphicData>
            </a:graphic>
          </wp:inline>
        </w:drawing>
      </w:r>
    </w:p>
    <w:p>
      <w:pPr>
        <w:pStyle w:val="Normal"/>
        <w:jc w:val="center"/>
        <w:rPr/>
      </w:pPr>
      <w:r>
        <w:rPr>
          <w:rFonts w:eastAsia="Segoe UI" w:cs="Segoe UI" w:ascii="Segoe UI" w:hAnsi="Segoe UI"/>
          <w:i/>
          <w:color w:val="555F6D"/>
          <w:sz w:val="18"/>
        </w:rPr>
        <w:t>Critical path of an enterprise broker</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72"/>
        <w:gridCol w:w="5341"/>
      </w:tblGrid>
      <w:tr>
        <w:trPr>
          <w:tblHeader w:val="true"/>
        </w:trPr>
        <w:tc>
          <w:tcPr>
            <w:tcW w:w="36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53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Detail</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Critical path</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Kick-off (W1) &gt; data request and kits issued (W1) &gt; insurers, rates, products and chart of accounts (W1 to W4) &gt; configuration kit filled (W4 to W7) &gt; kit loaded in SIT (W7 to W8) &gt; on-screen configuration (W8 to W13) &gt; SIT (W13 to W16) &gt; SIT exit (W16) &gt; promotion to UAT (W16) &gt; UAT (W16 to W20) &gt; cutover rehearsal (W19 to W20) &gt; go/no-go (W20) &gt; cutover (W20) &gt; go-live (W21)</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Near-critical (float 1 to 5 days)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list 3 days; mock loads 3 and 4 and end-user training 5 days</w:t>
            </w:r>
          </w:p>
        </w:tc>
      </w:tr>
      <w:tr>
        <w:trPr/>
        <w:tc>
          <w:tcPr>
            <w:tcW w:w="36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What it means</w:t>
            </w:r>
          </w:p>
        </w:tc>
        <w:tc>
          <w:tcPr>
            <w:tcW w:w="53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registrations have weeks of float; the risk sits in the volume of the configuration (more lines of business, insurers and products) and in four mock loads before the rehearsal</w:t>
            </w:r>
          </w:p>
        </w:tc>
      </w:tr>
    </w:tbl>
    <w:p>
      <w:pPr>
        <w:pStyle w:val="Heading1"/>
        <w:rPr/>
      </w:pPr>
      <w:r>
        <w:br w:type="page"/>
      </w:r>
      <w:bookmarkStart w:id="32" w:name="__RefHeading___Toc91449_1894618434"/>
      <w:bookmarkEnd w:id="32"/>
      <w:r>
        <w:rPr>
          <w:rFonts w:eastAsia="Segoe UI" w:cs="Segoe UI" w:ascii="Segoe UI" w:hAnsi="Segoe UI"/>
          <w:b/>
          <w:color w:val="0F4761"/>
          <w:sz w:val="32"/>
        </w:rPr>
        <w:t>10.  Lead times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1864"/>
        <w:gridCol w:w="2161"/>
        <w:gridCol w:w="908"/>
        <w:gridCol w:w="907"/>
        <w:gridCol w:w="906"/>
        <w:gridCol w:w="136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18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Item</w:t>
            </w:r>
          </w:p>
        </w:tc>
        <w:tc>
          <w:tcPr>
            <w:tcW w:w="21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Owner</w:t>
            </w:r>
          </w:p>
        </w:tc>
        <w:tc>
          <w:tcPr>
            <w:tcW w:w="90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ATP or CAS, invoice serials</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Accounting Manager with the tax adviser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R2</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EIS enrolment</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Accounting Manager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R3</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 registration</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compliance officer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R4</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 licence data</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compliance officer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R5</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 registration</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DPO</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R6</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 adviser confirmation</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tax adviser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R7</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Screening lists and licence</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compliance officer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R8</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Contract reference for client marks</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sponsor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I6</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Partner contracts and credentials</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IT head and sponsor</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N3</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payment files certified</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with Accounting and iorta TechNXT</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N4</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SMS or Viber live</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SMS provider, with the broker IT head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N5</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CTPL authentication live</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IC-accredited authentication provider, with Operations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N6</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 API connectors</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Insurers, with the Processing Team</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N7</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gateway live</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Payment gateway, with Accounting</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E7</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provisioned</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iorta TechNXT DevOps lead</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days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G1</w:t>
            </w:r>
          </w:p>
        </w:tc>
        <w:tc>
          <w:tcPr>
            <w:tcW w:w="18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Extraction and cleansing</w:t>
            </w:r>
          </w:p>
        </w:tc>
        <w:tc>
          <w:tcPr>
            <w:tcW w:w="21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data owners</w:t>
            </w:r>
          </w:p>
        </w:tc>
        <w:tc>
          <w:tcPr>
            <w:tcW w:w="90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 days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 days</w:t>
            </w:r>
          </w:p>
        </w:tc>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 days</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25 days</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The lead times of the BIR, the AMLC, the NPC and the IC are assumptions, not commitments of those agencies. Ask the broker at mobilisation which registrations it already holds, which are in progress and their reference numbers, and record each one as a dependency in the RAID log with its expected date.</w:t>
      </w:r>
      <w:r>
        <w:br w:type="page"/>
      </w:r>
    </w:p>
    <w:p>
      <w:pPr>
        <w:pStyle w:val="Heading1"/>
        <w:rPr/>
      </w:pPr>
      <w:bookmarkStart w:id="33" w:name="__RefHeading___Toc91451_1894618434"/>
      <w:bookmarkEnd w:id="33"/>
      <w:r>
        <w:rPr>
          <w:rFonts w:eastAsia="Segoe UI" w:cs="Segoe UI" w:ascii="Segoe UI" w:hAnsi="Segoe UI"/>
          <w:b/>
          <w:color w:val="0F4761"/>
          <w:sz w:val="32"/>
        </w:rPr>
        <w:t>11.  What slips if a dependency slips</w:t>
      </w:r>
    </w:p>
    <w:p>
      <w:pPr>
        <w:pStyle w:val="Heading2"/>
        <w:rPr/>
      </w:pPr>
      <w:bookmarkStart w:id="34" w:name="__RefHeading___Toc91453_1894618434"/>
      <w:bookmarkEnd w:id="34"/>
      <w:r>
        <w:rPr>
          <w:rFonts w:eastAsia="Segoe UI" w:cs="Segoe UI"/>
          <w:b/>
          <w:color w:val="0F4761"/>
          <w:sz w:val="26"/>
        </w:rPr>
        <w:t>11.1  Dependencies that hold the go-live</w:t>
      </w:r>
    </w:p>
    <w:p>
      <w:pPr>
        <w:pStyle w:val="Normal"/>
        <w:spacing w:lineRule="auto" w:line="276" w:before="0" w:after="120"/>
        <w:rPr/>
      </w:pPr>
      <w:r>
        <w:rPr>
          <w:rFonts w:eastAsia="Segoe UI" w:cs="Segoe UI" w:ascii="Segoe UI" w:hAnsi="Segoe UI"/>
          <w:color w:val="101820"/>
          <w:sz w:val="21"/>
        </w:rPr>
        <w:t>The table gives the float to go-live in working days. A dependency that finishes N days late moves the go-live by N less its float (never less than zero). A float of 0 moves the go-live day for day.</w:t>
      </w:r>
    </w:p>
    <w:tbl>
      <w:tblPr>
        <w:tblStyle w:val="TableGrid"/>
        <w:tblW w:w="90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7"/>
        <w:gridCol w:w="3106"/>
        <w:gridCol w:w="1213"/>
        <w:gridCol w:w="1215"/>
        <w:gridCol w:w="1213"/>
        <w:gridCol w:w="1361"/>
      </w:tblGrid>
      <w:tr>
        <w:trPr>
          <w:tblHeader w:val="true"/>
        </w:trPr>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ID</w:t>
            </w:r>
          </w:p>
        </w:tc>
        <w:tc>
          <w:tcPr>
            <w:tcW w:w="31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Dependency</w:t>
            </w:r>
          </w:p>
        </w:tc>
        <w:tc>
          <w:tcPr>
            <w:tcW w:w="12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Small</w:t>
            </w:r>
          </w:p>
        </w:tc>
        <w:tc>
          <w:tcPr>
            <w:tcW w:w="121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Medium</w:t>
            </w:r>
          </w:p>
        </w:tc>
        <w:tc>
          <w:tcPr>
            <w:tcW w:w="121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Large</w:t>
            </w:r>
          </w:p>
        </w:tc>
        <w:tc>
          <w:tcPr>
            <w:tcW w:w="13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Enterprise</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M4</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Broker team named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M5</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Hosting and environment set decided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Dev provisioned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E2</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SIT provisioned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E3</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provisioned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16</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E4</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GitHub Environments set up</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E5</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Secrets and encryption keys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E6</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First pipeline deployment</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E7</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Production provisioned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Process workshops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D2</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workshop</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24</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Insurers, rates, products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I2</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Chart of accounts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I3</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User list and reporting lines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I4</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SMTP mailbox</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36</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90</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I5</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accounts and statement samples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19</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I8</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Logo, pictures, signatories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I9</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Training rooms and attendees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28</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75</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I10</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testers named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72</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BIR ATP or CAS, invoice serials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58</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R3</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 registration</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46</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76</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R4</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IC licence data</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48</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R5</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NPC registration</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68</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R6</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Tax adviser confirmation</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14</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42</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R7</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Screening lists and licence</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26</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76</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kit filled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C2</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kit loaded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C3</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On-screen configuration</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set-up</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15</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K2</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Screening lists loaded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51</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K3</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AMLC report file test</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Branding and brand pack</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18</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tested</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21</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34</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82</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N2</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Bank statement imports</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54</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Extraction and cleansing</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20</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31</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47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G2</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Mapping to the migration kit</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22</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35</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52</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G3</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 1</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6</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13</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23</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G4</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 2</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3</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7</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G5</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 3</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G6</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 4</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n/a</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Train-the-trainer</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12</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L2</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Compliance officer and DPO training</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11</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17</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29</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50</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L3</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End-user training</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5</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integration test</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T4</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X1</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to Production</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2</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10</w:t>
            </w:r>
          </w:p>
        </w:tc>
      </w:tr>
      <w:tr>
        <w:trPr/>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X3</w:t>
            </w:r>
          </w:p>
        </w:tc>
        <w:tc>
          <w:tcPr>
            <w:tcW w:w="31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rehearsal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21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c>
          <w:tcPr>
            <w:tcW w:w="13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0 (critical)</w:t>
            </w:r>
          </w:p>
        </w:tc>
      </w:tr>
    </w:tbl>
    <w:p>
      <w:pPr>
        <w:pStyle w:val="Normal"/>
        <w:spacing w:before="0" w:after="80"/>
        <w:rPr/>
      </w:pPr>
      <w:r>
        <w:rPr/>
      </w:r>
    </w:p>
    <w:p>
      <w:pPr>
        <w:pStyle w:val="Heading2"/>
        <w:rPr/>
      </w:pPr>
      <w:bookmarkStart w:id="35" w:name="__RefHeading___Toc91455_1894618434"/>
      <w:bookmarkEnd w:id="35"/>
      <w:r>
        <w:rPr>
          <w:rFonts w:eastAsia="Segoe UI" w:cs="Segoe UI"/>
          <w:b/>
          <w:color w:val="0F4761"/>
          <w:sz w:val="26"/>
        </w:rPr>
        <w:t>11.2  What else moves with it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Dependency late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Tasks that move with it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 beyond the date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Insurers, rates, products; chart of accounts (I1, I2)</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every task after configuration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for day on the go-live; the mock loads cannot reconcile commission and the ledger without them</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 list (I3)</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load; training users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My Work &gt; My Team and the approval routing follow the reporting line: a late or wrong hierarchy shows in UAT as misrouted approvals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decisions (D1)</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Fit-gap sign-off; on-screen configuration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Rework of the Product Configurator if acceptance rules or rating factors change after build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 decision, environments, keys (M5, E1 to E6)</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kit load, then the critical path</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Without the key custody record Production is not provisioned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ATP or CAS (R1)</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to Production, Pre-Prod, rehearsal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Invoices and receipts cannot be issued from BrokerVerse at go-live; a go-live with manual invoices under the old ATP needs the tax adviser's written agreement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 registration (R3)</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AMLC report file test, go/no-go</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Covered transactions cannot be filed within 5 working days (</w:t>
            </w:r>
            <w:r>
              <w:rPr>
                <w:rFonts w:eastAsia="Consolas" w:cs="Consolas" w:ascii="Consolas" w:hAnsi="Consolas"/>
                <w:color w:val="101820"/>
                <w:kern w:val="0"/>
                <w:sz w:val="16"/>
                <w:szCs w:val="24"/>
                <w:lang w:val="en-US" w:eastAsia="ja-JP" w:bidi="ar-SA"/>
              </w:rPr>
              <w:t>aml.ctr_due_working_days</w:t>
            </w:r>
            <w:r>
              <w:rPr>
                <w:rFonts w:eastAsia="Segoe UI" w:cs="Segoe UI" w:ascii="Segoe UI" w:hAnsi="Segoe UI"/>
                <w:color w:val="101820"/>
                <w:kern w:val="0"/>
                <w:sz w:val="18"/>
                <w:szCs w:val="24"/>
                <w:lang w:val="en-US" w:eastAsia="ja-JP" w:bidi="ar-SA"/>
              </w:rPr>
              <w: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Screening lists (R7, K2)</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are not screened at onboarding and issue; the compliance officer cannot sign the go/no-go</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IC licence data (R4)</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Compliance set-up</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payouts to agents are refused (licence check block) until the licences are entered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NPC registration (R5)</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 processes personal data in a new system without its registration updated; the DPO decides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 confirmation (R6)</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sign-off</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VAT, withholding and invoice wording are not accepted; the BIR forms of the first month are at risk</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Mock loads (G3 to G6)</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Later mock loads, rehearsal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quality found late; the rehearsal is the last chance to reconcile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(L1, L3)</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Go/no-go</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without an assessment do not receive production access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(T4)</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Sign-off, go/no-go, payment milestone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Day for day; the UAT sign-off payment milestone moves with it</w:t>
            </w:r>
          </w:p>
        </w:tc>
      </w:tr>
    </w:tbl>
    <w:p>
      <w:pPr>
        <w:pStyle w:val="Normal"/>
        <w:spacing w:before="0" w:after="80"/>
        <w:rPr/>
      </w:pPr>
      <w:r>
        <w:rPr/>
      </w:r>
    </w:p>
    <w:p>
      <w:pPr>
        <w:pStyle w:val="Heading2"/>
        <w:rPr/>
      </w:pPr>
      <w:bookmarkStart w:id="36" w:name="__RefHeading___Toc91457_1894618434"/>
      <w:bookmarkEnd w:id="36"/>
      <w:r>
        <w:rPr>
          <w:rFonts w:eastAsia="Segoe UI" w:cs="Segoe UI"/>
          <w:b/>
          <w:color w:val="0F4761"/>
          <w:sz w:val="26"/>
        </w:rPr>
        <w:t>11.3  Feature-only dependencies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21"/>
        <w:gridCol w:w="3546"/>
        <w:gridCol w:w="3548"/>
      </w:tblGrid>
      <w:tr>
        <w:trPr>
          <w:tblHeader w:val="true"/>
        </w:trPr>
        <w:tc>
          <w:tcPr>
            <w:tcW w:w="19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Dependency late</w:t>
            </w:r>
          </w:p>
        </w:tc>
        <w:tc>
          <w:tcPr>
            <w:tcW w:w="35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The go-live holds; meanwhile</w:t>
            </w:r>
          </w:p>
        </w:tc>
        <w:tc>
          <w:tcPr>
            <w:tcW w:w="35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Switched on when</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payment files (N3)</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Cheques and manual transfers in the bank portal</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bank accepts the test file</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SMS or Viber (N4)</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E-mail notices; jobs </w:t>
            </w:r>
            <w:r>
              <w:rPr>
                <w:rFonts w:eastAsia="Consolas" w:cs="Consolas" w:ascii="Consolas" w:hAnsi="Consolas"/>
                <w:color w:val="101820"/>
                <w:kern w:val="0"/>
                <w:sz w:val="16"/>
                <w:szCs w:val="24"/>
                <w:lang w:val="en-US" w:eastAsia="ja-JP" w:bidi="ar-SA"/>
              </w:rPr>
              <w:t>sms-renewal-notices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sms-payment-reminders</w:t>
            </w:r>
            <w:r>
              <w:rPr>
                <w:rFonts w:eastAsia="Segoe UI" w:cs="Segoe UI" w:ascii="Segoe UI" w:hAnsi="Segoe UI"/>
                <w:color w:val="101820"/>
                <w:kern w:val="0"/>
                <w:sz w:val="18"/>
                <w:szCs w:val="24"/>
                <w:lang w:val="en-US" w:eastAsia="ja-JP" w:bidi="ar-SA"/>
              </w:rPr>
              <w:t xml:space="preserve"> stay off</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connector is live and a test message is sent</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CTPL authentication (N5)</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Enter code from the provider portal</w:t>
            </w:r>
            <w:r>
              <w:rPr>
                <w:rFonts w:eastAsia="Segoe UI" w:cs="Segoe UI" w:ascii="Segoe UI" w:hAnsi="Segoe UI"/>
                <w:color w:val="101820"/>
                <w:kern w:val="0"/>
                <w:sz w:val="18"/>
                <w:szCs w:val="24"/>
                <w:lang w:val="en-US" w:eastAsia="ja-JP" w:bidi="ar-SA"/>
              </w:rPr>
              <w:t xml:space="preserve"> for each COC</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COC is authenticated live</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APIs (N6)</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101820"/>
                <w:kern w:val="0"/>
                <w:sz w:val="18"/>
                <w:szCs w:val="24"/>
                <w:lang w:val="en-US" w:eastAsia="ja-JP" w:bidi="ar-SA"/>
              </w:rPr>
              <w:t>Record Issued Policy</w:t>
            </w:r>
            <w:r>
              <w:rPr>
                <w:rFonts w:eastAsia="Segoe UI" w:cs="Segoe UI" w:ascii="Segoe UI" w:hAnsi="Segoe UI"/>
                <w:color w:val="101820"/>
                <w:kern w:val="0"/>
                <w:sz w:val="18"/>
                <w:szCs w:val="24"/>
                <w:lang w:val="en-US" w:eastAsia="ja-JP" w:bidi="ar-SA"/>
              </w:rPr>
              <w:t>; claim status file</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insurer accepts the test requests; insurer by insurer</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 gateway (N7)</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transfer, cheque, cash</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live test payment is receipted</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BIR EIS (R2, N8, N9)</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Connector off; invoices issued and kept</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Enrolment; then </w:t>
            </w:r>
            <w:r>
              <w:rPr>
                <w:rFonts w:eastAsia="Segoe UI" w:cs="Segoe UI" w:ascii="Segoe UI" w:hAnsi="Segoe UI"/>
                <w:b/>
                <w:color w:val="101820"/>
                <w:kern w:val="0"/>
                <w:sz w:val="18"/>
                <w:szCs w:val="24"/>
                <w:lang w:val="en-US" w:eastAsia="ja-JP" w:bidi="ar-SA"/>
              </w:rPr>
              <w:t>Queue earlier invoices</w:t>
            </w:r>
            <w:r>
              <w:rPr>
                <w:rFonts w:eastAsia="Segoe UI" w:cs="Segoe UI" w:ascii="Segoe UI" w:hAnsi="Segoe UI"/>
                <w:color w:val="101820"/>
                <w:kern w:val="0"/>
                <w:sz w:val="18"/>
                <w:szCs w:val="24"/>
                <w:lang w:val="en-US" w:eastAsia="ja-JP" w:bidi="ar-SA"/>
              </w:rPr>
              <w:t xml:space="preserve"> sends the invoices issued since go-live</w:t>
            </w:r>
          </w:p>
        </w:tc>
      </w:tr>
      <w:tr>
        <w:trPr/>
        <w:tc>
          <w:tcPr>
            <w:tcW w:w="1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brand pack (R8, B2)</w:t>
            </w:r>
          </w:p>
        </w:tc>
        <w:tc>
          <w:tcPr>
            <w:tcW w:w="35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broker's own theme or the delivered preset</w:t>
            </w:r>
          </w:p>
        </w:tc>
        <w:tc>
          <w:tcPr>
            <w:tcW w:w="35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contract reference covering the client's marks is on the engagement file</w:t>
            </w:r>
          </w:p>
        </w:tc>
      </w:tr>
    </w:tbl>
    <w:p>
      <w:pPr>
        <w:pStyle w:val="Heading1"/>
        <w:rPr/>
      </w:pPr>
      <w:r>
        <w:br w:type="page"/>
      </w:r>
      <w:bookmarkStart w:id="37" w:name="__RefHeading___Toc91459_1894618434"/>
      <w:bookmarkEnd w:id="37"/>
      <w:r>
        <w:rPr>
          <w:rFonts w:eastAsia="Segoe UI" w:cs="Segoe UI" w:ascii="Segoe UI" w:hAnsi="Segoe UI"/>
          <w:b/>
          <w:color w:val="0F4761"/>
          <w:sz w:val="32"/>
        </w:rPr>
        <w:t>12.  Managing the dependencies</w:t>
      </w:r>
    </w:p>
    <w:p>
      <w:pPr>
        <w:pStyle w:val="Normal"/>
        <w:numPr>
          <w:ilvl w:val="0"/>
          <w:numId w:val="11"/>
        </w:numPr>
        <w:spacing w:before="0" w:after="60"/>
        <w:rPr/>
      </w:pPr>
      <w:r>
        <w:rPr>
          <w:rFonts w:eastAsia="Segoe UI" w:cs="Segoe UI" w:ascii="Segoe UI" w:hAnsi="Segoe UI"/>
          <w:b/>
          <w:color w:val="101820"/>
          <w:sz w:val="21"/>
        </w:rPr>
        <w:t>At mobilisation</w:t>
      </w:r>
      <w:r>
        <w:rPr>
          <w:rFonts w:eastAsia="Segoe UI" w:cs="Segoe UI" w:ascii="Segoe UI" w:hAnsi="Segoe UI"/>
          <w:color w:val="101820"/>
          <w:sz w:val="21"/>
        </w:rPr>
        <w:t>, the project manager walks this map with the broker: which registrations are held, which partners are contracted, who owns each input. Every dependency becomes a D line of the RAID log with its owner, needed-by week and state.</w:t>
      </w:r>
    </w:p>
    <w:p>
      <w:pPr>
        <w:pStyle w:val="Normal"/>
        <w:numPr>
          <w:ilvl w:val="0"/>
          <w:numId w:val="12"/>
        </w:numPr>
        <w:spacing w:before="0" w:after="60"/>
        <w:rPr/>
      </w:pPr>
      <w:r>
        <w:rPr>
          <w:rFonts w:eastAsia="Segoe UI" w:cs="Segoe UI" w:ascii="Segoe UI" w:hAnsi="Segoe UI"/>
          <w:b/>
          <w:color w:val="101820"/>
          <w:sz w:val="21"/>
        </w:rPr>
        <w:t>Every week</w:t>
      </w:r>
      <w:r>
        <w:rPr>
          <w:rFonts w:eastAsia="Segoe UI" w:cs="Segoe UI" w:ascii="Segoe UI" w:hAnsi="Segoe UI"/>
          <w:color w:val="101820"/>
          <w:sz w:val="21"/>
        </w:rPr>
        <w:t>, the status report lists the dependencies due in the next two weeks and those At risk or Late. A dependency with float of 5 days or less is reported even when on track.</w:t>
      </w:r>
    </w:p>
    <w:p>
      <w:pPr>
        <w:pStyle w:val="Normal"/>
        <w:numPr>
          <w:ilvl w:val="0"/>
          <w:numId w:val="13"/>
        </w:numPr>
        <w:spacing w:before="0" w:after="60"/>
        <w:rPr/>
      </w:pPr>
      <w:r>
        <w:rPr>
          <w:rFonts w:eastAsia="Segoe UI" w:cs="Segoe UI" w:ascii="Segoe UI" w:hAnsi="Segoe UI"/>
          <w:b/>
          <w:color w:val="101820"/>
          <w:sz w:val="21"/>
        </w:rPr>
        <w:t>Escalation</w:t>
      </w:r>
      <w:r>
        <w:rPr>
          <w:rFonts w:eastAsia="Segoe UI" w:cs="Segoe UI" w:ascii="Segoe UI" w:hAnsi="Segoe UI"/>
          <w:color w:val="101820"/>
          <w:sz w:val="21"/>
        </w:rPr>
        <w:t>: a dependency on the critical path late by 3 working days, or any dependency late by more than its float, goes to the steering committee with the effect on the go-live from the tables above.</w:t>
      </w:r>
    </w:p>
    <w:p>
      <w:pPr>
        <w:pStyle w:val="Normal"/>
        <w:numPr>
          <w:ilvl w:val="0"/>
          <w:numId w:val="14"/>
        </w:numPr>
        <w:spacing w:before="0" w:after="60"/>
        <w:rPr/>
      </w:pPr>
      <w:r>
        <w:rPr>
          <w:rFonts w:eastAsia="Segoe UI" w:cs="Segoe UI" w:ascii="Segoe UI" w:hAnsi="Segoe UI"/>
          <w:b/>
          <w:color w:val="101820"/>
          <w:sz w:val="21"/>
        </w:rPr>
        <w:t>Re-baseline</w:t>
      </w:r>
      <w:r>
        <w:rPr>
          <w:rFonts w:eastAsia="Segoe UI" w:cs="Segoe UI" w:ascii="Segoe UI" w:hAnsi="Segoe UI"/>
          <w:color w:val="101820"/>
          <w:sz w:val="21"/>
        </w:rPr>
        <w:t>: when a dependency moves the go-live, the steering committee agrees the new date; the plan workbook is rebuilt from the model with the new durations, and the change is recorded under the change control of the Statement of Work.</w:t>
      </w:r>
    </w:p>
    <w:p>
      <w:pPr>
        <w:pStyle w:val="Normal"/>
        <w:numPr>
          <w:ilvl w:val="0"/>
          <w:numId w:val="15"/>
        </w:numPr>
        <w:spacing w:before="0" w:after="60"/>
        <w:rPr/>
      </w:pPr>
      <w:r>
        <w:rPr>
          <w:rFonts w:eastAsia="Segoe UI" w:cs="Segoe UI" w:ascii="Segoe UI" w:hAnsi="Segoe UI"/>
          <w:b/>
          <w:color w:val="101820"/>
          <w:sz w:val="21"/>
        </w:rPr>
        <w:t>At go/no-go</w:t>
      </w:r>
      <w:r>
        <w:rPr>
          <w:rFonts w:eastAsia="Segoe UI" w:cs="Segoe UI" w:ascii="Segoe UI" w:hAnsi="Segoe UI"/>
          <w:color w:val="101820"/>
          <w:sz w:val="21"/>
        </w:rPr>
        <w:t>, the feature-only dependencies still open are listed with their fallback and the date the feature is expected; the go-live communication tells users which fallback they use.</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38" w:name="__RefHeading___Toc91461_1894618434"/>
      <w:bookmarkStart w:id="39" w:name="_Toc233203395"/>
      <w:bookmarkEnd w:id="38"/>
      <w:r>
        <w:rPr>
          <w:rStyle w:val="BookTitle"/>
          <w:bCs w:val="false"/>
          <w:i w:val="false"/>
          <w:iCs w:val="false"/>
          <w:spacing w:val="0"/>
        </w:rPr>
        <w:t>13.  Document Sign-Off</w:t>
      </w:r>
      <w:bookmarkEnd w:id="39"/>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9">
            <wp:simplePos x="0" y="0"/>
            <wp:positionH relativeFrom="margin">
              <wp:align>center</wp:align>
            </wp:positionH>
            <wp:positionV relativeFrom="margin">
              <wp:align>center</wp:align>
            </wp:positionV>
            <wp:extent cx="7548245" cy="10677525"/>
            <wp:effectExtent l="0" t="0" r="0" b="0"/>
            <wp:wrapNone/>
            <wp:docPr id="1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
                    <pic:cNvPicPr>
                      <a:picLocks noChangeAspect="1" noChangeArrowheads="1"/>
                    </pic:cNvPicPr>
                  </pic:nvPicPr>
                  <pic:blipFill>
                    <a:blip r:embed="rId13"/>
                    <a:stretch>
                      <a:fillRect/>
                    </a:stretch>
                  </pic:blipFill>
                  <pic:spPr bwMode="auto">
                    <a:xfrm>
                      <a:off x="0" y="0"/>
                      <a:ext cx="7548245" cy="10677525"/>
                    </a:xfrm>
                    <a:prstGeom prst="rect">
                      <a:avLst/>
                    </a:prstGeom>
                  </pic:spPr>
                </pic:pic>
              </a:graphicData>
            </a:graphic>
          </wp:anchor>
        </w:drawing>
      </w:r>
    </w:p>
    <w:sectPr>
      <w:footerReference w:type="default" r:id="rId14"/>
      <w:footerReference w:type="first" r:id="rId15"/>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7">
          <wp:simplePos x="0" y="0"/>
          <wp:positionH relativeFrom="page">
            <wp:align>left</wp:align>
          </wp:positionH>
          <wp:positionV relativeFrom="paragraph">
            <wp:posOffset>-708025</wp:posOffset>
          </wp:positionV>
          <wp:extent cx="8778240" cy="885190"/>
          <wp:effectExtent l="0" t="0" r="0" b="0"/>
          <wp:wrapNone/>
          <wp:docPr id="18"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7">
          <wp:simplePos x="0" y="0"/>
          <wp:positionH relativeFrom="page">
            <wp:align>left</wp:align>
          </wp:positionH>
          <wp:positionV relativeFrom="paragraph">
            <wp:posOffset>-708025</wp:posOffset>
          </wp:positionV>
          <wp:extent cx="8778240" cy="885190"/>
          <wp:effectExtent l="0" t="0" r="0" b="0"/>
          <wp:wrapNone/>
          <wp:docPr id="1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2"/>
    <w:lvlOverride w:ilvl="0">
      <w:startOverride w:val="1"/>
    </w:lvlOverride>
  </w:num>
  <w:num w:numId="7">
    <w:abstractNumId w:val="2"/>
    <w:lvlOverride w:ilvl="0">
      <w:startOverride w:val="1"/>
    </w:lvlOverride>
  </w:num>
  <w:num w:numId="8">
    <w:abstractNumId w:val="2"/>
  </w:num>
  <w:num w:numId="9">
    <w:abstractNumId w:val="2"/>
  </w:num>
  <w:num w:numId="10">
    <w:abstractNumId w:val="2"/>
  </w:num>
  <w:num w:numId="11">
    <w:abstractNumId w:val="2"/>
    <w:lvlOverride w:ilvl="0">
      <w:startOverride w:val="1"/>
    </w:lvlOverride>
  </w:num>
  <w:num w:numId="12">
    <w:abstractNumId w:val="2"/>
  </w:num>
  <w:num w:numId="13">
    <w:abstractNumId w:val="2"/>
  </w:num>
  <w:num w:numId="14">
    <w:abstractNumId w:val="2"/>
  </w:num>
  <w:num w:numId="15">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jpe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13.png"/>
</Relationships>
</file>

<file path=word/_rels/footer2.xml.rels><?xml version="1.0" encoding="UTF-8"?>
<Relationships xmlns="http://schemas.openxmlformats.org/package/2006/relationships"><Relationship Id="rId1" Type="http://schemas.openxmlformats.org/officeDocument/2006/relationships/image" Target="media/image1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2026-10-04T13:00:20Z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