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8.jpeg" ContentType="image/jpeg"/>
  <Override PartName="/word/media/image7.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5799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45801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45803_1894618434">
            <w:r>
              <w:rPr>
                <w:webHidden/>
                <w:rStyle w:val="IndexLink"/>
              </w:rPr>
              <w:t>3. Introduction</w:t>
              <w:tab/>
              <w:t>5</w:t>
            </w:r>
          </w:hyperlink>
        </w:p>
        <w:p>
          <w:pPr>
            <w:pStyle w:val="TOC2"/>
            <w:tabs>
              <w:tab w:val="clear" w:pos="900"/>
              <w:tab w:val="clear" w:pos="9350"/>
              <w:tab w:val="right" w:pos="9025" w:leader="dot"/>
            </w:tabs>
            <w:rPr/>
          </w:pPr>
          <w:hyperlink w:anchor="__RefHeading___Toc45805_1894618434">
            <w:r>
              <w:rPr>
                <w:webHidden/>
                <w:rStyle w:val="IndexLink"/>
              </w:rPr>
              <w:t>3.1 Purpose</w:t>
              <w:tab/>
              <w:t>5</w:t>
            </w:r>
          </w:hyperlink>
        </w:p>
        <w:p>
          <w:pPr>
            <w:pStyle w:val="TOC2"/>
            <w:tabs>
              <w:tab w:val="clear" w:pos="900"/>
              <w:tab w:val="clear" w:pos="9350"/>
              <w:tab w:val="right" w:pos="9025" w:leader="dot"/>
            </w:tabs>
            <w:rPr/>
          </w:pPr>
          <w:hyperlink w:anchor="__RefHeading___Toc45807_1894618434">
            <w:r>
              <w:rPr>
                <w:webHidden/>
                <w:rStyle w:val="IndexLink"/>
              </w:rPr>
              <w:t>3.2 Companion documents</w:t>
              <w:tab/>
              <w:t>6</w:t>
            </w:r>
          </w:hyperlink>
        </w:p>
        <w:p>
          <w:pPr>
            <w:pStyle w:val="TOC2"/>
            <w:tabs>
              <w:tab w:val="clear" w:pos="900"/>
              <w:tab w:val="clear" w:pos="9350"/>
              <w:tab w:val="right" w:pos="9025" w:leader="dot"/>
            </w:tabs>
            <w:rPr/>
          </w:pPr>
          <w:hyperlink w:anchor="__RefHeading___Toc45809_1894618434">
            <w:r>
              <w:rPr>
                <w:webHidden/>
                <w:rStyle w:val="IndexLink"/>
              </w:rPr>
              <w:t>3.3 Audience</w:t>
              <w:tab/>
              <w:t>6</w:t>
            </w:r>
          </w:hyperlink>
        </w:p>
        <w:p>
          <w:pPr>
            <w:pStyle w:val="TOC2"/>
            <w:tabs>
              <w:tab w:val="clear" w:pos="900"/>
              <w:tab w:val="clear" w:pos="9350"/>
              <w:tab w:val="right" w:pos="9025" w:leader="dot"/>
            </w:tabs>
            <w:rPr/>
          </w:pPr>
          <w:hyperlink w:anchor="__RefHeading___Toc45811_1894618434">
            <w:r>
              <w:rPr>
                <w:webHidden/>
                <w:rStyle w:val="IndexLink"/>
              </w:rPr>
              <w:t>3.4 Version history</w:t>
              <w:tab/>
              <w:t>6</w:t>
            </w:r>
          </w:hyperlink>
        </w:p>
        <w:p>
          <w:pPr>
            <w:pStyle w:val="TOC1"/>
            <w:tabs>
              <w:tab w:val="clear" w:pos="900"/>
              <w:tab w:val="clear" w:pos="9350"/>
              <w:tab w:val="right" w:pos="9025" w:leader="dot"/>
            </w:tabs>
            <w:rPr/>
          </w:pPr>
          <w:hyperlink w:anchor="__RefHeading___Toc45813_1894618434">
            <w:r>
              <w:rPr>
                <w:webHidden/>
                <w:rStyle w:val="IndexLink"/>
              </w:rPr>
              <w:t>4. Implementation approach</w:t>
              <w:tab/>
              <w:t>8</w:t>
            </w:r>
          </w:hyperlink>
        </w:p>
        <w:p>
          <w:pPr>
            <w:pStyle w:val="TOC2"/>
            <w:tabs>
              <w:tab w:val="clear" w:pos="900"/>
              <w:tab w:val="clear" w:pos="9350"/>
              <w:tab w:val="right" w:pos="9025" w:leader="dot"/>
            </w:tabs>
            <w:rPr/>
          </w:pPr>
          <w:hyperlink w:anchor="__RefHeading___Toc45815_1894618434">
            <w:r>
              <w:rPr>
                <w:webHidden/>
                <w:rStyle w:val="IndexLink"/>
              </w:rPr>
              <w:t>4.1 Configure, do not customise</w:t>
              <w:tab/>
              <w:t>8</w:t>
            </w:r>
          </w:hyperlink>
        </w:p>
        <w:p>
          <w:pPr>
            <w:pStyle w:val="TOC2"/>
            <w:tabs>
              <w:tab w:val="clear" w:pos="900"/>
              <w:tab w:val="clear" w:pos="9350"/>
              <w:tab w:val="right" w:pos="9025" w:leader="dot"/>
            </w:tabs>
            <w:rPr/>
          </w:pPr>
          <w:hyperlink w:anchor="__RefHeading___Toc45817_1894618434">
            <w:r>
              <w:rPr>
                <w:webHidden/>
                <w:rStyle w:val="IndexLink"/>
              </w:rPr>
              <w:t>4.2 Principles</w:t>
              <w:tab/>
              <w:t>9</w:t>
            </w:r>
          </w:hyperlink>
        </w:p>
        <w:p>
          <w:pPr>
            <w:pStyle w:val="TOC2"/>
            <w:tabs>
              <w:tab w:val="clear" w:pos="900"/>
              <w:tab w:val="clear" w:pos="9350"/>
              <w:tab w:val="right" w:pos="9025" w:leader="dot"/>
            </w:tabs>
            <w:rPr/>
          </w:pPr>
          <w:hyperlink w:anchor="__RefHeading___Toc45819_1894618434">
            <w:r>
              <w:rPr>
                <w:webHidden/>
                <w:rStyle w:val="IndexLink"/>
              </w:rPr>
              <w:t>4.3 Implementation sizes</w:t>
              <w:tab/>
              <w:t>9</w:t>
            </w:r>
          </w:hyperlink>
        </w:p>
        <w:p>
          <w:pPr>
            <w:pStyle w:val="TOC2"/>
            <w:tabs>
              <w:tab w:val="clear" w:pos="900"/>
              <w:tab w:val="clear" w:pos="9350"/>
              <w:tab w:val="right" w:pos="9025" w:leader="dot"/>
            </w:tabs>
            <w:rPr/>
          </w:pPr>
          <w:hyperlink w:anchor="__RefHeading___Toc45821_1894618434">
            <w:r>
              <w:rPr>
                <w:webHidden/>
                <w:rStyle w:val="IndexLink"/>
              </w:rPr>
              <w:t>4.4 Environment model</w:t>
              <w:tab/>
              <w:t>10</w:t>
            </w:r>
          </w:hyperlink>
        </w:p>
        <w:p>
          <w:pPr>
            <w:pStyle w:val="TOC1"/>
            <w:tabs>
              <w:tab w:val="clear" w:pos="900"/>
              <w:tab w:val="clear" w:pos="9350"/>
              <w:tab w:val="right" w:pos="9025" w:leader="dot"/>
            </w:tabs>
            <w:rPr/>
          </w:pPr>
          <w:hyperlink w:anchor="__RefHeading___Toc45823_1894618434">
            <w:r>
              <w:rPr>
                <w:webHidden/>
                <w:rStyle w:val="IndexLink"/>
              </w:rPr>
              <w:t>5. Phases</w:t>
              <w:tab/>
              <w:t>11</w:t>
            </w:r>
          </w:hyperlink>
        </w:p>
        <w:p>
          <w:pPr>
            <w:pStyle w:val="TOC2"/>
            <w:tabs>
              <w:tab w:val="clear" w:pos="900"/>
              <w:tab w:val="clear" w:pos="9350"/>
              <w:tab w:val="right" w:pos="9025" w:leader="dot"/>
            </w:tabs>
            <w:rPr/>
          </w:pPr>
          <w:hyperlink w:anchor="__RefHeading___Toc45825_1894618434">
            <w:r>
              <w:rPr>
                <w:webHidden/>
                <w:rStyle w:val="IndexLink"/>
              </w:rPr>
              <w:t>5.1 Overview</w:t>
              <w:tab/>
              <w:t>11</w:t>
            </w:r>
          </w:hyperlink>
        </w:p>
        <w:p>
          <w:pPr>
            <w:pStyle w:val="TOC2"/>
            <w:tabs>
              <w:tab w:val="clear" w:pos="900"/>
              <w:tab w:val="clear" w:pos="9350"/>
              <w:tab w:val="right" w:pos="9025" w:leader="dot"/>
            </w:tabs>
            <w:rPr/>
          </w:pPr>
          <w:hyperlink w:anchor="__RefHeading___Toc45827_1894618434">
            <w:r>
              <w:rPr>
                <w:webHidden/>
                <w:rStyle w:val="IndexLink"/>
              </w:rPr>
              <w:t>5.2 Mobilisation</w:t>
              <w:tab/>
              <w:t>12</w:t>
            </w:r>
          </w:hyperlink>
        </w:p>
        <w:p>
          <w:pPr>
            <w:pStyle w:val="TOC2"/>
            <w:tabs>
              <w:tab w:val="clear" w:pos="900"/>
              <w:tab w:val="clear" w:pos="9350"/>
              <w:tab w:val="right" w:pos="9025" w:leader="dot"/>
            </w:tabs>
            <w:rPr/>
          </w:pPr>
          <w:hyperlink w:anchor="__RefHeading___Toc45829_1894618434">
            <w:r>
              <w:rPr>
                <w:webHidden/>
                <w:rStyle w:val="IndexLink"/>
              </w:rPr>
              <w:t>5.3 Environments and pipeline</w:t>
              <w:tab/>
              <w:t>13</w:t>
            </w:r>
          </w:hyperlink>
        </w:p>
        <w:p>
          <w:pPr>
            <w:pStyle w:val="TOC2"/>
            <w:tabs>
              <w:tab w:val="clear" w:pos="900"/>
              <w:tab w:val="clear" w:pos="9350"/>
              <w:tab w:val="right" w:pos="9025" w:leader="dot"/>
            </w:tabs>
            <w:rPr/>
          </w:pPr>
          <w:hyperlink w:anchor="__RefHeading___Toc45831_1894618434">
            <w:r>
              <w:rPr>
                <w:webHidden/>
                <w:rStyle w:val="IndexLink"/>
              </w:rPr>
              <w:t>5.4 Discovery and fit-gap</w:t>
              <w:tab/>
              <w:t>13</w:t>
            </w:r>
          </w:hyperlink>
        </w:p>
        <w:p>
          <w:pPr>
            <w:pStyle w:val="TOC2"/>
            <w:tabs>
              <w:tab w:val="clear" w:pos="900"/>
              <w:tab w:val="clear" w:pos="9350"/>
              <w:tab w:val="right" w:pos="9025" w:leader="dot"/>
            </w:tabs>
            <w:rPr/>
          </w:pPr>
          <w:hyperlink w:anchor="__RefHeading___Toc45833_1894618434">
            <w:r>
              <w:rPr>
                <w:webHidden/>
                <w:rStyle w:val="IndexLink"/>
              </w:rPr>
              <w:t>5.5 Client inputs and the configuration kit</w:t>
              <w:tab/>
              <w:t>14</w:t>
            </w:r>
          </w:hyperlink>
        </w:p>
        <w:p>
          <w:pPr>
            <w:pStyle w:val="TOC2"/>
            <w:tabs>
              <w:tab w:val="clear" w:pos="900"/>
              <w:tab w:val="clear" w:pos="9350"/>
              <w:tab w:val="right" w:pos="9025" w:leader="dot"/>
            </w:tabs>
            <w:rPr/>
          </w:pPr>
          <w:hyperlink w:anchor="__RefHeading___Toc45835_1894618434">
            <w:r>
              <w:rPr>
                <w:webHidden/>
                <w:rStyle w:val="IndexLink"/>
              </w:rPr>
              <w:t>5.6 Regulatory registrations</w:t>
              <w:tab/>
              <w:t>14</w:t>
            </w:r>
          </w:hyperlink>
        </w:p>
        <w:p>
          <w:pPr>
            <w:pStyle w:val="TOC2"/>
            <w:tabs>
              <w:tab w:val="clear" w:pos="900"/>
              <w:tab w:val="clear" w:pos="9350"/>
              <w:tab w:val="right" w:pos="9025" w:leader="dot"/>
            </w:tabs>
            <w:rPr/>
          </w:pPr>
          <w:hyperlink w:anchor="__RefHeading___Toc45837_1894618434">
            <w:r>
              <w:rPr>
                <w:webHidden/>
                <w:rStyle w:val="IndexLink"/>
              </w:rPr>
              <w:t>5.7 Configuration</w:t>
              <w:tab/>
              <w:t>15</w:t>
            </w:r>
          </w:hyperlink>
        </w:p>
        <w:p>
          <w:pPr>
            <w:pStyle w:val="TOC2"/>
            <w:tabs>
              <w:tab w:val="clear" w:pos="900"/>
              <w:tab w:val="clear" w:pos="9350"/>
              <w:tab w:val="right" w:pos="9025" w:leader="dot"/>
            </w:tabs>
            <w:rPr/>
          </w:pPr>
          <w:hyperlink w:anchor="__RefHeading___Toc45839_1894618434">
            <w:r>
              <w:rPr>
                <w:webHidden/>
                <w:rStyle w:val="IndexLink"/>
              </w:rPr>
              <w:t>5.8 Compliance set-up</w:t>
              <w:tab/>
              <w:t>15</w:t>
            </w:r>
          </w:hyperlink>
        </w:p>
        <w:p>
          <w:pPr>
            <w:pStyle w:val="TOC2"/>
            <w:tabs>
              <w:tab w:val="clear" w:pos="900"/>
              <w:tab w:val="clear" w:pos="9350"/>
              <w:tab w:val="right" w:pos="9025" w:leader="dot"/>
            </w:tabs>
            <w:rPr/>
          </w:pPr>
          <w:hyperlink w:anchor="__RefHeading___Toc45841_1894618434">
            <w:r>
              <w:rPr>
                <w:webHidden/>
                <w:rStyle w:val="IndexLink"/>
              </w:rPr>
              <w:t>5.9 Branding and brand pack</w:t>
              <w:tab/>
              <w:t>16</w:t>
            </w:r>
          </w:hyperlink>
        </w:p>
        <w:p>
          <w:pPr>
            <w:pStyle w:val="TOC2"/>
            <w:tabs>
              <w:tab w:val="clear" w:pos="900"/>
              <w:tab w:val="clear" w:pos="9350"/>
              <w:tab w:val="right" w:pos="9025" w:leader="dot"/>
            </w:tabs>
            <w:rPr/>
          </w:pPr>
          <w:hyperlink w:anchor="__RefHeading___Toc45843_1894618434">
            <w:r>
              <w:rPr>
                <w:webHidden/>
                <w:rStyle w:val="IndexLink"/>
              </w:rPr>
              <w:t>5.10 Data migration</w:t>
              <w:tab/>
              <w:t>16</w:t>
            </w:r>
          </w:hyperlink>
        </w:p>
        <w:p>
          <w:pPr>
            <w:pStyle w:val="TOC2"/>
            <w:tabs>
              <w:tab w:val="clear" w:pos="900"/>
              <w:tab w:val="clear" w:pos="9350"/>
              <w:tab w:val="right" w:pos="9025" w:leader="dot"/>
            </w:tabs>
            <w:rPr/>
          </w:pPr>
          <w:hyperlink w:anchor="__RefHeading___Toc45845_1894618434">
            <w:r>
              <w:rPr>
                <w:webHidden/>
                <w:rStyle w:val="IndexLink"/>
              </w:rPr>
              <w:t>5.11 Integrations with partners</w:t>
              <w:tab/>
              <w:t>16</w:t>
            </w:r>
          </w:hyperlink>
        </w:p>
        <w:p>
          <w:pPr>
            <w:pStyle w:val="TOC2"/>
            <w:tabs>
              <w:tab w:val="clear" w:pos="900"/>
              <w:tab w:val="clear" w:pos="9350"/>
              <w:tab w:val="right" w:pos="9025" w:leader="dot"/>
            </w:tabs>
            <w:rPr/>
          </w:pPr>
          <w:hyperlink w:anchor="__RefHeading___Toc45847_1894618434">
            <w:r>
              <w:rPr>
                <w:webHidden/>
                <w:rStyle w:val="IndexLink"/>
              </w:rPr>
              <w:t>5.12 Training</w:t>
              <w:tab/>
              <w:t>17</w:t>
            </w:r>
          </w:hyperlink>
        </w:p>
        <w:p>
          <w:pPr>
            <w:pStyle w:val="TOC2"/>
            <w:tabs>
              <w:tab w:val="clear" w:pos="900"/>
              <w:tab w:val="clear" w:pos="9350"/>
              <w:tab w:val="right" w:pos="9025" w:leader="dot"/>
            </w:tabs>
            <w:rPr/>
          </w:pPr>
          <w:hyperlink w:anchor="__RefHeading___Toc45849_1894618434">
            <w:r>
              <w:rPr>
                <w:webHidden/>
                <w:rStyle w:val="IndexLink"/>
              </w:rPr>
              <w:t>5.13 System integration test</w:t>
              <w:tab/>
              <w:t>17</w:t>
            </w:r>
          </w:hyperlink>
        </w:p>
        <w:p>
          <w:pPr>
            <w:pStyle w:val="TOC2"/>
            <w:tabs>
              <w:tab w:val="clear" w:pos="900"/>
              <w:tab w:val="clear" w:pos="9350"/>
              <w:tab w:val="right" w:pos="9025" w:leader="dot"/>
            </w:tabs>
            <w:rPr/>
          </w:pPr>
          <w:hyperlink w:anchor="__RefHeading___Toc45851_1894618434">
            <w:r>
              <w:rPr>
                <w:webHidden/>
                <w:rStyle w:val="IndexLink"/>
              </w:rPr>
              <w:t>5.14 User acceptance test</w:t>
              <w:tab/>
              <w:t>17</w:t>
            </w:r>
          </w:hyperlink>
        </w:p>
        <w:p>
          <w:pPr>
            <w:pStyle w:val="TOC2"/>
            <w:tabs>
              <w:tab w:val="clear" w:pos="900"/>
              <w:tab w:val="clear" w:pos="9350"/>
              <w:tab w:val="right" w:pos="9025" w:leader="dot"/>
            </w:tabs>
            <w:rPr/>
          </w:pPr>
          <w:hyperlink w:anchor="__RefHeading___Toc45853_1894618434">
            <w:r>
              <w:rPr>
                <w:webHidden/>
                <w:rStyle w:val="IndexLink"/>
              </w:rPr>
              <w:t>5.15 Rehearsal, cutover and go-live</w:t>
              <w:tab/>
              <w:t>18</w:t>
            </w:r>
          </w:hyperlink>
        </w:p>
        <w:p>
          <w:pPr>
            <w:pStyle w:val="TOC2"/>
            <w:tabs>
              <w:tab w:val="clear" w:pos="900"/>
              <w:tab w:val="clear" w:pos="9350"/>
              <w:tab w:val="right" w:pos="9025" w:leader="dot"/>
            </w:tabs>
            <w:rPr/>
          </w:pPr>
          <w:hyperlink w:anchor="__RefHeading___Toc45855_1894618434">
            <w:r>
              <w:rPr>
                <w:webHidden/>
                <w:rStyle w:val="IndexLink"/>
              </w:rPr>
              <w:t>5.16 Hypercare</w:t>
              <w:tab/>
              <w:t>18</w:t>
            </w:r>
          </w:hyperlink>
        </w:p>
        <w:p>
          <w:pPr>
            <w:pStyle w:val="TOC1"/>
            <w:tabs>
              <w:tab w:val="clear" w:pos="900"/>
              <w:tab w:val="clear" w:pos="9350"/>
              <w:tab w:val="right" w:pos="9025" w:leader="dot"/>
            </w:tabs>
            <w:rPr/>
          </w:pPr>
          <w:hyperlink w:anchor="__RefHeading___Toc45857_1894618434">
            <w:r>
              <w:rPr>
                <w:webHidden/>
                <w:rStyle w:val="IndexLink"/>
              </w:rPr>
              <w:t>6. Timelines by size</w:t>
              <w:tab/>
              <w:t>19</w:t>
            </w:r>
          </w:hyperlink>
        </w:p>
        <w:p>
          <w:pPr>
            <w:pStyle w:val="TOC2"/>
            <w:tabs>
              <w:tab w:val="clear" w:pos="900"/>
              <w:tab w:val="clear" w:pos="9350"/>
              <w:tab w:val="right" w:pos="9025" w:leader="dot"/>
            </w:tabs>
            <w:rPr/>
          </w:pPr>
          <w:hyperlink w:anchor="__RefHeading___Toc45859_1894618434">
            <w:r>
              <w:rPr>
                <w:webHidden/>
                <w:rStyle w:val="IndexLink"/>
              </w:rPr>
              <w:t>6.1 Phases and milestones</w:t>
              <w:tab/>
              <w:t>19</w:t>
            </w:r>
          </w:hyperlink>
        </w:p>
        <w:p>
          <w:pPr>
            <w:pStyle w:val="TOC2"/>
            <w:tabs>
              <w:tab w:val="clear" w:pos="900"/>
              <w:tab w:val="clear" w:pos="9350"/>
              <w:tab w:val="right" w:pos="9025" w:leader="dot"/>
            </w:tabs>
            <w:rPr/>
          </w:pPr>
          <w:hyperlink w:anchor="__RefHeading___Toc45861_1894618434">
            <w:r>
              <w:rPr>
                <w:webHidden/>
                <w:rStyle w:val="IndexLink"/>
              </w:rPr>
              <w:t>6.2 Small broker (8 weeks)</w:t>
              <w:tab/>
              <w:t>20</w:t>
            </w:r>
          </w:hyperlink>
        </w:p>
        <w:p>
          <w:pPr>
            <w:pStyle w:val="TOC2"/>
            <w:tabs>
              <w:tab w:val="clear" w:pos="900"/>
              <w:tab w:val="clear" w:pos="9350"/>
              <w:tab w:val="right" w:pos="9025" w:leader="dot"/>
            </w:tabs>
            <w:rPr/>
          </w:pPr>
          <w:hyperlink w:anchor="__RefHeading___Toc45863_1894618434">
            <w:r>
              <w:rPr>
                <w:webHidden/>
                <w:rStyle w:val="IndexLink"/>
              </w:rPr>
              <w:t>6.3 Medium broker (12 weeks)</w:t>
              <w:tab/>
              <w:t>21</w:t>
            </w:r>
          </w:hyperlink>
        </w:p>
        <w:p>
          <w:pPr>
            <w:pStyle w:val="TOC2"/>
            <w:tabs>
              <w:tab w:val="clear" w:pos="900"/>
              <w:tab w:val="clear" w:pos="9350"/>
              <w:tab w:val="right" w:pos="9025" w:leader="dot"/>
            </w:tabs>
            <w:rPr/>
          </w:pPr>
          <w:hyperlink w:anchor="__RefHeading___Toc45865_1894618434">
            <w:r>
              <w:rPr>
                <w:webHidden/>
                <w:rStyle w:val="IndexLink"/>
              </w:rPr>
              <w:t>6.4 Large broker (20 weeks)</w:t>
              <w:tab/>
              <w:t>22</w:t>
            </w:r>
          </w:hyperlink>
        </w:p>
        <w:p>
          <w:pPr>
            <w:pStyle w:val="TOC2"/>
            <w:tabs>
              <w:tab w:val="clear" w:pos="900"/>
              <w:tab w:val="clear" w:pos="9350"/>
              <w:tab w:val="right" w:pos="9025" w:leader="dot"/>
            </w:tabs>
            <w:rPr/>
          </w:pPr>
          <w:hyperlink w:anchor="__RefHeading___Toc45867_1894618434">
            <w:r>
              <w:rPr>
                <w:webHidden/>
                <w:rStyle w:val="IndexLink"/>
              </w:rPr>
              <w:t>6.5 Enterprise broker (26 weeks)</w:t>
              <w:tab/>
              <w:t>23</w:t>
            </w:r>
          </w:hyperlink>
        </w:p>
        <w:p>
          <w:pPr>
            <w:pStyle w:val="TOC2"/>
            <w:tabs>
              <w:tab w:val="clear" w:pos="900"/>
              <w:tab w:val="clear" w:pos="9350"/>
              <w:tab w:val="right" w:pos="9025" w:leader="dot"/>
            </w:tabs>
            <w:rPr/>
          </w:pPr>
          <w:hyperlink w:anchor="__RefHeading___Toc45869_1894618434">
            <w:r>
              <w:rPr>
                <w:webHidden/>
                <w:rStyle w:val="IndexLink"/>
              </w:rPr>
              <w:t>6.6 Task-level plan</w:t>
              <w:tab/>
              <w:t>24</w:t>
            </w:r>
          </w:hyperlink>
        </w:p>
        <w:p>
          <w:pPr>
            <w:pStyle w:val="TOC1"/>
            <w:tabs>
              <w:tab w:val="clear" w:pos="900"/>
              <w:tab w:val="clear" w:pos="9350"/>
              <w:tab w:val="right" w:pos="9025" w:leader="dot"/>
            </w:tabs>
            <w:rPr/>
          </w:pPr>
          <w:hyperlink w:anchor="__RefHeading___Toc45871_1894618434">
            <w:r>
              <w:rPr>
                <w:webHidden/>
                <w:rStyle w:val="IndexLink"/>
              </w:rPr>
              <w:t>7. Roles and responsibilities</w:t>
              <w:tab/>
              <w:t>26</w:t>
            </w:r>
          </w:hyperlink>
        </w:p>
        <w:p>
          <w:pPr>
            <w:pStyle w:val="TOC2"/>
            <w:tabs>
              <w:tab w:val="clear" w:pos="900"/>
              <w:tab w:val="clear" w:pos="9350"/>
              <w:tab w:val="right" w:pos="9025" w:leader="dot"/>
            </w:tabs>
            <w:rPr/>
          </w:pPr>
          <w:hyperlink w:anchor="__RefHeading___Toc45873_1894618434">
            <w:r>
              <w:rPr>
                <w:webHidden/>
                <w:rStyle w:val="IndexLink"/>
              </w:rPr>
              <w:t>7.1 Project roles</w:t>
              <w:tab/>
              <w:t>26</w:t>
            </w:r>
          </w:hyperlink>
        </w:p>
        <w:p>
          <w:pPr>
            <w:pStyle w:val="TOC2"/>
            <w:tabs>
              <w:tab w:val="clear" w:pos="900"/>
              <w:tab w:val="clear" w:pos="9350"/>
              <w:tab w:val="right" w:pos="9025" w:leader="dot"/>
            </w:tabs>
            <w:rPr/>
          </w:pPr>
          <w:hyperlink w:anchor="__RefHeading___Toc45875_1894618434">
            <w:r>
              <w:rPr>
                <w:webHidden/>
                <w:rStyle w:val="IndexLink"/>
              </w:rPr>
              <w:t>7.2 RACI</w:t>
              <w:tab/>
              <w:t>26</w:t>
            </w:r>
          </w:hyperlink>
        </w:p>
        <w:p>
          <w:pPr>
            <w:pStyle w:val="TOC1"/>
            <w:tabs>
              <w:tab w:val="clear" w:pos="900"/>
              <w:tab w:val="clear" w:pos="9350"/>
              <w:tab w:val="right" w:pos="9025" w:leader="dot"/>
            </w:tabs>
            <w:rPr/>
          </w:pPr>
          <w:hyperlink w:anchor="__RefHeading___Toc45877_1894618434">
            <w:r>
              <w:rPr>
                <w:webHidden/>
                <w:rStyle w:val="IndexLink"/>
              </w:rPr>
              <w:t>8. Governance</w:t>
              <w:tab/>
              <w:t>28</w:t>
            </w:r>
          </w:hyperlink>
        </w:p>
        <w:p>
          <w:pPr>
            <w:pStyle w:val="TOC2"/>
            <w:tabs>
              <w:tab w:val="clear" w:pos="900"/>
              <w:tab w:val="clear" w:pos="9350"/>
              <w:tab w:val="right" w:pos="9025" w:leader="dot"/>
            </w:tabs>
            <w:rPr/>
          </w:pPr>
          <w:hyperlink w:anchor="__RefHeading___Toc45879_1894618434">
            <w:r>
              <w:rPr>
                <w:webHidden/>
                <w:rStyle w:val="IndexLink"/>
              </w:rPr>
              <w:t>8.1 Steering committee</w:t>
              <w:tab/>
              <w:t>28</w:t>
            </w:r>
          </w:hyperlink>
        </w:p>
        <w:p>
          <w:pPr>
            <w:pStyle w:val="TOC2"/>
            <w:tabs>
              <w:tab w:val="clear" w:pos="900"/>
              <w:tab w:val="clear" w:pos="9350"/>
              <w:tab w:val="right" w:pos="9025" w:leader="dot"/>
            </w:tabs>
            <w:rPr/>
          </w:pPr>
          <w:hyperlink w:anchor="__RefHeading___Toc45881_1894618434">
            <w:r>
              <w:rPr>
                <w:webHidden/>
                <w:rStyle w:val="IndexLink"/>
              </w:rPr>
              <w:t>8.2 Weekly status</w:t>
              <w:tab/>
              <w:t>28</w:t>
            </w:r>
          </w:hyperlink>
        </w:p>
        <w:p>
          <w:pPr>
            <w:pStyle w:val="TOC2"/>
            <w:tabs>
              <w:tab w:val="clear" w:pos="900"/>
              <w:tab w:val="clear" w:pos="9350"/>
              <w:tab w:val="right" w:pos="9025" w:leader="dot"/>
            </w:tabs>
            <w:rPr/>
          </w:pPr>
          <w:hyperlink w:anchor="__RefHeading___Toc45883_1894618434">
            <w:r>
              <w:rPr>
                <w:webHidden/>
                <w:rStyle w:val="IndexLink"/>
              </w:rPr>
              <w:t>8.3 RAID log</w:t>
              <w:tab/>
              <w:t>28</w:t>
            </w:r>
          </w:hyperlink>
        </w:p>
        <w:p>
          <w:pPr>
            <w:pStyle w:val="TOC1"/>
            <w:tabs>
              <w:tab w:val="clear" w:pos="900"/>
              <w:tab w:val="clear" w:pos="9350"/>
              <w:tab w:val="right" w:pos="9025" w:leader="dot"/>
            </w:tabs>
            <w:rPr/>
          </w:pPr>
          <w:hyperlink w:anchor="__RefHeading___Toc45885_1894618434">
            <w:r>
              <w:rPr>
                <w:webHidden/>
                <w:rStyle w:val="IndexLink"/>
              </w:rPr>
              <w:t>9. Deliverables and acceptance criteria</w:t>
              <w:tab/>
              <w:t>29</w:t>
            </w:r>
          </w:hyperlink>
        </w:p>
        <w:p>
          <w:pPr>
            <w:pStyle w:val="TOC1"/>
            <w:tabs>
              <w:tab w:val="clear" w:pos="900"/>
              <w:tab w:val="clear" w:pos="9350"/>
              <w:tab w:val="right" w:pos="9025" w:leader="dot"/>
            </w:tabs>
            <w:rPr/>
          </w:pPr>
          <w:hyperlink w:anchor="__RefHeading___Toc45887_1894618434">
            <w:r>
              <w:rPr>
                <w:webHidden/>
                <w:rStyle w:val="IndexLink"/>
              </w:rPr>
              <w:t>10. Assumptions</w:t>
              <w:tab/>
              <w:t>30</w:t>
            </w:r>
          </w:hyperlink>
        </w:p>
        <w:p>
          <w:pPr>
            <w:pStyle w:val="TOC1"/>
            <w:tabs>
              <w:tab w:val="clear" w:pos="900"/>
              <w:tab w:val="clear" w:pos="9350"/>
              <w:tab w:val="right" w:pos="9025" w:leader="dot"/>
            </w:tabs>
            <w:rPr/>
          </w:pPr>
          <w:hyperlink w:anchor="__RefHeading___Toc45889_1894618434">
            <w:r>
              <w:rPr>
                <w:webHidden/>
                <w:rStyle w:val="IndexLink"/>
              </w:rPr>
              <w:t>11. Exclusions</w:t>
              <w:tab/>
              <w:t>31</w:t>
            </w:r>
          </w:hyperlink>
        </w:p>
        <w:p>
          <w:pPr>
            <w:pStyle w:val="TOC1"/>
            <w:tabs>
              <w:tab w:val="clear" w:pos="900"/>
              <w:tab w:val="clear" w:pos="9350"/>
              <w:tab w:val="right" w:pos="9025" w:leader="dot"/>
            </w:tabs>
            <w:rPr/>
          </w:pPr>
          <w:hyperlink w:anchor="__RefHeading___Toc45891_1894618434">
            <w:r>
              <w:rPr>
                <w:webHidden/>
                <w:rStyle w:val="IndexLink"/>
              </w:rPr>
              <w:t>12. Dependencies on the broker</w:t>
              <w:tab/>
              <w:t>32</w:t>
            </w:r>
          </w:hyperlink>
        </w:p>
        <w:p>
          <w:pPr>
            <w:pStyle w:val="TOC1"/>
            <w:tabs>
              <w:tab w:val="clear" w:pos="900"/>
              <w:tab w:val="clear" w:pos="9350"/>
              <w:tab w:val="right" w:pos="9025" w:leader="dot"/>
            </w:tabs>
            <w:rPr/>
          </w:pPr>
          <w:hyperlink w:anchor="__RefHeading___Toc45893_1894618434">
            <w:r>
              <w:rPr>
                <w:webHidden/>
                <w:rStyle w:val="IndexLink"/>
              </w:rPr>
              <w:t>13. Risks and mitigations</w:t>
              <w:tab/>
              <w:t>33</w:t>
            </w:r>
          </w:hyperlink>
        </w:p>
        <w:p>
          <w:pPr>
            <w:pStyle w:val="TOC1"/>
            <w:tabs>
              <w:tab w:val="clear" w:pos="900"/>
              <w:tab w:val="clear" w:pos="9350"/>
              <w:tab w:val="right" w:pos="9025" w:leader="dot"/>
            </w:tabs>
            <w:rPr/>
          </w:pPr>
          <w:hyperlink w:anchor="__RefHeading___Toc45895_1894618434">
            <w:r>
              <w:rPr>
                <w:webHidden/>
                <w:rStyle w:val="IndexLink"/>
              </w:rPr>
              <w:t>14. Change request process</w:t>
              <w:tab/>
              <w:t>34</w:t>
            </w:r>
          </w:hyperlink>
        </w:p>
        <w:p>
          <w:pPr>
            <w:pStyle w:val="TOC1"/>
            <w:tabs>
              <w:tab w:val="clear" w:pos="900"/>
              <w:tab w:val="clear" w:pos="9350"/>
              <w:tab w:val="right" w:pos="9025" w:leader="dot"/>
            </w:tabs>
            <w:rPr/>
          </w:pPr>
          <w:hyperlink w:anchor="__RefHeading___Toc45897_1894618434">
            <w:r>
              <w:rPr>
                <w:webHidden/>
                <w:rStyle w:val="IndexLink"/>
                <w:i w:val="false"/>
                <w:iCs w:val="false"/>
              </w:rPr>
              <w:t>15. Document Sign-Off</w:t>
            </w:r>
            <w:r>
              <w:rPr>
                <w:rStyle w:val="IndexLink"/>
              </w:rPr>
              <w:tab/>
              <w:t>35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5799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Client brand packs: basis is the client's contract with iorta TechNXT (management decision of 04 October 2026). Version 1.1: Four broker sizes with the environment model; go-live configuration and migration kits; compliance set-up, branding, partner integrations and regulatory registrations as phases; task-level plan from one model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5801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5803_1894618434"/>
      <w:bookmarkEnd w:id="6"/>
      <w:r>
        <w:rPr>
          <w:rFonts w:eastAsia="Segoe UI" w:cs="Segoe UI" w:ascii="Segoe UI" w:hAnsi="Segoe UI"/>
          <w:b/>
          <w:color w:val="0F4761"/>
          <w:sz w:val="32"/>
        </w:rPr>
        <w:t>3.  Introduction</w:t>
      </w:r>
    </w:p>
    <w:p>
      <w:pPr>
        <w:pStyle w:val="Heading2"/>
        <w:rPr/>
      </w:pPr>
      <w:bookmarkStart w:id="7" w:name="__RefHeading___Toc45805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large and enterprise brokers, who does what, how the project is governed, what each phase delivers and how it is accepted, and what is in and out of scope.</w:t>
      </w:r>
    </w:p>
    <w:p>
      <w:pPr>
        <w:pStyle w:val="Heading2"/>
        <w:rPr/>
      </w:pPr>
      <w:bookmarkStart w:id="8" w:name="__RefHeading___Toc45807_1894618434"/>
      <w:bookmarkEnd w:id="8"/>
      <w:r>
        <w:rPr>
          <w:rFonts w:eastAsia="Segoe UI" w:cs="Segoe UI"/>
          <w:b/>
          <w:color w:val="0F4761"/>
          <w:sz w:val="26"/>
        </w:rPr>
        <w:t>3.2  Companion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adds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BrokerVerse_Implementation_Plan.xlsx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task-level plan of each size: duration, owner party (iorta TechNXT, broker or partner), owner role, deliverable, predecessors, dates from the kick-off date, float and critical path; the milestones; every link; the full RACI</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Dependency Map and Critical Path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Diagrams of the dependencies (client inputs, partner certifications, regulatory registrations, environments and keys), the critical path and lead times by size, and what slips when a dependency slips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BrokerVerse_RAID_Log_Template.xlsx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RAID log, pre-filled with the risks, assumptions, issues and dependencies typical of an implementation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Environment Strategy and Production Rollout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sets, release pipeline, promotion of configuration, cutover runbook T-30 to T+30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including the compliance officer,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IC, BIR, AMLA and Data Privacy Act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and workbench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GO_LIVE_DATA_WORKBENCH.md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and the use of the configuration and migration kits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and deployment (</w:t>
            </w:r>
            <w:r>
              <w:rPr>
                <w:rFonts w:eastAsia="Consolas" w:cs="Consolas" w:ascii="Consolas" w:hAnsi="Consolas"/>
                <w:color w:val="101820"/>
                <w:kern w:val="0"/>
                <w:sz w:val="16"/>
                <w:szCs w:val="24"/>
                <w:lang w:val="en-US" w:eastAsia="ja-JP" w:bidi="ar-SA"/>
              </w:rPr>
              <w:t>deploy/RELEASE_PIPELINE.md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Environments, secrets, deployment, rollback, key rotation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plan tables of this document, the workbook and the diagrams come from one plan model (</w:t>
      </w:r>
      <w:r>
        <w:rPr>
          <w:rFonts w:eastAsia="Consolas" w:cs="Consolas" w:ascii="Consolas" w:hAnsi="Consolas"/>
          <w:color w:val="101820"/>
          <w:sz w:val="19"/>
        </w:rPr>
        <w:t>docs/package/tools/delivery/plan_model.py</w:t>
      </w:r>
      <w:r>
        <w:rPr>
          <w:rFonts w:eastAsia="Segoe UI" w:cs="Segoe UI" w:ascii="Segoe UI" w:hAnsi="Segoe UI"/>
          <w:color w:val="101820"/>
          <w:sz w:val="21"/>
        </w:rPr>
        <w:t>), so they agree.</w:t>
      </w:r>
    </w:p>
    <w:p>
      <w:pPr>
        <w:pStyle w:val="Heading2"/>
        <w:rPr/>
      </w:pPr>
      <w:bookmarkStart w:id="9" w:name="__RefHeading___Toc45809_1894618434"/>
      <w:bookmarkEnd w:id="9"/>
      <w:r>
        <w:rPr>
          <w:rFonts w:eastAsia="Segoe UI" w:cs="Segoe UI"/>
          <w:b/>
          <w:color w:val="0F4761"/>
          <w:sz w:val="26"/>
        </w:rPr>
        <w:t>3.3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compliance officer and data protection officer, the broker's IT or System Administrator, and the iorta TechNXT head of delivery, project manager and project team.</w:t>
      </w:r>
    </w:p>
    <w:p>
      <w:pPr>
        <w:pStyle w:val="Heading2"/>
        <w:rPr/>
      </w:pPr>
      <w:bookmarkStart w:id="10" w:name="__RefHeading___Toc45811_1894618434"/>
      <w:bookmarkEnd w:id="10"/>
      <w:r>
        <w:rPr>
          <w:rFonts w:eastAsia="Segoe UI" w:cs="Segoe UI"/>
          <w:b/>
          <w:color w:val="0F4761"/>
          <w:sz w:val="26"/>
        </w:rPr>
        <w:t>3.4  Version history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2"/>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issue: three sizes, twelve phases, RACI, governance, deliverables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sizes (enterprise added) with the environment model; configuration through the go-live configuration kit and migration through the migration kit; new phases for compliance set-up (AML/CFT, IC and NPC registers, masking), branding and the brand pack, integrations with partners (banks, SMS, CTPL authentication and LTO, insurers, BIR EIS, AMLC reporting) and regulatory registrations; GitHub Environments and encryption keys in the environment phase; task-level plan with owners, predecessors and milestones; dependencies and risks aligned with the Dependency Map and the RAID log</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Heading1"/>
        <w:rPr/>
      </w:pPr>
      <w:r>
        <w:br w:type="page"/>
      </w:r>
      <w:bookmarkStart w:id="11" w:name="__RefHeading___Toc45813_1894618434"/>
      <w:bookmarkEnd w:id="11"/>
      <w:r>
        <w:rPr>
          <w:rFonts w:eastAsia="Segoe UI" w:cs="Segoe UI" w:ascii="Segoe UI" w:hAnsi="Segoe UI"/>
          <w:b/>
          <w:color w:val="0F4761"/>
          <w:sz w:val="32"/>
        </w:rPr>
        <w:t>4.  Implementation approach</w:t>
      </w:r>
    </w:p>
    <w:p>
      <w:pPr>
        <w:pStyle w:val="Heading2"/>
        <w:rPr/>
      </w:pPr>
      <w:bookmarkStart w:id="12" w:name="__RefHeading___Toc45815_1894618434"/>
      <w:bookmarkEnd w:id="12"/>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lead to renewal (leads and their assignment, quotations, requests for quotation, placement slips, cover notes, policy issue, endorsements, cancellations, claims with document checklists and motor repairs, renewals), distribution (channels, dealer programmes, fleets, marine open covers, facultative placements, campaigns), the accounting of a broker (billing, instalments, official receipts and sales invoices, post-dated cheques, collections, remittance to insurers, direct bill, commission and insurer overrides, payables, fixed assets, petty cash, journals, bank reconciliation and bank payment files, month-end and year-end close), the BIR forms and files (2307, 0619-E, 1601-EQ, 1604-E, 2551Q, DAT files, EOPT invoices, EIS connector, CAS books), AML/CFT, the IC and NPC registers, and the integration framework (SMS, CTPL authentication, insurer APIs, bank files).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sets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 Master &gt; System Configuration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logo, sign-in picture, branded documents and e-mails, e-signatures, brand packs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System Settings &gt; Theme and Branding; Signatories; My Profile &gt; My e-signature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reporting lines, authority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(User, Role, User Access Matrix, Role Permissions, Authority Matrix, Delegations, Segregation of Duties, Access Reviews); Master &gt; Employee Management &gt; Hierarchy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 (Country, Province, City / Municipality; regions and barangays from the PSGC)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lines of business, products, covers, vehicles,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factors, acceptance rules (refer, decline, loading with authority), document templates with merge fields, market and risk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premium taxes and LGU rates, tax codes with ATC, 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bank file layouts,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business rules, limits, maker-checker switches, security, go-live 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Document Numbering,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connectors, message templates, insurer mappings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Schedules, Integrations, Message Templates, Insurer Integration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settings, risk factors, monitoring rules, screening lists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Settings, Screening Lists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licences, fit and proper, insurer authority, complaints, breach register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Compliance &gt; Data Privacy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personal identifiers by role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 permission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settings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Change request process). They do not enter the go-live scope unless the steering committee approves them as a change request.</w:t>
      </w:r>
    </w:p>
    <w:p>
      <w:pPr>
        <w:pStyle w:val="Heading2"/>
        <w:rPr/>
      </w:pPr>
      <w:bookmarkStart w:id="13" w:name="__RefHeading___Toc45817_1894618434"/>
      <w:bookmarkEnd w:id="13"/>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The insurer, product and commission data and the chart of accounts are on the critical path for every size. Requests for data and the blank kits go out in week 1.</w:t>
      </w:r>
    </w:p>
    <w:p>
      <w:pPr>
        <w:pStyle w:val="Normal"/>
        <w:numPr>
          <w:ilvl w:val="0"/>
          <w:numId w:val="1"/>
        </w:numPr>
        <w:spacing w:before="0" w:after="60"/>
        <w:rPr/>
      </w:pPr>
      <w:r>
        <w:rPr>
          <w:rFonts w:eastAsia="Segoe UI" w:cs="Segoe UI" w:ascii="Segoe UI" w:hAnsi="Segoe UI"/>
          <w:b/>
          <w:color w:val="101820"/>
          <w:sz w:val="21"/>
        </w:rPr>
        <w:t>Two kits, loaded again and again.</w:t>
      </w:r>
      <w:r>
        <w:rPr>
          <w:rFonts w:eastAsia="Segoe UI" w:cs="Segoe UI" w:ascii="Segoe UI" w:hAnsi="Segoe UI"/>
          <w:color w:val="101820"/>
          <w:sz w:val="21"/>
        </w:rPr>
        <w:t xml:space="preserve"> Configuration moves through the configuration kit and migration through the migration kit (Master &gt; Go-Live and Data &gt; Go-Live Data Load): validate as a trial run, correct with the errors workbook, load, and load again without duplicates. The same kit promotes configuration from Dev or SIT to UAT and Production.</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UAT and trains the team.</w:t>
      </w:r>
    </w:p>
    <w:p>
      <w:pPr>
        <w:pStyle w:val="Normal"/>
        <w:numPr>
          <w:ilvl w:val="0"/>
          <w:numId w:val="1"/>
        </w:numPr>
        <w:spacing w:before="0" w:after="60"/>
        <w:rPr/>
      </w:pPr>
      <w:r>
        <w:rPr>
          <w:rFonts w:eastAsia="Segoe UI" w:cs="Segoe UI" w:ascii="Segoe UI" w:hAnsi="Segoe UI"/>
          <w:b/>
          <w:color w:val="101820"/>
          <w:sz w:val="21"/>
        </w:rPr>
        <w:t>Registrations start on day one.</w:t>
      </w:r>
      <w:r>
        <w:rPr>
          <w:rFonts w:eastAsia="Segoe UI" w:cs="Segoe UI" w:ascii="Segoe UI" w:hAnsi="Segoe UI"/>
          <w:color w:val="101820"/>
          <w:sz w:val="21"/>
        </w:rPr>
        <w:t xml:space="preserve"> BIR, AMLC, NPC and IC items have lead times outside the project's control; they are confirmed or started at kick-off.</w:t>
      </w:r>
    </w:p>
    <w:p>
      <w:pPr>
        <w:pStyle w:val="Normal"/>
        <w:numPr>
          <w:ilvl w:val="0"/>
          <w:numId w:val="1"/>
        </w:numPr>
        <w:spacing w:before="0" w:after="60"/>
        <w:rPr/>
      </w:pPr>
      <w:r>
        <w:rPr>
          <w:rFonts w:eastAsia="Segoe UI" w:cs="Segoe UI" w:ascii="Segoe UI" w:hAnsi="Segoe UI"/>
          <w:b/>
          <w:color w:val="101820"/>
          <w:sz w:val="21"/>
        </w:rPr>
        <w:t>Partners certify, the product waits in test mode.</w:t>
      </w:r>
      <w:r>
        <w:rPr>
          <w:rFonts w:eastAsia="Segoe UI" w:cs="Segoe UI" w:ascii="Segoe UI" w:hAnsi="Segoe UI"/>
          <w:color w:val="101820"/>
          <w:sz w:val="21"/>
        </w:rPr>
        <w:t xml:space="preserve"> Every connector works in test mode until the partner certifies it; a partner that is late does not stop the go-live when a fallback exists.</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Sign-off is written.</w:t>
      </w:r>
    </w:p>
    <w:p>
      <w:pPr>
        <w:pStyle w:val="Heading2"/>
        <w:rPr/>
      </w:pPr>
      <w:bookmarkStart w:id="14" w:name="__RefHeading___Toc45819_1894618434"/>
      <w:bookmarkEnd w:id="14"/>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size follows the number of named users, as in the Service Catalogue and Rate Annex. The other figures are a typical profile (assumption); the steering committee confirms the size at mobilisation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167"/>
        <w:gridCol w:w="2161"/>
        <w:gridCol w:w="1642"/>
        <w:gridCol w:w="100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(assumption)</w:t>
            </w:r>
          </w:p>
        </w:tc>
        <w:tc>
          <w:tcPr>
            <w:tcW w:w="21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Environments</w:t>
            </w:r>
          </w:p>
        </w:tc>
        <w:tc>
          <w:tcPr>
            <w:tcW w:w="1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Go-live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office, up to 10 insurers, up to 5,000 in-force policies</w:t>
            </w:r>
          </w:p>
        </w:tc>
        <w:tc>
          <w:tcPr>
            <w:tcW w:w="2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Production; Pre-Prod temporary</w:t>
            </w:r>
          </w:p>
        </w:tc>
        <w:tc>
          <w:tcPr>
            <w:tcW w:w="1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week 7</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3 offices, up to 25 insurers, up to 25,000 in-force policies, co-insurance</w:t>
            </w:r>
          </w:p>
        </w:tc>
        <w:tc>
          <w:tcPr>
            <w:tcW w:w="2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Production; Pre-Prod temporary</w:t>
            </w:r>
          </w:p>
        </w:tc>
        <w:tc>
          <w:tcPr>
            <w:tcW w:w="1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week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Several branches, many insurers, more than 25,000 in-force policies, several bank accounts, referrer networks</w:t>
            </w:r>
          </w:p>
        </w:tc>
        <w:tc>
          <w:tcPr>
            <w:tcW w:w="2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SIT, UAT, Production with high availability; Pre-Prod temporary</w:t>
            </w:r>
          </w:p>
        </w:tc>
        <w:tc>
          <w:tcPr>
            <w:tcW w:w="1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(16-week variant possible)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week 15</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network, bank-affiliated or group broker, dealer programmes and fleets</w:t>
            </w:r>
          </w:p>
        </w:tc>
        <w:tc>
          <w:tcPr>
            <w:tcW w:w="2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large, with a cross-region copy of the backups</w:t>
            </w:r>
          </w:p>
        </w:tc>
        <w:tc>
          <w:tcPr>
            <w:tcW w:w="1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weeks, planned at mobilisation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week 21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and enterprise plans allow for.</w:t>
      </w:r>
    </w:p>
    <w:p>
      <w:pPr>
        <w:pStyle w:val="Heading2"/>
        <w:rPr/>
      </w:pPr>
      <w:bookmarkStart w:id="15" w:name="__RefHeading___Toc45821_1894618434"/>
      <w:bookmarkEnd w:id="15"/>
      <w:r>
        <w:rPr>
          <w:rFonts w:eastAsia="Segoe UI" w:cs="Segoe UI"/>
          <w:b/>
          <w:color w:val="0F4761"/>
          <w:sz w:val="26"/>
        </w:rPr>
        <w:t>4.4  Environment model</w:t>
      </w:r>
    </w:p>
    <w:p>
      <w:pPr>
        <w:pStyle w:val="Normal"/>
        <w:spacing w:lineRule="auto" w:line="276" w:before="0" w:after="120"/>
        <w:rPr/>
      </w:pPr>
      <w:r>
        <w:rPr>
          <w:rFonts w:eastAsia="Segoe UI" w:cs="Segoe UI" w:ascii="Segoe UI" w:hAnsi="Segoe UI"/>
          <w:color w:val="101820"/>
          <w:sz w:val="21"/>
        </w:rPr>
        <w:t>The environment set follows the broker size (decision of the product owner, 04 October 2026).</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665"/>
        <w:gridCol w:w="1111"/>
        <w:gridCol w:w="1444"/>
        <w:gridCol w:w="2660"/>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6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configuration is built and SIT runs</w:t>
            </w:r>
          </w:p>
        </w:tc>
        <w:tc>
          <w:tcPr>
            <w:tcW w:w="11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mock loads run</w:t>
            </w:r>
          </w:p>
        </w:tc>
        <w:tc>
          <w:tcPr>
            <w:tcW w:w="1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UAT and training run</w:t>
            </w:r>
          </w:p>
        </w:tc>
        <w:tc>
          <w:tcPr>
            <w:tcW w:w="2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and medium</w:t>
            </w:r>
          </w:p>
        </w:tc>
        <w:tc>
          <w:tcPr>
            <w:tcW w:w="26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configuration build, integration and system integration test with synthetic data only</w:t>
            </w:r>
          </w:p>
        </w:tc>
        <w:tc>
          <w:tcPr>
            <w:tcW w:w="11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2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Temporary: created from a production backup for the cutover rehearsal, removed after 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and enterprise</w:t>
            </w:r>
          </w:p>
        </w:tc>
        <w:tc>
          <w:tcPr>
            <w:tcW w:w="26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for development and integration; SIT for configuration, system integration test and the first mock loads</w:t>
            </w:r>
          </w:p>
        </w:tc>
        <w:tc>
          <w:tcPr>
            <w:tcW w:w="11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then UAT</w:t>
            </w:r>
          </w:p>
        </w:tc>
        <w:tc>
          <w:tcPr>
            <w:tcW w:w="1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(separate from SIT)</w:t>
            </w:r>
          </w:p>
        </w:tc>
        <w:tc>
          <w:tcPr>
            <w:tcW w:w="2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Temporary, as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One build is promoted unchanged through the environments by the release pipeline (</w:t>
      </w:r>
      <w:r>
        <w:rPr>
          <w:rFonts w:eastAsia="Consolas" w:cs="Consolas" w:ascii="Consolas" w:hAnsi="Consolas"/>
          <w:color w:val="101820"/>
          <w:sz w:val="19"/>
        </w:rPr>
        <w:t>ci.yml</w:t>
      </w:r>
      <w:r>
        <w:rPr>
          <w:rFonts w:eastAsia="Segoe UI" w:cs="Segoe UI" w:ascii="Segoe UI" w:hAnsi="Segoe UI"/>
          <w:color w:val="101820"/>
          <w:sz w:val="21"/>
        </w:rPr>
        <w:t xml:space="preserve">, </w:t>
      </w:r>
      <w:r>
        <w:rPr>
          <w:rFonts w:eastAsia="Consolas" w:cs="Consolas" w:ascii="Consolas" w:hAnsi="Consolas"/>
          <w:color w:val="101820"/>
          <w:sz w:val="19"/>
        </w:rPr>
        <w:t>deploy.yml</w:t>
      </w:r>
      <w:r>
        <w:rPr>
          <w:rFonts w:eastAsia="Segoe UI" w:cs="Segoe UI" w:ascii="Segoe UI" w:hAnsi="Segoe UI"/>
          <w:color w:val="101820"/>
          <w:sz w:val="21"/>
        </w:rPr>
        <w:t xml:space="preserve">, </w:t>
      </w:r>
      <w:r>
        <w:rPr>
          <w:rFonts w:eastAsia="Consolas" w:cs="Consolas" w:ascii="Consolas" w:hAnsi="Consolas"/>
          <w:color w:val="101820"/>
          <w:sz w:val="19"/>
        </w:rPr>
        <w:t>rollback.yml</w:t>
      </w:r>
      <w:r>
        <w:rPr>
          <w:rFonts w:eastAsia="Segoe UI" w:cs="Segoe UI" w:ascii="Segoe UI" w:hAnsi="Segoe UI"/>
          <w:color w:val="101820"/>
          <w:sz w:val="21"/>
        </w:rPr>
        <w:t>): Dev automatically from the integration branch, SIT by hand, UAT on a release candidate tag, Pre-Prod by hand, Production on a release tag with two approvers.</w:t>
      </w:r>
      <w:r>
        <w:br w:type="page"/>
      </w:r>
    </w:p>
    <w:p>
      <w:pPr>
        <w:pStyle w:val="Heading1"/>
        <w:rPr/>
      </w:pPr>
      <w:bookmarkStart w:id="16" w:name="__RefHeading___Toc45823_1894618434"/>
      <w:bookmarkEnd w:id="16"/>
      <w:r>
        <w:rPr>
          <w:rFonts w:eastAsia="Segoe UI" w:cs="Segoe UI" w:ascii="Segoe UI" w:hAnsi="Segoe UI"/>
          <w:b/>
          <w:color w:val="0F4761"/>
          <w:sz w:val="32"/>
        </w:rPr>
        <w:t>5.  Phases</w:t>
      </w:r>
    </w:p>
    <w:p>
      <w:pPr>
        <w:pStyle w:val="Heading2"/>
        <w:rPr/>
      </w:pPr>
      <w:bookmarkStart w:id="17" w:name="__RefHeading___Toc45825_1894618434"/>
      <w:bookmarkEnd w:id="17"/>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76"/>
        <w:gridCol w:w="523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2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 and kits issued, hosting and environment set decided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(large, enterprise), UAT and Production; GitHub Environments with reviewers and secrets; application secrets and encryption keys with their custody; first deployment through the pipeline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compliance, integration and branding workshops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inputs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fills the configuration kit, provides the partner contracts and prepares the migration extracts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registrations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ATP or CAS and EIS enrolment; AMLC registration; IC licence data; NPC registration; screening lists; tax adviser confirmation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validated and loaded; on-screen configuration (Product Configurator, tax codes, posting rules, approvals, roles, schedules)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settings, risk factors and rules, screening lists; licence register, fit and proper, insurer authority; complaints and breach settings; masking by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brand pack</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letterhead, sign-in page, branded documents and e-mails, e-signatures mapped to documents, brand pack exported for promotion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with partners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and bank payment files; SMS or Viber; CTPL authentication and LTO; insurer APIs; payment gateway; BIR EIS; AMLC report file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to the migration kit, mock loads with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compliance officer and DPO training,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and UAT</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in Dev or SIT; UAT with the broker's data;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to Production; Pre-Prod from a production backup; rehearsal; go/no-go; cutover; go-live lock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handover to production support</w:t>
            </w:r>
          </w:p>
        </w:tc>
      </w:tr>
    </w:tbl>
    <w:p>
      <w:pPr>
        <w:pStyle w:val="Normal"/>
        <w:spacing w:before="0" w:after="80"/>
        <w:rPr/>
      </w:pPr>
      <w:r>
        <w:rPr/>
      </w:r>
    </w:p>
    <w:p>
      <w:pPr>
        <w:pStyle w:val="Normal"/>
        <w:jc w:val="center"/>
        <w:rPr/>
      </w:pPr>
      <w:r>
        <w:rPr/>
        <w:drawing>
          <wp:inline distT="0" distB="0" distL="0" distR="0">
            <wp:extent cx="5760085" cy="538416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5384165"/>
                    </a:xfrm>
                    <a:prstGeom prst="rect">
                      <a:avLst/>
                    </a:prstGeom>
                  </pic:spPr>
                </pic:pic>
              </a:graphicData>
            </a:graphic>
          </wp:inline>
        </w:drawing>
      </w:r>
    </w:p>
    <w:p>
      <w:pPr>
        <w:pStyle w:val="Normal"/>
        <w:jc w:val="center"/>
        <w:rPr/>
      </w:pPr>
      <w:r>
        <w:rPr>
          <w:rFonts w:eastAsia="Segoe UI" w:cs="Segoe UI" w:ascii="Segoe UI" w:hAnsi="Segoe UI"/>
          <w:i/>
          <w:color w:val="555F6D"/>
          <w:sz w:val="18"/>
        </w:rPr>
        <w:t>Dependencies between the phases. Red arrows: the usual critical path</w:t>
      </w:r>
    </w:p>
    <w:p>
      <w:pPr>
        <w:pStyle w:val="Heading2"/>
        <w:rPr/>
      </w:pPr>
      <w:bookmarkStart w:id="18" w:name="__RefHeading___Toc45827_1894618434"/>
      <w:bookmarkEnd w:id="18"/>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the compliance officer, the DPO and the iorta TechNXT team.</w:t>
      </w:r>
    </w:p>
    <w:p>
      <w:pPr>
        <w:pStyle w:val="Normal"/>
        <w:numPr>
          <w:ilvl w:val="0"/>
          <w:numId w:val="1"/>
        </w:numPr>
        <w:spacing w:before="0" w:after="60"/>
        <w:rPr/>
      </w:pPr>
      <w:r>
        <w:rPr>
          <w:rFonts w:eastAsia="Segoe UI" w:cs="Segoe UI" w:ascii="Segoe UI" w:hAnsi="Segoe UI"/>
          <w:color w:val="101820"/>
          <w:sz w:val="21"/>
        </w:rPr>
        <w:t>Confirm the size, the plan, the go-live date and the hypercare window; baseline the plan workbook with the kick-off date.</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pre-filled from the template.</w:t>
      </w:r>
    </w:p>
    <w:p>
      <w:pPr>
        <w:pStyle w:val="Normal"/>
        <w:numPr>
          <w:ilvl w:val="0"/>
          <w:numId w:val="1"/>
        </w:numPr>
        <w:spacing w:before="0" w:after="60"/>
        <w:rPr/>
      </w:pPr>
      <w:r>
        <w:rPr>
          <w:rFonts w:eastAsia="Segoe UI" w:cs="Segoe UI" w:ascii="Segoe UI" w:hAnsi="Segoe UI"/>
          <w:color w:val="101820"/>
          <w:sz w:val="21"/>
        </w:rPr>
        <w:t>Issue the data request list and the blank kits (configuration workbook, migration workbook, upload templates).</w:t>
      </w:r>
    </w:p>
    <w:p>
      <w:pPr>
        <w:pStyle w:val="Normal"/>
        <w:numPr>
          <w:ilvl w:val="0"/>
          <w:numId w:val="1"/>
        </w:numPr>
        <w:spacing w:before="0" w:after="60"/>
        <w:rPr/>
      </w:pPr>
      <w:r>
        <w:rPr>
          <w:rFonts w:eastAsia="Segoe UI" w:cs="Segoe UI" w:ascii="Segoe UI" w:hAnsi="Segoe UI"/>
          <w:color w:val="101820"/>
          <w:sz w:val="21"/>
        </w:rPr>
        <w:t>Ask which registrations the broker already holds (ATP or CAS, AMLC registration, NPC registration, IC licences) and start the others the same day.</w:t>
      </w:r>
    </w:p>
    <w:p>
      <w:pPr>
        <w:pStyle w:val="Normal"/>
        <w:numPr>
          <w:ilvl w:val="0"/>
          <w:numId w:val="1"/>
        </w:numPr>
        <w:spacing w:before="0" w:after="60"/>
        <w:rPr/>
      </w:pPr>
      <w:r>
        <w:rPr>
          <w:rFonts w:eastAsia="Segoe UI" w:cs="Segoe UI" w:ascii="Segoe UI" w:hAnsi="Segoe UI"/>
          <w:color w:val="101820"/>
          <w:sz w:val="21"/>
        </w:rPr>
        <w:t>Decide the hosting option, the environment set and the data location, including any transfer of personal data outside the Philippines.</w:t>
      </w:r>
    </w:p>
    <w:p>
      <w:pPr>
        <w:pStyle w:val="Heading2"/>
        <w:rPr/>
      </w:pPr>
      <w:bookmarkStart w:id="19" w:name="__RefHeading___Toc45829_1894618434"/>
      <w:bookmarkEnd w:id="19"/>
      <w:r>
        <w:rPr>
          <w:rFonts w:eastAsia="Segoe UI" w:cs="Segoe UI"/>
          <w:b/>
          <w:color w:val="0F4761"/>
          <w:sz w:val="26"/>
        </w:rPr>
        <w:t>5.3  Environments and pipeline</w:t>
      </w:r>
    </w:p>
    <w:p>
      <w:pPr>
        <w:pStyle w:val="Normal"/>
        <w:numPr>
          <w:ilvl w:val="0"/>
          <w:numId w:val="1"/>
        </w:numPr>
        <w:spacing w:before="0" w:after="60"/>
        <w:rPr/>
      </w:pPr>
      <w:r>
        <w:rPr>
          <w:rFonts w:eastAsia="Segoe UI" w:cs="Segoe UI" w:ascii="Segoe UI" w:hAnsi="Segoe UI"/>
          <w:color w:val="101820"/>
          <w:sz w:val="21"/>
        </w:rPr>
        <w:t xml:space="preserve">iorta TechNXT provisions the environment set of the size following </w:t>
      </w:r>
      <w:r>
        <w:rPr>
          <w:rFonts w:eastAsia="Consolas" w:cs="Consolas" w:ascii="Consolas" w:hAnsi="Consolas"/>
          <w:color w:val="101820"/>
          <w:sz w:val="19"/>
        </w:rPr>
        <w:t>deploy/README.md</w:t>
      </w:r>
      <w:r>
        <w:rPr>
          <w:rFonts w:eastAsia="Segoe UI" w:cs="Segoe UI" w:ascii="Segoe UI" w:hAnsi="Segoe UI"/>
          <w:color w:val="101820"/>
          <w:sz w:val="21"/>
        </w:rPr>
        <w:t xml:space="preserve"> and the Environment Strategy and Production Rollout: database time zone Asia/Manila, daily snapshots kept at least 30 days, health checks wired to monitoring, a restore test before go-live.</w:t>
      </w:r>
    </w:p>
    <w:p>
      <w:pPr>
        <w:pStyle w:val="Normal"/>
        <w:numPr>
          <w:ilvl w:val="0"/>
          <w:numId w:val="1"/>
        </w:numPr>
        <w:spacing w:before="0" w:after="60"/>
        <w:rPr/>
      </w:pPr>
      <w:r>
        <w:rPr>
          <w:rFonts w:eastAsia="Segoe UI" w:cs="Segoe UI" w:ascii="Segoe UI" w:hAnsi="Segoe UI"/>
          <w:b/>
          <w:color w:val="101820"/>
          <w:sz w:val="21"/>
        </w:rPr>
        <w:t>GitHub Environments</w:t>
      </w:r>
      <w:r>
        <w:rPr>
          <w:rFonts w:eastAsia="Segoe UI" w:cs="Segoe UI" w:ascii="Segoe UI" w:hAnsi="Segoe UI"/>
          <w:color w:val="101820"/>
          <w:sz w:val="21"/>
        </w:rPr>
        <w:t xml:space="preserve"> </w:t>
      </w:r>
      <w:r>
        <w:rPr>
          <w:rFonts w:eastAsia="Consolas" w:cs="Consolas" w:ascii="Consolas" w:hAnsi="Consolas"/>
          <w:color w:val="101820"/>
          <w:sz w:val="19"/>
        </w:rPr>
        <w:t>dev</w:t>
      </w:r>
      <w:r>
        <w:rPr>
          <w:rFonts w:eastAsia="Segoe UI" w:cs="Segoe UI" w:ascii="Segoe UI" w:hAnsi="Segoe UI"/>
          <w:color w:val="101820"/>
          <w:sz w:val="21"/>
        </w:rPr>
        <w:t xml:space="preserve">, </w:t>
      </w:r>
      <w:r>
        <w:rPr>
          <w:rFonts w:eastAsia="Consolas" w:cs="Consolas" w:ascii="Consolas" w:hAnsi="Consolas"/>
          <w:color w:val="101820"/>
          <w:sz w:val="19"/>
        </w:rPr>
        <w:t>sit</w:t>
      </w:r>
      <w:r>
        <w:rPr>
          <w:rFonts w:eastAsia="Segoe UI" w:cs="Segoe UI" w:ascii="Segoe UI" w:hAnsi="Segoe UI"/>
          <w:color w:val="101820"/>
          <w:sz w:val="21"/>
        </w:rPr>
        <w:t xml:space="preserve">, </w:t>
      </w:r>
      <w:r>
        <w:rPr>
          <w:rFonts w:eastAsia="Consolas" w:cs="Consolas" w:ascii="Consolas" w:hAnsi="Consolas"/>
          <w:color w:val="101820"/>
          <w:sz w:val="19"/>
        </w:rPr>
        <w:t>uat</w:t>
      </w:r>
      <w:r>
        <w:rPr>
          <w:rFonts w:eastAsia="Segoe UI" w:cs="Segoe UI" w:ascii="Segoe UI" w:hAnsi="Segoe UI"/>
          <w:color w:val="101820"/>
          <w:sz w:val="21"/>
        </w:rPr>
        <w:t xml:space="preserve">, </w:t>
      </w:r>
      <w:r>
        <w:rPr>
          <w:rFonts w:eastAsia="Consolas" w:cs="Consolas" w:ascii="Consolas" w:hAnsi="Consolas"/>
          <w:color w:val="101820"/>
          <w:sz w:val="19"/>
        </w:rPr>
        <w:t>preprod</w:t>
      </w:r>
      <w:r>
        <w:rPr>
          <w:rFonts w:eastAsia="Segoe UI" w:cs="Segoe UI" w:ascii="Segoe UI" w:hAnsi="Segoe UI"/>
          <w:color w:val="101820"/>
          <w:sz w:val="21"/>
        </w:rPr>
        <w:t xml:space="preserve"> and </w:t>
      </w:r>
      <w:r>
        <w:rPr>
          <w:rFonts w:eastAsia="Consolas" w:cs="Consolas" w:ascii="Consolas" w:hAnsi="Consolas"/>
          <w:color w:val="101820"/>
          <w:sz w:val="19"/>
        </w:rPr>
        <w:t>production</w:t>
      </w:r>
      <w:r>
        <w:rPr>
          <w:rFonts w:eastAsia="Segoe UI" w:cs="Segoe UI" w:ascii="Segoe UI" w:hAnsi="Segoe UI"/>
          <w:color w:val="101820"/>
          <w:sz w:val="21"/>
        </w:rPr>
        <w:t xml:space="preserve"> are set once by the repository owner: required reviewers on </w:t>
      </w:r>
      <w:r>
        <w:rPr>
          <w:rFonts w:eastAsia="Consolas" w:cs="Consolas" w:ascii="Consolas" w:hAnsi="Consolas"/>
          <w:color w:val="101820"/>
          <w:sz w:val="19"/>
        </w:rPr>
        <w:t>uat</w:t>
      </w:r>
      <w:r>
        <w:rPr>
          <w:rFonts w:eastAsia="Segoe UI" w:cs="Segoe UI" w:ascii="Segoe UI" w:hAnsi="Segoe UI"/>
          <w:color w:val="101820"/>
          <w:sz w:val="21"/>
        </w:rPr>
        <w:t xml:space="preserve">, </w:t>
      </w:r>
      <w:r>
        <w:rPr>
          <w:rFonts w:eastAsia="Consolas" w:cs="Consolas" w:ascii="Consolas" w:hAnsi="Consolas"/>
          <w:color w:val="101820"/>
          <w:sz w:val="19"/>
        </w:rPr>
        <w:t>preprod</w:t>
      </w:r>
      <w:r>
        <w:rPr>
          <w:rFonts w:eastAsia="Segoe UI" w:cs="Segoe UI" w:ascii="Segoe UI" w:hAnsi="Segoe UI"/>
          <w:color w:val="101820"/>
          <w:sz w:val="21"/>
        </w:rPr>
        <w:t xml:space="preserve"> and </w:t>
      </w:r>
      <w:r>
        <w:rPr>
          <w:rFonts w:eastAsia="Consolas" w:cs="Consolas" w:ascii="Consolas" w:hAnsi="Consolas"/>
          <w:color w:val="101820"/>
          <w:sz w:val="19"/>
        </w:rPr>
        <w:t>production</w:t>
      </w:r>
      <w:r>
        <w:rPr>
          <w:rFonts w:eastAsia="Segoe UI" w:cs="Segoe UI" w:ascii="Segoe UI" w:hAnsi="Segoe UI"/>
          <w:color w:val="101820"/>
          <w:sz w:val="21"/>
        </w:rPr>
        <w:t xml:space="preserve"> (production: two, prevent self-review), tag rules, variables (</w:t>
      </w:r>
      <w:r>
        <w:rPr>
          <w:rFonts w:eastAsia="Consolas" w:cs="Consolas" w:ascii="Consolas" w:hAnsi="Consolas"/>
          <w:color w:val="101820"/>
          <w:sz w:val="19"/>
        </w:rPr>
        <w:t>DEPLOY_ENABLED</w:t>
      </w:r>
      <w:r>
        <w:rPr>
          <w:rFonts w:eastAsia="Segoe UI" w:cs="Segoe UI" w:ascii="Segoe UI" w:hAnsi="Segoe UI"/>
          <w:color w:val="101820"/>
          <w:sz w:val="21"/>
        </w:rPr>
        <w:t>, targets, addresses, environment name) and environment secrets (deploy keys, known hosts, bucket and distribution ids). Repository-level secrets of the same names are removed.</w:t>
      </w:r>
    </w:p>
    <w:p>
      <w:pPr>
        <w:pStyle w:val="Normal"/>
        <w:numPr>
          <w:ilvl w:val="0"/>
          <w:numId w:val="1"/>
        </w:numPr>
        <w:spacing w:before="0" w:after="60"/>
        <w:rPr/>
      </w:pPr>
      <w:r>
        <w:rPr>
          <w:rFonts w:eastAsia="Segoe UI" w:cs="Segoe UI" w:ascii="Segoe UI" w:hAnsi="Segoe UI"/>
          <w:b/>
          <w:color w:val="101820"/>
          <w:sz w:val="21"/>
        </w:rPr>
        <w:t>Application secrets</w:t>
      </w:r>
      <w:r>
        <w:rPr>
          <w:rFonts w:eastAsia="Segoe UI" w:cs="Segoe UI" w:ascii="Segoe UI" w:hAnsi="Segoe UI"/>
          <w:color w:val="101820"/>
          <w:sz w:val="21"/>
        </w:rPr>
        <w:t xml:space="preserve"> live in the secret store of each environment, never in GitHub or the repository: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(each at least 32 characters and different from the others),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and the partner credentials. The API refuses to start in production without them.</w:t>
      </w:r>
    </w:p>
    <w:p>
      <w:pPr>
        <w:pStyle w:val="Normal"/>
        <w:numPr>
          <w:ilvl w:val="0"/>
          <w:numId w:val="1"/>
        </w:numPr>
        <w:spacing w:before="0" w:after="60"/>
        <w:rPr/>
      </w:pPr>
      <w:r>
        <w:rPr>
          <w:rFonts w:eastAsia="Segoe UI" w:cs="Segoe UI" w:ascii="Segoe UI" w:hAnsi="Segoe UI"/>
          <w:b/>
          <w:color w:val="101820"/>
          <w:sz w:val="21"/>
        </w:rPr>
        <w:t>Key custody.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encrypts TIN, government ID and bank account numbers; without it a backup cannot be read. The broker IT head and the iorta TechNXT DevOps lead sign a custody record: who holds the escrow copy under dual control, where it is kept with the backups, and the rotation procedure of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Dev may carry the delivered sample data; UAT holds the broker's data from the first mock load and is then protected as Production is.</w:t>
      </w:r>
    </w:p>
    <w:p>
      <w:pPr>
        <w:pStyle w:val="Heading2"/>
        <w:rPr/>
      </w:pPr>
      <w:bookmarkStart w:id="20" w:name="__RefHeading___Toc45831_1894618434"/>
      <w:bookmarkEnd w:id="20"/>
      <w:r>
        <w:rPr>
          <w:rFonts w:eastAsia="Segoe UI" w:cs="Segoe UI"/>
          <w:b/>
          <w:color w:val="0F4761"/>
          <w:sz w:val="26"/>
        </w:rPr>
        <w:t>5.4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Companies, branches, departments, reporting lines, users per role, two-step verification roles, security policy,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per role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distribution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channels, dealer programmes, placement journey per line, quotation validity, maker-checker, product templates, acceptance rules and authority, document templates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cover notes, cancellation method (pro-rata, short-period), renewal timetable, fleets and open covers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document checklist, repair shops and letters of authority, settlement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instalments, post-dated cheques, premium payment warranty, remittance terms and approval levels, bank payment files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payout conditions, insurer overrides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close and 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payables, fixed assets, close checklist, tax codes and ATC, BIR forms, EOPT invoices, CAS books, EIS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DPO</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risk factors, thresholds, monitoring rules, screening lists and provider; licence register; insurer authority check (warn or block); complaints deadlines; breach procedure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Accounting, Operations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their file layouts, SMS or Viber provider, CTPL authentication provider and LTO feed, insurer APIs, payment gateway, EIS, AMLC reporting</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logo, sign-in picture, document and e-mail branding, signatories and their e-signatures, brand pack, contract reference covering the client's marks for a client brand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21" w:name="__RefHeading___Toc45833_1894618434"/>
      <w:bookmarkEnd w:id="21"/>
      <w:r>
        <w:rPr>
          <w:rFonts w:eastAsia="Segoe UI" w:cs="Segoe UI"/>
          <w:b/>
          <w:color w:val="0F4761"/>
          <w:sz w:val="26"/>
        </w:rPr>
        <w:t>5.5  Client inputs and the configuration kit</w:t>
      </w:r>
    </w:p>
    <w:p>
      <w:pPr>
        <w:pStyle w:val="Normal"/>
        <w:spacing w:lineRule="auto" w:line="276" w:before="0" w:after="120"/>
        <w:rPr/>
      </w:pPr>
      <w:r>
        <w:rPr>
          <w:rFonts w:eastAsia="Segoe UI" w:cs="Segoe UI" w:ascii="Segoe UI" w:hAnsi="Segoe UI"/>
          <w:color w:val="101820"/>
          <w:sz w:val="21"/>
        </w:rPr>
        <w:t>The broker fills the configuration kit with the consultants: company, settings, PSGC regions, provinces, cities and barangays, branches, departments, hierarchy, designations, users, currencies, exchange rates, chart of accounts, banks, bank accounts, signatories, transaction codes, write-off reasons, insurers, lines of business, products, policy types, covers, vehicles, suppliers, asset classes, short-period rates, cancellation reasons, claim document checklist, repair shops, commission rates, premium taxes, LGU rates, authority limits, numbering, payee bank accounts and COC series. User passwords are never in the workbook: each new user receives a temporary password once, after the load.</w:t>
      </w:r>
    </w:p>
    <w:p>
      <w:pPr>
        <w:pStyle w:val="Heading2"/>
        <w:rPr/>
      </w:pPr>
      <w:bookmarkStart w:id="22" w:name="__RefHeading___Toc45835_1894618434"/>
      <w:bookmarkEnd w:id="22"/>
      <w:r>
        <w:rPr>
          <w:rFonts w:eastAsia="Segoe UI" w:cs="Segoe UI"/>
          <w:b/>
          <w:color w:val="0F4761"/>
          <w:sz w:val="26"/>
        </w:rPr>
        <w:t>5.6  Regulatory registrations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5"/>
        <w:gridCol w:w="2603"/>
        <w:gridCol w:w="3206"/>
      </w:tblGrid>
      <w:tr>
        <w:trPr>
          <w:tblHeader w:val="true"/>
        </w:trPr>
        <w:tc>
          <w:tcPr>
            <w:tcW w:w="32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Registration</w:t>
            </w:r>
          </w:p>
        </w:tc>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unlocks</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CAS registration; registered serial range; last numbers used</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numbering, CAS books; release to Production</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(when covered)</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connector live; until then it stays off</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registration, portal access, institution code</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filing; go/no-go</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licence data and insurer certificates of authority</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payout check, insurer authority check</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of the DPO and data processing systems</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(UN, AMLC; PEP list licence)</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at onboarding, issue and payout; go/no-go</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confirmation of codes, ATC, rates and wording</w:t>
            </w:r>
          </w:p>
        </w:tc>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times are assumptions; the Dependency Map and Critical Path gives them by size with their float.</w:t>
      </w:r>
    </w:p>
    <w:p>
      <w:pPr>
        <w:pStyle w:val="Heading2"/>
        <w:rPr/>
      </w:pPr>
      <w:bookmarkStart w:id="23" w:name="__RefHeading___Toc45837_1894618434"/>
      <w:bookmarkEnd w:id="23"/>
      <w:r>
        <w:rPr>
          <w:rFonts w:eastAsia="Segoe UI" w:cs="Segoe UI"/>
          <w:b/>
          <w:color w:val="0F4761"/>
          <w:sz w:val="26"/>
        </w:rPr>
        <w:t>5.7  Configuration</w:t>
      </w:r>
    </w:p>
    <w:p>
      <w:pPr>
        <w:pStyle w:val="Normal"/>
        <w:spacing w:lineRule="auto" w:line="276" w:before="0" w:after="120"/>
        <w:rPr/>
      </w:pPr>
      <w:r>
        <w:rPr>
          <w:rFonts w:eastAsia="Segoe UI" w:cs="Segoe UI" w:ascii="Segoe UI" w:hAnsi="Segoe UI"/>
          <w:color w:val="101820"/>
          <w:sz w:val="21"/>
        </w:rPr>
        <w:t xml:space="preserve">Configuration follows </w:t>
      </w:r>
      <w:r>
        <w:rPr>
          <w:rFonts w:eastAsia="Consolas" w:cs="Consolas" w:ascii="Consolas" w:hAnsi="Consolas"/>
          <w:color w:val="101820"/>
          <w:sz w:val="19"/>
        </w:rPr>
        <w:t>GO_LIVE_DATA_SETUP.md</w:t>
      </w:r>
      <w:r>
        <w:rPr>
          <w:rFonts w:eastAsia="Segoe UI" w:cs="Segoe UI" w:ascii="Segoe UI" w:hAnsi="Segoe UI"/>
          <w:color w:val="101820"/>
          <w:sz w:val="21"/>
        </w:rPr>
        <w:t xml:space="preserve"> steps 1 to 12. The configuration kit is uploaded on Master &gt; Go-Live and Data &gt; Go-Live Data Load, validated as a trial run, corrected with the errors workbook and loaded, first in Dev (small, medium) or SIT (large, enterprise). The items without a sheet are set on their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permissions (including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segregation of duties, delegations, access reviews; approval of the loaded authority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factors, acceptance rules with refer, decline and loading and the authority to override, document templates with merge fields, market and risk mapping, the governing template of each product, the motor tariff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account determination and posting rules (approved by a second user)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formats, bank transaction types, insurer statement formats, close checklist, bank file layouts,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schedules, connectors, message templates, insurer mappings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(periods before the cutover date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reinsurance treaties, incentive programmes, referrer accounts, petty cash funds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Their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delivered data already holds the PSGC addresses, ZIP codes, banks, ID types, holidays, the IC insurer list, Philippine lines of business and products, the motor tariff, the tax codes (VAT 12%, DST PHP 0.50 on each PHP 4.00 or fraction, LGT and expanded withholding codes with ATC) and a Philippine broker chart of accounts. Configuration therefore reviews and adjusts more than it builds. When frozen, configuration moves to UAT and Production as a </w:t>
      </w:r>
      <w:r>
        <w:rPr>
          <w:rFonts w:eastAsia="Segoe UI" w:cs="Segoe UI" w:ascii="Segoe UI" w:hAnsi="Segoe UI"/>
          <w:b/>
          <w:color w:val="101820"/>
          <w:sz w:val="21"/>
        </w:rPr>
        <w:t>Current data</w:t>
      </w:r>
      <w:r>
        <w:rPr>
          <w:rFonts w:eastAsia="Segoe UI" w:cs="Segoe UI" w:ascii="Segoe UI" w:hAnsi="Segoe UI"/>
          <w:color w:val="101820"/>
          <w:sz w:val="21"/>
        </w:rPr>
        <w:t xml:space="preserve"> workbook of the source environment, and the comparison report shows the target mirrors the source.</w:t>
      </w:r>
    </w:p>
    <w:p>
      <w:pPr>
        <w:pStyle w:val="Heading2"/>
        <w:rPr/>
      </w:pPr>
      <w:bookmarkStart w:id="24" w:name="__RefHeading___Toc45839_1894618434"/>
      <w:bookmarkEnd w:id="24"/>
      <w:r>
        <w:rPr>
          <w:rFonts w:eastAsia="Segoe UI" w:cs="Segoe UI"/>
          <w:b/>
          <w:color w:val="0F4761"/>
          <w:sz w:val="26"/>
        </w:rPr>
        <w:t>5.8  Compliance set-up</w:t>
      </w:r>
    </w:p>
    <w:p>
      <w:pPr>
        <w:pStyle w:val="Normal"/>
        <w:numPr>
          <w:ilvl w:val="0"/>
          <w:numId w:val="1"/>
        </w:numPr>
        <w:spacing w:before="0" w:after="60"/>
        <w:rPr/>
      </w:pPr>
      <w:r>
        <w:rPr>
          <w:rFonts w:eastAsia="Segoe UI" w:cs="Segoe UI" w:ascii="Segoe UI" w:hAnsi="Segoe UI"/>
          <w:b/>
          <w:color w:val="101820"/>
          <w:sz w:val="21"/>
        </w:rPr>
        <w:t>AML/CFT:</w:t>
      </w:r>
      <w:r>
        <w:rPr>
          <w:rFonts w:eastAsia="Segoe UI" w:cs="Segoe UI" w:ascii="Segoe UI" w:hAnsi="Segoe UI"/>
          <w:color w:val="101820"/>
          <w:sz w:val="21"/>
        </w:rPr>
        <w:t xml:space="preserve"> AML Settings (covered transaction threshold, cash modes, CTR and STR working days, match threshold, risk score limits, KYC refresh months, beneficial owner threshold, retention, institution code), risk factors, monitoring rules, screening provider; the screening lists loaded and every client rescreened. The values delivered follow the AMLA and its rules as known at delivery: the compliance officer confirms them.</w:t>
      </w:r>
    </w:p>
    <w:p>
      <w:pPr>
        <w:pStyle w:val="Normal"/>
        <w:numPr>
          <w:ilvl w:val="0"/>
          <w:numId w:val="1"/>
        </w:numPr>
        <w:spacing w:before="0" w:after="60"/>
        <w:rPr/>
      </w:pPr>
      <w:r>
        <w:rPr>
          <w:rFonts w:eastAsia="Segoe UI" w:cs="Segoe UI" w:ascii="Segoe UI" w:hAnsi="Segoe UI"/>
          <w:b/>
          <w:color w:val="101820"/>
          <w:sz w:val="21"/>
        </w:rPr>
        <w:t>Insurance Commission:</w:t>
      </w:r>
      <w:r>
        <w:rPr>
          <w:rFonts w:eastAsia="Segoe UI" w:cs="Segoe UI" w:ascii="Segoe UI" w:hAnsi="Segoe UI"/>
          <w:color w:val="101820"/>
          <w:sz w:val="21"/>
        </w:rPr>
        <w:t xml:space="preserve"> licence register (firm, officers, licensed individuals, agents), fit and proper records, insurer certificates of authority;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(block delivered) and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(warn delivered, block once every certificate is entered); IC line mapping for the production report and account mapping for the annual statement.</w:t>
      </w:r>
    </w:p>
    <w:p>
      <w:pPr>
        <w:pStyle w:val="Normal"/>
        <w:numPr>
          <w:ilvl w:val="0"/>
          <w:numId w:val="1"/>
        </w:numPr>
        <w:spacing w:before="0" w:after="60"/>
        <w:rPr/>
      </w:pPr>
      <w:r>
        <w:rPr>
          <w:rFonts w:eastAsia="Segoe UI" w:cs="Segoe UI" w:ascii="Segoe UI" w:hAnsi="Segoe UI"/>
          <w:b/>
          <w:color w:val="101820"/>
          <w:sz w:val="21"/>
        </w:rPr>
        <w:t>Complaints:</w:t>
      </w:r>
      <w:r>
        <w:rPr>
          <w:rFonts w:eastAsia="Segoe UI" w:cs="Segoe UI" w:ascii="Segoe UI" w:hAnsi="Segoe UI"/>
          <w:color w:val="101820"/>
          <w:sz w:val="21"/>
        </w:rPr>
        <w:t xml:space="preserve"> channels, categories, deadlines (</w:t>
      </w:r>
      <w:r>
        <w:rPr>
          <w:rFonts w:eastAsia="Consolas" w:cs="Consolas" w:ascii="Consolas" w:hAnsi="Consolas"/>
          <w:color w:val="101820"/>
          <w:sz w:val="19"/>
        </w:rPr>
        <w:t>complaints.*</w:t>
      </w:r>
      <w:r>
        <w:rPr>
          <w:rFonts w:eastAsia="Segoe UI" w:cs="Segoe UI" w:ascii="Segoe UI" w:hAnsi="Segoe UI"/>
          <w:color w:val="101820"/>
          <w:sz w:val="21"/>
        </w:rPr>
        <w:t>), letter texts; confirmed against the IC rules in force.</w:t>
      </w:r>
    </w:p>
    <w:p>
      <w:pPr>
        <w:pStyle w:val="Normal"/>
        <w:numPr>
          <w:ilvl w:val="0"/>
          <w:numId w:val="1"/>
        </w:numPr>
        <w:spacing w:before="0" w:after="60"/>
        <w:rPr/>
      </w:pPr>
      <w:r>
        <w:rPr>
          <w:rFonts w:eastAsia="Segoe UI" w:cs="Segoe UI" w:ascii="Segoe UI" w:hAnsi="Segoe UI"/>
          <w:b/>
          <w:color w:val="101820"/>
          <w:sz w:val="21"/>
        </w:rPr>
        <w:t>Data privacy:</w:t>
      </w:r>
      <w:r>
        <w:rPr>
          <w:rFonts w:eastAsia="Segoe UI" w:cs="Segoe UI" w:ascii="Segoe UI" w:hAnsi="Segoe UI"/>
          <w:color w:val="101820"/>
          <w:sz w:val="21"/>
        </w:rPr>
        <w:t xml:space="preserve"> breach register owner and the 72-hour deadline settings, privacy notice version, masking of personal identifiers by role, consent rules for messages.</w:t>
      </w:r>
    </w:p>
    <w:p>
      <w:pPr>
        <w:pStyle w:val="Heading2"/>
        <w:rPr/>
      </w:pPr>
      <w:bookmarkStart w:id="25" w:name="__RefHeading___Toc45841_1894618434"/>
      <w:bookmarkEnd w:id="25"/>
      <w:r>
        <w:rPr>
          <w:rFonts w:eastAsia="Segoe UI" w:cs="Segoe UI"/>
          <w:b/>
          <w:color w:val="0F4761"/>
          <w:sz w:val="26"/>
        </w:rPr>
        <w:t>5.9  Branding and brand pack</w:t>
      </w:r>
    </w:p>
    <w:p>
      <w:pPr>
        <w:pStyle w:val="Normal"/>
        <w:spacing w:lineRule="auto" w:line="276" w:before="0" w:after="120"/>
        <w:rPr/>
      </w:pPr>
      <w:r>
        <w:rPr>
          <w:rFonts w:eastAsia="Segoe UI" w:cs="Segoe UI" w:ascii="Segoe UI" w:hAnsi="Segoe UI"/>
          <w:color w:val="101820"/>
          <w:sz w:val="21"/>
        </w:rPr>
        <w:t>The System Administrator brands UAT on Theme and Branding (theme, sign-in page, documents and reports, e-mail, name and images), captures the signatories' e-signatures with their consent and maps signatures to documents. The brand pack is exported and imported in Production with the configuration kit. A client brand pack (for example the Toyota Insurance Services pack) carries the marks of a client of iorta TechNXT and is applied only in that client's environments, under the client's contract with iorta TechNXT, which covers the use of its marks there.</w:t>
      </w:r>
    </w:p>
    <w:p>
      <w:pPr>
        <w:pStyle w:val="Heading2"/>
        <w:rPr/>
      </w:pPr>
      <w:bookmarkStart w:id="26" w:name="__RefHeading___Toc45843_1894618434"/>
      <w:bookmarkEnd w:id="26"/>
      <w:r>
        <w:rPr>
          <w:rFonts w:eastAsia="Segoe UI" w:cs="Segoe UI"/>
          <w:b/>
          <w:color w:val="0F4761"/>
          <w:sz w:val="26"/>
        </w:rPr>
        <w:t>5.10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The migration kit holds clients, in-force policies, open items, open claims and the GL opening balances as at the cutover date (</w:t>
      </w:r>
      <w:r>
        <w:rPr>
          <w:rFonts w:eastAsia="Consolas" w:cs="Consolas" w:ascii="Consolas" w:hAnsi="Consolas"/>
          <w:color w:val="101820"/>
          <w:sz w:val="19"/>
        </w:rPr>
        <w:t>golive.cutover_date</w:t>
      </w:r>
      <w:r>
        <w:rPr>
          <w:rFonts w:eastAsia="Segoe UI" w:cs="Segoe UI" w:ascii="Segoe UI" w:hAnsi="Segoe UI"/>
          <w:color w:val="101820"/>
          <w:sz w:val="21"/>
        </w:rPr>
        <w:t>). Migrated records keep their old numbers and post nothing; every validation shows a reconciliation of rows and totals.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maps it with the broker, runs the loads with the broker and checks the reconciliation.</w:t>
      </w:r>
    </w:p>
    <w:p>
      <w:pPr>
        <w:pStyle w:val="Normal"/>
        <w:numPr>
          <w:ilvl w:val="0"/>
          <w:numId w:val="1"/>
        </w:numPr>
        <w:spacing w:before="0" w:after="60"/>
        <w:rPr/>
      </w:pPr>
      <w:r>
        <w:rPr>
          <w:rFonts w:eastAsia="Segoe UI" w:cs="Segoe UI" w:ascii="Segoe UI" w:hAnsi="Segoe UI"/>
          <w:color w:val="101820"/>
          <w:sz w:val="21"/>
        </w:rPr>
        <w:t>Mock loads: small and medium, two in UAT; large, two in SIT and one in UAT; enterprise, two in SIT and two in UAT. Each runs on a fresh extract after a transaction reset. The cutover rehearsal in Pre-Prod is the last load before cutover for every size.</w:t>
      </w:r>
    </w:p>
    <w:p>
      <w:pPr>
        <w:pStyle w:val="Heading2"/>
        <w:rPr/>
      </w:pPr>
      <w:bookmarkStart w:id="27" w:name="__RefHeading___Toc45845_1894618434"/>
      <w:bookmarkEnd w:id="27"/>
      <w:r>
        <w:rPr>
          <w:rFonts w:eastAsia="Segoe UI" w:cs="Segoe UI"/>
          <w:b/>
          <w:color w:val="0F4761"/>
          <w:sz w:val="26"/>
        </w:rPr>
        <w:t>5.11  Integrations with partners</w:t>
      </w:r>
    </w:p>
    <w:p>
      <w:pPr>
        <w:pStyle w:val="Normal"/>
        <w:spacing w:lineRule="auto" w:line="276" w:before="0" w:after="120"/>
        <w:rPr/>
      </w:pPr>
      <w:r>
        <w:rPr>
          <w:rFonts w:eastAsia="Segoe UI" w:cs="Segoe UI" w:ascii="Segoe UI" w:hAnsi="Segoe UI"/>
          <w:color w:val="101820"/>
          <w:sz w:val="21"/>
        </w:rPr>
        <w:t>Every connector is delivered in test mode, so the process can be tested before the partner contract is signed. What is certified with each partner is done during onboarding with that partner.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2571"/>
        <w:gridCol w:w="2576"/>
        <w:gridCol w:w="2348"/>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5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c>
          <w:tcPr>
            <w:tcW w:w="2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If the partner is late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the broker's SMTP mailbox, queued in the E-mail Outbox; branded layout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sender, texts; password reset and approval link tested</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Holds the go-live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with delivered formats; remittance bank transactions import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statement per account imported with a balancing preview</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bank items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Starter layouts for BDO, BPI, Metrobank, Landbank, UnionBank and a generic CSV; status file import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layout validated against the bank's current specification and a test file accepted by the bank</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and manual transfers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or Viber</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SMS_SEMAPHORE, SMS_GLOBE_LABS, SMS_GENERIC, VIBER_BUSINESS; message templates with consent check</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account, sender name, credentials in the secret store, live test</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notices; SMS jobs stay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 and LTO_FEED connectors; COC series; authentication at issue</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Accreditation with the IC-accredited provider, COC series loaded, one COC authenticated live</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code from the provider portal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 connector with a mapping per insurer; claim status file</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preview, test issuance and claim status with each insurer</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Issued Policy; claim status file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and a sandbox provider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Merchant account, credentials, notification address; sandbox then live test payment</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transfer, cheque, cash</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connector (off by default), test mode with a built-in fake provider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submissions; live after the BIR enrolment</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off; earlier invoices queued later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25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report files (BV-AMLC-TXN 1.0)</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Portal access; test file checked against the portal requirements</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Holds the go-live</w:t>
            </w:r>
          </w:p>
        </w:tc>
      </w:tr>
    </w:tbl>
    <w:p>
      <w:pPr>
        <w:pStyle w:val="Normal"/>
        <w:spacing w:before="0" w:after="80"/>
        <w:rPr/>
      </w:pPr>
      <w:r>
        <w:rPr/>
      </w:r>
    </w:p>
    <w:p>
      <w:pPr>
        <w:pStyle w:val="Heading2"/>
        <w:rPr/>
      </w:pPr>
      <w:bookmarkStart w:id="28" w:name="__RefHeading___Toc45847_1894618434"/>
      <w:bookmarkEnd w:id="28"/>
      <w:r>
        <w:rPr>
          <w:rFonts w:eastAsia="Segoe UI" w:cs="Segoe UI"/>
          <w:b/>
          <w:color w:val="0F4761"/>
          <w:sz w:val="26"/>
        </w:rPr>
        <w:t>5.12  Training</w:t>
      </w:r>
    </w:p>
    <w:p>
      <w:pPr>
        <w:pStyle w:val="Normal"/>
        <w:spacing w:lineRule="auto" w:line="276" w:before="0" w:after="120"/>
        <w:rPr/>
      </w:pPr>
      <w:r>
        <w:rPr>
          <w:rFonts w:eastAsia="Segoe UI" w:cs="Segoe UI" w:ascii="Segoe UI" w:hAnsi="Segoe UI"/>
          <w:color w:val="101820"/>
          <w:sz w:val="21"/>
        </w:rPr>
        <w:t>Train-the-trainer for the key users first, then end-user training per role, delivered by the key users with iorta TechNXT present. The compliance officer, the DPO and the System Administrator are trained by iorta TechNXT on the compliance and privacy screens. The Training Plan gives the curriculum and durations.</w:t>
      </w:r>
    </w:p>
    <w:p>
      <w:pPr>
        <w:pStyle w:val="Heading2"/>
        <w:rPr/>
      </w:pPr>
      <w:bookmarkStart w:id="29" w:name="__RefHeading___Toc45849_1894618434"/>
      <w:bookmarkEnd w:id="29"/>
      <w:r>
        <w:rPr>
          <w:rFonts w:eastAsia="Segoe UI" w:cs="Segoe UI"/>
          <w:b/>
          <w:color w:val="0F4761"/>
          <w:sz w:val="26"/>
        </w:rPr>
        <w:t>5.13  System integration test</w:t>
      </w:r>
    </w:p>
    <w:p>
      <w:pPr>
        <w:pStyle w:val="Normal"/>
        <w:spacing w:lineRule="auto" w:line="276" w:before="0" w:after="120"/>
        <w:rPr/>
      </w:pPr>
      <w:r>
        <w:rPr>
          <w:rFonts w:eastAsia="Segoe UI" w:cs="Segoe UI" w:ascii="Segoe UI" w:hAnsi="Segoe UI"/>
          <w:color w:val="101820"/>
          <w:sz w:val="21"/>
        </w:rPr>
        <w:t>iorta TechNXT runs the end-to-end flows across all roles with the configured masters: in Dev with synthetic data for a small or medium broker, in SIT with the migrated data of the latest mock load for a large or enterprise broker. The test follows the end-to-end plan (</w:t>
      </w:r>
      <w:r>
        <w:rPr>
          <w:rFonts w:eastAsia="Consolas" w:cs="Consolas" w:ascii="Consolas" w:hAnsi="Consolas"/>
          <w:color w:val="101820"/>
          <w:sz w:val="19"/>
        </w:rPr>
        <w:t>docs/e2e/E2E_TEST_PLAN.md</w:t>
      </w:r>
      <w:r>
        <w:rPr>
          <w:rFonts w:eastAsia="Segoe UI" w:cs="Segoe UI" w:ascii="Segoe UI" w:hAnsi="Segoe UI"/>
          <w:color w:val="101820"/>
          <w:sz w:val="21"/>
        </w:rPr>
        <w:t xml:space="preserve">),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and the release test cases for the compliance, BIR and integration features, with every connector in test mode. Defects are logged with the request ID shown in error messages.</w:t>
      </w:r>
    </w:p>
    <w:p>
      <w:pPr>
        <w:pStyle w:val="Heading2"/>
        <w:rPr/>
      </w:pPr>
      <w:bookmarkStart w:id="30" w:name="__RefHeading___Toc45851_1894618434"/>
      <w:bookmarkEnd w:id="30"/>
      <w:r>
        <w:rPr>
          <w:rFonts w:eastAsia="Segoe UI" w:cs="Segoe UI"/>
          <w:b/>
          <w:color w:val="0F4761"/>
          <w:sz w:val="26"/>
        </w:rPr>
        <w:t>5.14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with the broker's own products, insurers and data, plus the scenarios agreed in discovery for the features the broker uses: client onboarding with screening and EDD, transaction alerts and a CTR file, licence and insurer authority checks, a complaint and a breach record, BIR forms and a sales invoice, bank payment files, CTPL authentication and the branded documents. Each scenario is marked Pass or Fail with date, name and, for a failure, the record number and request ID.</w:t>
      </w:r>
    </w:p>
    <w:p>
      <w:pPr>
        <w:pStyle w:val="Heading2"/>
        <w:rPr/>
      </w:pPr>
      <w:bookmarkStart w:id="31" w:name="__RefHeading___Toc45853_1894618434"/>
      <w:bookmarkEnd w:id="31"/>
      <w:r>
        <w:rPr>
          <w:rFonts w:eastAsia="Segoe UI" w:cs="Segoe UI"/>
          <w:b/>
          <w:color w:val="0F4761"/>
          <w:sz w:val="26"/>
        </w:rPr>
        <w:t>5.15  Rehearsal, cutover and go-live</w:t>
      </w:r>
    </w:p>
    <w:p>
      <w:pPr>
        <w:pStyle w:val="Normal"/>
        <w:numPr>
          <w:ilvl w:val="0"/>
          <w:numId w:val="1"/>
        </w:numPr>
        <w:spacing w:before="0" w:after="60"/>
        <w:rPr/>
      </w:pPr>
      <w:r>
        <w:rPr>
          <w:rFonts w:eastAsia="Segoe UI" w:cs="Segoe UI" w:ascii="Segoe UI" w:hAnsi="Segoe UI"/>
          <w:color w:val="101820"/>
          <w:sz w:val="21"/>
        </w:rPr>
        <w:t>The release tag and the frozen configuration go to Production before the rehearsal; the production smoke test is followed by a transaction reset.</w:t>
      </w:r>
    </w:p>
    <w:p>
      <w:pPr>
        <w:pStyle w:val="Normal"/>
        <w:numPr>
          <w:ilvl w:val="0"/>
          <w:numId w:val="1"/>
        </w:numPr>
        <w:spacing w:before="0" w:after="60"/>
        <w:rPr/>
      </w:pPr>
      <w:r>
        <w:rPr>
          <w:rFonts w:eastAsia="Segoe UI" w:cs="Segoe UI" w:ascii="Segoe UI" w:hAnsi="Segoe UI"/>
          <w:color w:val="101820"/>
          <w:sz w:val="21"/>
        </w:rPr>
        <w:t xml:space="preserve">Pre-Prod is restored from a production backup with its own secrets, e-mail off and the scheduler stopped; it is masked with </w:t>
      </w:r>
      <w:r>
        <w:rPr>
          <w:rFonts w:eastAsia="Consolas" w:cs="Consolas" w:ascii="Consolas" w:hAnsi="Consolas"/>
          <w:color w:val="101820"/>
          <w:sz w:val="19"/>
        </w:rPr>
        <w:t>mask:data --remark-copy</w:t>
      </w:r>
      <w:r>
        <w:rPr>
          <w:rFonts w:eastAsia="Segoe UI" w:cs="Segoe UI" w:ascii="Segoe UI" w:hAnsi="Segoe UI"/>
          <w:color w:val="101820"/>
          <w:sz w:val="21"/>
        </w:rPr>
        <w:t xml:space="preserve"> first when people without production access take part.</w:t>
      </w:r>
    </w:p>
    <w:p>
      <w:pPr>
        <w:pStyle w:val="Normal"/>
        <w:numPr>
          <w:ilvl w:val="0"/>
          <w:numId w:val="1"/>
        </w:numPr>
        <w:spacing w:before="0" w:after="60"/>
        <w:rPr/>
      </w:pPr>
      <w:r>
        <w:rPr>
          <w:rFonts w:eastAsia="Segoe UI" w:cs="Segoe UI" w:ascii="Segoe UI" w:hAnsi="Segoe UI"/>
          <w:color w:val="101820"/>
          <w:sz w:val="21"/>
        </w:rPr>
        <w:t>The rehearsal runs the transaction reset, the migration load of a fresh extract, the reconciliation, the go-live lock on and off, and the comparison against Production, each step timed.</w:t>
      </w:r>
    </w:p>
    <w:p>
      <w:pPr>
        <w:pStyle w:val="Normal"/>
        <w:numPr>
          <w:ilvl w:val="0"/>
          <w:numId w:val="1"/>
        </w:numPr>
        <w:spacing w:before="0" w:after="60"/>
        <w:rPr/>
      </w:pPr>
      <w:r>
        <w:rPr>
          <w:rFonts w:eastAsia="Segoe UI" w:cs="Segoe UI" w:ascii="Segoe UI" w:hAnsi="Segoe UI"/>
          <w:color w:val="101820"/>
          <w:sz w:val="21"/>
        </w:rPr>
        <w:t xml:space="preserve">Cutover follows the Data Migration and Cutover Plan: freeze of the old system, final extract and load, reconciliation signed by Accounting and the Accounting Manager, go/no-go 2, then </w:t>
      </w:r>
      <w:r>
        <w:rPr>
          <w:rFonts w:eastAsia="Consolas" w:cs="Consolas" w:ascii="Consolas" w:hAnsi="Consolas"/>
          <w:color w:val="101820"/>
          <w:sz w:val="19"/>
        </w:rPr>
        <w:t>golive.locked</w:t>
      </w:r>
      <w:r>
        <w:rPr>
          <w:rFonts w:eastAsia="Segoe UI" w:cs="Segoe UI" w:ascii="Segoe UI" w:hAnsi="Segoe UI"/>
          <w:color w:val="101820"/>
          <w:sz w:val="21"/>
        </w:rPr>
        <w:t xml:space="preserve"> and </w:t>
      </w:r>
      <w:r>
        <w:rPr>
          <w:rFonts w:eastAsia="Consolas" w:cs="Consolas" w:ascii="Consolas" w:hAnsi="Consolas"/>
          <w:color w:val="101820"/>
          <w:sz w:val="19"/>
        </w:rPr>
        <w:t>npm run mask:data -- --register-production</w:t>
      </w:r>
      <w:r>
        <w:rPr>
          <w:rFonts w:eastAsia="Segoe UI" w:cs="Segoe UI" w:ascii="Segoe UI" w:hAnsi="Segoe UI"/>
          <w:color w:val="101820"/>
          <w:sz w:val="21"/>
        </w:rPr>
        <w:t xml:space="preserve"> in Production.</w:t>
      </w:r>
    </w:p>
    <w:p>
      <w:pPr>
        <w:pStyle w:val="Heading2"/>
        <w:rPr/>
      </w:pPr>
      <w:bookmarkStart w:id="32" w:name="__RefHeading___Toc45855_1894618434"/>
      <w:bookmarkEnd w:id="32"/>
      <w:r>
        <w:rPr>
          <w:rFonts w:eastAsia="Segoe UI" w:cs="Segoe UI"/>
          <w:b/>
          <w:color w:val="0F4761"/>
          <w:sz w:val="26"/>
        </w:rPr>
        <w:t>5.16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receipts, remittances, bank imports and payment files, the first month-end close and the first BIR and AMLC filings that fall in the window. It ends with the handover to production support. Default length: 2 weeks (small), 3 weeks (medium), 6 weeks (large and enterprise); if the first month-end close falls after that window, hypercare extends to cover it. Pre-Prod is removed after hypercare exit.</w:t>
      </w:r>
      <w:r>
        <w:br w:type="page"/>
      </w:r>
    </w:p>
    <w:p>
      <w:pPr>
        <w:pStyle w:val="Heading1"/>
        <w:rPr/>
      </w:pPr>
      <w:bookmarkStart w:id="33" w:name="__RefHeading___Toc45857_1894618434"/>
      <w:bookmarkEnd w:id="33"/>
      <w:r>
        <w:rPr>
          <w:rFonts w:eastAsia="Segoe UI" w:cs="Segoe UI" w:ascii="Segoe UI" w:hAnsi="Segoe UI"/>
          <w:b/>
          <w:color w:val="0F4761"/>
          <w:sz w:val="32"/>
        </w:rPr>
        <w:t>6.  Timelines by size</w:t>
      </w:r>
    </w:p>
    <w:p>
      <w:pPr>
        <w:pStyle w:val="Heading2"/>
        <w:rPr/>
      </w:pPr>
      <w:bookmarkStart w:id="34" w:name="__RefHeading___Toc45859_1894618434"/>
      <w:bookmarkEnd w:id="34"/>
      <w:r>
        <w:rPr>
          <w:rFonts w:eastAsia="Segoe UI" w:cs="Segoe UI"/>
          <w:b/>
          <w:color w:val="0F4761"/>
          <w:sz w:val="26"/>
        </w:rPr>
        <w:t>6.1  Phases and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87"/>
        <w:gridCol w:w="912"/>
        <w:gridCol w:w="1127"/>
        <w:gridCol w:w="1126"/>
        <w:gridCol w:w="1362"/>
      </w:tblGrid>
      <w:tr>
        <w:trPr>
          <w:tblHeader w:val="true"/>
        </w:trPr>
        <w:tc>
          <w:tcPr>
            <w:tcW w:w="4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Phase</w:t>
            </w:r>
          </w:p>
        </w:tc>
        <w:tc>
          <w:tcPr>
            <w:tcW w:w="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Mobilisation</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and pipeline</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W5</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and fit-gap</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W6</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inputs</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W2</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W3</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W6</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registrations</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W6</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W6</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W9</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W12</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(go-live configuration kit)</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W4</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W6</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W10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W13</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W4</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W6</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W8</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W10</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and brand pack</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W4</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W5</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W7</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W9</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Integrations with partners</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W7</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 to W10</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W15</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W3 to W21</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(go-live migration kit)</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W5</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W7</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W13</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 to W18</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Training</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W6</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W9</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W10 to W19</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and UAT</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W4 to W6</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W6 to W9</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W10 to W14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W13 to W20</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Rehearsal and cutover</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W5 to W7</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W8 to W10</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W12 to W15</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W16 to W21</w:t>
            </w:r>
          </w:p>
        </w:tc>
      </w:tr>
      <w:tr>
        <w:trPr/>
        <w:tc>
          <w:tcPr>
            <w:tcW w:w="4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W7 to W8</w:t>
            </w:r>
          </w:p>
        </w:tc>
        <w:tc>
          <w:tcPr>
            <w:tcW w:w="1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W10 to W12</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W15 to W20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W21 to W26</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41"/>
        <w:gridCol w:w="1106"/>
        <w:gridCol w:w="1203"/>
        <w:gridCol w:w="1202"/>
        <w:gridCol w:w="1362"/>
      </w:tblGrid>
      <w:tr>
        <w:trPr>
          <w:tblHeader w:val="true"/>
        </w:trPr>
        <w:tc>
          <w:tcPr>
            <w:tcW w:w="4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Milestone</w:t>
            </w:r>
          </w:p>
        </w:tc>
        <w:tc>
          <w:tcPr>
            <w:tcW w:w="1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 and fit-gap signed</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W2</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W3</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W6</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complete</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W4</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W6</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W13</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W4</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W7</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W12</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W16</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W6</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W9</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W20</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W6</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W9</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W14</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W20</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W7</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W15</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W21</w:t>
            </w:r>
          </w:p>
        </w:tc>
      </w:tr>
      <w:tr>
        <w:trPr/>
        <w:tc>
          <w:tcPr>
            <w:tcW w:w="4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W8</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W12</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W20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 of W26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Integrations run to the go-live week because the EIS connector is switched on after the BIR enrolment; every other partner certification is planned before go-live.</w:t>
      </w:r>
    </w:p>
    <w:p>
      <w:pPr>
        <w:pStyle w:val="Heading2"/>
        <w:rPr/>
      </w:pPr>
      <w:bookmarkStart w:id="35" w:name="__RefHeading___Toc45861_1894618434"/>
      <w:bookmarkEnd w:id="35"/>
      <w:r>
        <w:rPr>
          <w:rFonts w:eastAsia="Segoe UI" w:cs="Segoe UI"/>
          <w:b/>
          <w:color w:val="0F4761"/>
          <w:sz w:val="26"/>
        </w:rPr>
        <w:t>6.2  Small broker (8 weeks)</w:t>
      </w:r>
    </w:p>
    <w:p>
      <w:pPr>
        <w:pStyle w:val="Normal"/>
        <w:jc w:val="center"/>
        <w:rPr/>
      </w:pPr>
      <w:r>
        <w:rPr/>
        <w:drawing>
          <wp:inline distT="0" distB="0" distL="0" distR="0">
            <wp:extent cx="5760085" cy="229235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2292350"/>
                    </a:xfrm>
                    <a:prstGeom prst="rect">
                      <a:avLst/>
                    </a:prstGeom>
                  </pic:spPr>
                </pic:pic>
              </a:graphicData>
            </a:graphic>
          </wp:inline>
        </w:drawing>
      </w:r>
    </w:p>
    <w:p>
      <w:pPr>
        <w:pStyle w:val="Normal"/>
        <w:jc w:val="center"/>
        <w:rPr/>
      </w:pPr>
      <w:r>
        <w:rPr>
          <w:rFonts w:eastAsia="Segoe UI" w:cs="Segoe UI" w:ascii="Segoe UI" w:hAnsi="Segoe UI"/>
          <w:i/>
          <w:color w:val="555F6D"/>
          <w:sz w:val="18"/>
        </w:rPr>
        <w:t>Small broker: phases by week. Red: tasks on the critical path to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charter and RAID log; data request and kits issued; team named; hosting decided; Dev and UAT provisioned; GitHub Environments, secrets and keys; all workshops start; insurers, rates, products, chart of accounts and user list provided; registrations confirmed or started (ATP or CAS, EIS, AMLC, IC licences, NPC); extraction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completed; configuration kit filled; first pipeline deployment; e-mail tested; Production provisioned; partner contracts and COC series; screening lists sourced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in Dev; on-screen configuration; configuration promoted to UAT; mock load 1 in UAT starts; compliance set-up; branding and brand pack; bank statement imports; partner certifications start (bank files, SMS, CTPL, insurers, gateway)</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 configuration completed; SIT in Dev; screening lists loaded; AMLC report file test; compliance officer and DPO training; tax adviser confirmation; EIS in test mode; ATP or CAS in place; train-the-trainer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 configuration complete; SIT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candidate and frozen configuration to UAT; UAT starts; release to Production and smoke test; Pre-Prod from a production backup; mock load 2; end-user training; bank files and insurer APIs certified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end-user training completed; cutover rehearsal in Pre-Prod; go/no-go; cutover at the close of the week</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first receipts, remittances and bank imports watched; EIS live once enrolled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where it falls; knowledge transfer; handover; Pre-Prod removed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Heading2"/>
        <w:rPr/>
      </w:pPr>
      <w:bookmarkStart w:id="36" w:name="__RefHeading___Toc45863_1894618434"/>
      <w:bookmarkEnd w:id="36"/>
      <w:r>
        <w:rPr>
          <w:rFonts w:eastAsia="Segoe UI" w:cs="Segoe UI"/>
          <w:b/>
          <w:color w:val="0F4761"/>
          <w:sz w:val="26"/>
        </w:rPr>
        <w:t>6.3  Medium broker (12 weeks)</w:t>
      </w:r>
    </w:p>
    <w:p>
      <w:pPr>
        <w:pStyle w:val="Normal"/>
        <w:jc w:val="center"/>
        <w:rPr/>
      </w:pPr>
      <w:r>
        <w:rPr/>
        <w:drawing>
          <wp:inline distT="0" distB="0" distL="0" distR="0">
            <wp:extent cx="5760085" cy="2287905"/>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2287905"/>
                    </a:xfrm>
                    <a:prstGeom prst="rect">
                      <a:avLst/>
                    </a:prstGeom>
                  </pic:spPr>
                </pic:pic>
              </a:graphicData>
            </a:graphic>
          </wp:inline>
        </w:drawing>
      </w:r>
    </w:p>
    <w:p>
      <w:pPr>
        <w:pStyle w:val="Normal"/>
        <w:jc w:val="center"/>
        <w:rPr/>
      </w:pPr>
      <w:r>
        <w:rPr>
          <w:rFonts w:eastAsia="Segoe UI" w:cs="Segoe UI" w:ascii="Segoe UI" w:hAnsi="Segoe UI"/>
          <w:i/>
          <w:color w:val="555F6D"/>
          <w:sz w:val="18"/>
        </w:rPr>
        <w:t>Medium broker: phases by week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50"/>
        <w:gridCol w:w="32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32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 and kits; team named; hosting decided; Dev and UAT provisioned; workshops start; registrations confirmed or started; extraction starts</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Environments, secrets and keys; first pipeline deployment; e-mail tested; insurers, rates, products and chart of accounts provided; configuration kit filling starts; Production provisioned</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completed; mapping to the migration kit; partner contracts</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in Dev; on-screen configuration starts; configuration promoted to UAT; compliance set-up; branding; partner certifications start</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in UAT; bank statement imports; payment gateway; ATP or CAS in place</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 screening lists loaded; AMLC report file test; compliance officer and DPO training; tax adviser confirmation</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and exit; promotion to UAT; mock load 2; train-the-trainer; EIS in test mode; bank payment files certified</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release to Production; Pre-Prod; insurer APIs certified</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end-user training completed; cutover rehearsal in Pre-Prod; go/no-go; cutover</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EIS live once enrolled</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knowledge transfer; handover; Pre-Prod removed</w:t>
            </w:r>
          </w:p>
        </w:tc>
        <w:tc>
          <w:tcPr>
            <w:tcW w:w="32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Heading2"/>
        <w:rPr/>
      </w:pPr>
      <w:bookmarkStart w:id="37" w:name="__RefHeading___Toc45865_1894618434"/>
      <w:bookmarkEnd w:id="37"/>
      <w:r>
        <w:rPr>
          <w:rFonts w:eastAsia="Segoe UI" w:cs="Segoe UI"/>
          <w:b/>
          <w:color w:val="0F4761"/>
          <w:sz w:val="26"/>
        </w:rPr>
        <w:t>6.4  Large broker (20 weeks)</w:t>
      </w:r>
    </w:p>
    <w:p>
      <w:pPr>
        <w:pStyle w:val="Normal"/>
        <w:jc w:val="center"/>
        <w:rPr/>
      </w:pPr>
      <w:r>
        <w:rPr/>
        <w:drawing>
          <wp:inline distT="0" distB="0" distL="0" distR="0">
            <wp:extent cx="5760085" cy="2287905"/>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287905"/>
                    </a:xfrm>
                    <a:prstGeom prst="rect">
                      <a:avLst/>
                    </a:prstGeom>
                  </pic:spPr>
                </pic:pic>
              </a:graphicData>
            </a:graphic>
          </wp:inline>
        </w:drawing>
      </w:r>
    </w:p>
    <w:p>
      <w:pPr>
        <w:pStyle w:val="Normal"/>
        <w:jc w:val="center"/>
        <w:rPr/>
      </w:pPr>
      <w:r>
        <w:rPr>
          <w:rFonts w:eastAsia="Segoe UI" w:cs="Segoe UI" w:ascii="Segoe UI" w:hAnsi="Segoe UI"/>
          <w:i/>
          <w:color w:val="555F6D"/>
          <w:sz w:val="18"/>
        </w:rPr>
        <w:t>Large broker: phases by week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186"/>
        <w:gridCol w:w="292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5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29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 and kits; team named; hosting decided; workshops start; registrations confirmed or started; extraction starts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and UAT provisioned; GitHub Environments, secrets and keys; Production provisioning starts; partner contracts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pipeline deployment to Dev, SIT and UAT; e-mail tested; insurers, rates, products and chart of accounts provided; configuration kit filling starts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completed; mapping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filled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in SIT; on-screen configuration; compliance set-up; branding; bank statement imports; mock load 1 in SIT; partner certifications start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 branding and brand pack completed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 completed; screening lists loaded; AMLC report file test; compliance officer and DPO training; tax adviser review</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continues; CTPL authentication certified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starts; mock load 2 in SIT; train-the-trainer; EIS in test mode; bank payment files certified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mock load 2 reconciled; insurer APIs certified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promotion to UAT; UAT starts; mock load 3 in UAT; end-user training (head office); release to Production</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Pre-Prod from a production backup; end-user training (branches)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3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cutover rehearsal in Pre-Prod; go/no-go; cutover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for all branches; daily hypercare at head office; floor walkers in the branches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17</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bank reconciliations, payment files, collection, commission payout and renewal cycles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to 19</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and BIR working papers of the first month (timing depends on the go-live date); settings review</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Pre-Prod removed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All branches go live on one date, because the ledger, the receivables and the amounts due to insurers move to BrokerVerse at a single cutover. A large broker with one office cluster and a simple product mix can follow a 16-week variant: discovery ends in week 4, configuration in week 8, three mock loads (the last as the rehearsal in Pre-Prod), go-live at the start of week 13 and hypercare in weeks 13 to 16 (extended to the first month-end close if needed).</w:t>
      </w:r>
    </w:p>
    <w:p>
      <w:pPr>
        <w:pStyle w:val="Heading2"/>
        <w:rPr/>
      </w:pPr>
      <w:bookmarkStart w:id="38" w:name="__RefHeading___Toc45867_1894618434"/>
      <w:bookmarkEnd w:id="38"/>
      <w:r>
        <w:rPr>
          <w:rFonts w:eastAsia="Segoe UI" w:cs="Segoe UI"/>
          <w:b/>
          <w:color w:val="0F4761"/>
          <w:sz w:val="26"/>
        </w:rPr>
        <w:t>6.5  Enterprise broker (26 weeks)</w:t>
      </w:r>
    </w:p>
    <w:p>
      <w:pPr>
        <w:pStyle w:val="Normal"/>
        <w:jc w:val="center"/>
        <w:rPr/>
      </w:pPr>
      <w:r>
        <w:rPr/>
        <w:drawing>
          <wp:inline distT="0" distB="0" distL="0" distR="0">
            <wp:extent cx="5760085" cy="230695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2306955"/>
                    </a:xfrm>
                    <a:prstGeom prst="rect">
                      <a:avLst/>
                    </a:prstGeom>
                  </pic:spPr>
                </pic:pic>
              </a:graphicData>
            </a:graphic>
          </wp:inline>
        </w:drawing>
      </w:r>
    </w:p>
    <w:p>
      <w:pPr>
        <w:pStyle w:val="Normal"/>
        <w:jc w:val="center"/>
        <w:rPr/>
      </w:pPr>
      <w:r>
        <w:rPr>
          <w:rFonts w:eastAsia="Segoe UI" w:cs="Segoe UI" w:ascii="Segoe UI" w:hAnsi="Segoe UI"/>
          <w:i/>
          <w:color w:val="555F6D"/>
          <w:sz w:val="18"/>
        </w:rPr>
        <w:t>Enterprise broker: phases by week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052"/>
        <w:gridCol w:w="30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50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3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 and kits; team named; hosting decided; Dev, SIT and UAT provisioned; GitHub Environments, secrets and keys; workshops start; registrations confirmed or started; extraction starts</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5</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pipeline deployment; e-mail tested; Production provisioned (high availability, cross-region backup copy); insurers, rates, products and chart of accounts provided; configuration kit filling starts; mapping</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completed; partner contracts completed</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to 8</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filled and loaded in SIT; on-screen configuration starts; compliance set-up; branding; mock load 1 in SIT starts; partner certifications start</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to 12</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 on-screen configuration; screening lists loaded; AMLC report file test; compliance officer and DPO training; CTPL authentication certified; tax adviser confirmation</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starts; mock load 2 in SIT; train-the-trainer starts; EIS in test mode; bank payment files and insurer APIs certified</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 to 15</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mock load 2 reconciled; train-the-trainer completed</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promotion to UAT; UAT starts; mock load 3 in UAT; end-user training starts; release to Production</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 to 18</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Pre-Prod; mock load 4 in UAT</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3 and 4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 to 20</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end-user training completed; cutover rehearsal in Pre-Prod; go/no-go; cutover</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for every branch and channel; daily hypercare; EIS live once enrolled</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to 23</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remittance, bank, payment file, commission and renewal cycles</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to 25</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and the first BIR and AMLC filings</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5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Pre-Prod removed</w:t>
            </w:r>
          </w:p>
        </w:tc>
        <w:tc>
          <w:tcPr>
            <w:tcW w:w="3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enterprise plan is the reference; the actual plan is set at mobilisation with the number of lines of business, insurers, branches and channels.</w:t>
      </w:r>
    </w:p>
    <w:p>
      <w:pPr>
        <w:pStyle w:val="Heading2"/>
        <w:rPr/>
      </w:pPr>
      <w:bookmarkStart w:id="39" w:name="__RefHeading___Toc45869_1894618434"/>
      <w:bookmarkEnd w:id="39"/>
      <w:r>
        <w:rPr>
          <w:rFonts w:eastAsia="Segoe UI" w:cs="Segoe UI"/>
          <w:b/>
          <w:color w:val="0F4761"/>
          <w:sz w:val="26"/>
        </w:rPr>
        <w:t>6.6  Task-level plan</w:t>
      </w:r>
    </w:p>
    <w:p>
      <w:pPr>
        <w:pStyle w:val="Normal"/>
        <w:spacing w:lineRule="auto" w:line="276" w:before="0" w:after="120"/>
        <w:rPr/>
      </w:pPr>
      <w:r>
        <w:rPr>
          <w:rFonts w:eastAsia="Segoe UI" w:cs="Segoe UI" w:ascii="Segoe UI" w:hAnsi="Segoe UI"/>
          <w:color w:val="101820"/>
          <w:sz w:val="21"/>
        </w:rPr>
        <w:t>The workbook holds the task-level plan of each size: 77 tasks in 14 phases (fewer for small and medium, which have no SIT environment and fewer mock loads), each with its duration in working days, owner party, owner role, deliverable or evidence, predecessors, start and finish dates from the kick-off date typed on the sheet, float to go-live and whether it is on the critical path. The table below lists the tasks, their owner and what each holds back.</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5"/>
        <w:gridCol w:w="1106"/>
        <w:gridCol w:w="2338"/>
        <w:gridCol w:w="22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3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Task</w:t>
            </w:r>
          </w:p>
        </w:tc>
        <w:tc>
          <w:tcPr>
            <w:tcW w:w="1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23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 role</w:t>
            </w:r>
          </w:p>
        </w:tc>
        <w:tc>
          <w:tcPr>
            <w:tcW w:w="2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Holds back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M1 to M5</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charter, plan, governance, RAID log; data request and kits; broker team named; hosting and environment set</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PM; broker sponsor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E1 to E7</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SIT, UAT provisioned; GitHub Environments; secrets and keys with custody; first pipeline deployment; Production with backups and restore test</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D1 to D5</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 compliance, integration and branding workshops; fit-gap signed</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process owners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I1 to I10</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and rates; chart of accounts; user list; SMTP; banks; partner contracts; COC series; images and signatories; training rooms; UAT testers</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Accounting Manager, System Administrator, IT head, PM</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except partner contracts and COC series (feature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 to R8</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ATP or CAS; EIS enrolment; AMLC registration; IC licence data; NPC registration; tax adviser confirmation; screening lists; contract reference for client marks</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compliance officer, DPO, tax adviser, sponsor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except EIS and client marks (feature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C1 to C5</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filled and loaded; on-screen configuration; promotion to UAT for mock 1; configuration complete</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iorta TechNXT</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consultants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(critical path)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K1 to K3</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 screening lists loaded; AMLC report file test</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 compliance officer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B1, B2</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e-signatures and brand pack; client brand pack under the client's contract with iorta TechNXT</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client pack feature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N1 to N9</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statements; bank payment files; SMS; CTPL and LTO; insurer APIs; payment gateway; EIS test and live</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partner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 consultants; banks, providers, insurers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statements: go-live; the others feature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G1 to G6</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Extraction and cleansing; mapping; mock loads 1 to 4</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iorta TechNXT</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owners; migration lead</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to L3</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 compliance officer and DPO training; end-user training</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key users</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T1 to T5</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SIT exit; promotion to UAT; UAT; UAT sign-off</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lead; key users; sponsor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(critical path)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X1 to X6</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to Production; Pre-Prod; rehearsal; go/no-go 1; cutover; go-live</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 migration lead; steering committee</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(critical path)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H1 to H3</w:t>
            </w:r>
          </w:p>
        </w:tc>
        <w:tc>
          <w:tcPr>
            <w:tcW w:w="2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first month-end close; handover</w:t>
            </w:r>
          </w:p>
        </w:tc>
        <w:tc>
          <w:tcPr>
            <w:tcW w:w="1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broker</w:t>
            </w:r>
          </w:p>
        </w:tc>
        <w:tc>
          <w:tcPr>
            <w:tcW w:w="23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Accounting Manager; support manager</w:t>
            </w:r>
          </w:p>
        </w:tc>
        <w:tc>
          <w:tcPr>
            <w:tcW w:w="2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critical path is the same for every size: client data for the configuration kit, configuration, SIT, UAT, rehearsal, go/no-go, cutover. The Dependency Map and Critical Path shows it per size with the near-critical tasks and the effect of each late dependency.</w:t>
      </w:r>
      <w:r>
        <w:br w:type="page"/>
      </w:r>
    </w:p>
    <w:p>
      <w:pPr>
        <w:pStyle w:val="Heading1"/>
        <w:rPr/>
      </w:pPr>
      <w:bookmarkStart w:id="40" w:name="__RefHeading___Toc45871_1894618434"/>
      <w:bookmarkEnd w:id="40"/>
      <w:r>
        <w:rPr>
          <w:rFonts w:eastAsia="Segoe UI" w:cs="Segoe UI" w:ascii="Segoe UI" w:hAnsi="Segoe UI"/>
          <w:b/>
          <w:color w:val="0F4761"/>
          <w:sz w:val="32"/>
        </w:rPr>
        <w:t>7.  Roles and responsibilities</w:t>
      </w:r>
    </w:p>
    <w:p>
      <w:pPr>
        <w:pStyle w:val="Heading2"/>
        <w:rPr/>
      </w:pPr>
      <w:bookmarkStart w:id="41" w:name="__RefHeading___Toc45873_1894618434"/>
      <w:bookmarkEnd w:id="41"/>
      <w:r>
        <w:rPr>
          <w:rFonts w:eastAsia="Segoe UI" w:cs="Segoe UI"/>
          <w:b/>
          <w:color w:val="0F4761"/>
          <w:sz w:val="26"/>
        </w:rPr>
        <w:t>7.1  Project roles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confirms the contract reference covering the client's marks for a client brand pack</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decisions and registrations, runs UAT and training logistics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fill the configuration kit, test, train their team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settings, branding and loads after go-live; second line of support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ATP or CAS, EIS enrolment, opening balances, close; signs off the financial reconciliation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and settings, screening lists, AMLC registration and filings, IC licences, complaints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privacy notice, masking approvals, breach register, privacy impact assessment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decision, partner credentials in the secret store, key custody with iorta TechNXT, network and devices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 tax codes, ATC, rates, invoice and receipt wording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SMS provider, CTPL authentication provider, insurers, payment gateway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Certify their interface with the broker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steering committee member when cost or the go-live date is at stake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dependencies, status reports, steering committee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compliance set-up, branding, SIT, training of key users, UAT support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mock loads, reconciliation, rehearsal, cutover loads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pipeline, GitHub Environments, secrets and keys, connectors, backups, monitoring, Pre-Prod, cutover execution</w:t>
            </w:r>
          </w:p>
        </w:tc>
      </w:tr>
    </w:tbl>
    <w:p>
      <w:pPr>
        <w:pStyle w:val="Normal"/>
        <w:spacing w:before="0" w:after="80"/>
        <w:rPr/>
      </w:pPr>
      <w:r>
        <w:rPr/>
      </w:r>
    </w:p>
    <w:p>
      <w:pPr>
        <w:pStyle w:val="Heading2"/>
        <w:rPr/>
      </w:pPr>
      <w:bookmarkStart w:id="42" w:name="__RefHeading___Toc45875_1894618434"/>
      <w:bookmarkEnd w:id="42"/>
      <w:r>
        <w:rPr>
          <w:rFonts w:eastAsia="Segoe UI" w:cs="Segoe UI"/>
          <w:b/>
          <w:color w:val="0F4761"/>
          <w:sz w:val="26"/>
        </w:rPr>
        <w:t>7.2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the broker compliance officer and DPO and the partners as separate columns,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71"/>
        <w:gridCol w:w="1094"/>
        <w:gridCol w:w="1229"/>
        <w:gridCol w:w="1435"/>
        <w:gridCol w:w="2185"/>
      </w:tblGrid>
      <w:tr>
        <w:trPr>
          <w:tblHeader w:val="true"/>
        </w:trPr>
        <w:tc>
          <w:tcPr>
            <w:tcW w:w="30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2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IT, compliance</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kits and extraction</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C</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and on-screen configuration</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pipeline, backups, monitoring</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Encryption keys and their custody</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A</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registrations</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A</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e-signatures, brand pack</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integrations</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Partners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Training</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(TTT)</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 (end users)</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C</w:t>
            </w:r>
          </w:p>
        </w:tc>
      </w:tr>
      <w:tr>
        <w:trPr/>
        <w:tc>
          <w:tcPr>
            <w:tcW w:w="3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and handover</w:t>
            </w:r>
          </w:p>
        </w:tc>
        <w:tc>
          <w:tcPr>
            <w:tcW w:w="1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Heading1"/>
        <w:rPr/>
      </w:pPr>
      <w:r>
        <w:br w:type="page"/>
      </w:r>
      <w:bookmarkStart w:id="43" w:name="__RefHeading___Toc45877_1894618434"/>
      <w:bookmarkEnd w:id="43"/>
      <w:r>
        <w:rPr>
          <w:rFonts w:eastAsia="Segoe UI" w:cs="Segoe UI" w:ascii="Segoe UI" w:hAnsi="Segoe UI"/>
          <w:b/>
          <w:color w:val="0F4761"/>
          <w:sz w:val="32"/>
        </w:rPr>
        <w:t>8.  Governance</w:t>
      </w:r>
    </w:p>
    <w:p>
      <w:pPr>
        <w:pStyle w:val="Heading2"/>
        <w:rPr/>
      </w:pPr>
      <w:bookmarkStart w:id="44" w:name="__RefHeading___Toc45879_1894618434"/>
      <w:bookmarkEnd w:id="44"/>
      <w:r>
        <w:rPr>
          <w:rFonts w:eastAsia="Segoe UI" w:cs="Segoe UI"/>
          <w:b/>
          <w:color w:val="0F4761"/>
          <w:sz w:val="26"/>
        </w:rPr>
        <w:t>8.1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compliance officer, a business head; iorta TechNXT account manager and project manager, with the head of delivery when cost or the go-live date is at stake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dependencies due and late,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45" w:name="__RefHeading___Toc45881_1894618434"/>
      <w:bookmarkEnd w:id="45"/>
      <w:r>
        <w:rPr>
          <w:rFonts w:eastAsia="Segoe UI" w:cs="Segoe UI"/>
          <w:b/>
          <w:color w:val="0F4761"/>
          <w:sz w:val="26"/>
        </w:rPr>
        <w:t>8.2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dependencies due in the next two weeks (data, registrations, partner certifications), next week's activities. Status uses green, amber and red against the baselined plan.</w:t>
      </w:r>
    </w:p>
    <w:p>
      <w:pPr>
        <w:pStyle w:val="Heading2"/>
        <w:rPr/>
      </w:pPr>
      <w:bookmarkStart w:id="46" w:name="__RefHeading___Toc45883_1894618434"/>
      <w:bookmarkEnd w:id="46"/>
      <w:r>
        <w:rPr>
          <w:rFonts w:eastAsia="Segoe UI" w:cs="Segoe UI"/>
          <w:b/>
          <w:color w:val="0F4761"/>
          <w:sz w:val="26"/>
        </w:rPr>
        <w:t>8.3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 The template is pre-filled with the risks, assumptions and dependencies typical of an implementation, including partner certification, list licences for screening, tax adviser confirmations, regulatory registrations, key custody and data quality of the migration.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Probability and impact for risks (score and High, Medium, Low); impact for issues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High items go to the steering committee. A dependency on the critical path late by 3 working days, or any dependency late by more than its float, is escalated with its effect on the go-live.</w:t>
      </w:r>
      <w:r>
        <w:br w:type="page"/>
      </w:r>
    </w:p>
    <w:p>
      <w:pPr>
        <w:pStyle w:val="Heading1"/>
        <w:rPr/>
      </w:pPr>
      <w:bookmarkStart w:id="47" w:name="__RefHeading___Toc45885_1894618434"/>
      <w:bookmarkEnd w:id="47"/>
      <w:r>
        <w:rPr>
          <w:rFonts w:eastAsia="Segoe UI" w:cs="Segoe UI" w:ascii="Segoe UI" w:hAnsi="Segoe UI"/>
          <w:b/>
          <w:color w:val="0F4761"/>
          <w:sz w:val="32"/>
        </w:rPr>
        <w:t>9.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workbook, RAID log, data request list, blank kits, governance calendar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size, environment sheet (addresses, backups, monitoring, GitHub Environments), key custody record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restore test done once; key custody record signed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in Dev or SIT and promoted to UAT; configuration workbook updated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Loaded without errors; each item of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set; test quotation premiums and taxes agree with manual calculations; comparison report shows UAT mirrors the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settings, risk factors, rules, screening lists; licence register, fit and proper, insurer authority; complaints and breach settings; role masking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 confirm the settings in writing; every client screened; CTR test file generated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documents, e-mails, e-signatures, brand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and e-mails approved by the sponsor; contract reference on the engagement file for a client brand pack</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migration kits, load history, reconciliation workbooks of each mock load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the cutover date agrees with the old system</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and each partner integration in scope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received; one statement per account imported; for each partner in scope, the certification of the Dependency Map passed or its fallback agreed at go/no-go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at 90%</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 Certificate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scripts passed or accepted with a workaround; sign-off by each process owner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with timings, cutover checklist, final reconciliation, go/no-go minutes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 registrations of the Dependency Map in place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configuration baseline, handover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 the Statement of Work provides.</w:t>
      </w:r>
      <w:r>
        <w:br w:type="page"/>
      </w:r>
    </w:p>
    <w:p>
      <w:pPr>
        <w:pStyle w:val="Heading1"/>
        <w:rPr/>
      </w:pPr>
      <w:bookmarkStart w:id="48" w:name="__RefHeading___Toc45887_1894618434"/>
      <w:bookmarkEnd w:id="48"/>
      <w:r>
        <w:rPr>
          <w:rFonts w:eastAsia="Segoe UI" w:cs="Segoe UI" w:ascii="Segoe UI" w:hAnsi="Segoe UI"/>
          <w:b/>
          <w:color w:val="0F4761"/>
          <w:sz w:val="32"/>
        </w:rPr>
        <w:t>10.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 Accounting Manager, a compliance officer and a DPO.</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kits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The broker holds, or obtains in the lead times of the Dependency Map, its BIR ATP or CAS registration, its AMLC registration, its NPC registration and the IC licences of the firm, officers and agents.</w:t>
      </w:r>
    </w:p>
    <w:p>
      <w:pPr>
        <w:pStyle w:val="Normal"/>
        <w:numPr>
          <w:ilvl w:val="0"/>
          <w:numId w:val="1"/>
        </w:numPr>
        <w:spacing w:before="0" w:after="60"/>
        <w:rPr/>
      </w:pPr>
      <w:r>
        <w:rPr>
          <w:rFonts w:eastAsia="Segoe UI" w:cs="Segoe UI" w:ascii="Segoe UI" w:hAnsi="Segoe UI"/>
          <w:color w:val="101820"/>
          <w:sz w:val="21"/>
        </w:rPr>
        <w:t>The broker contracts its partners (banks for payment files, SMS provider, CTPL authentication provider, insurers for APIs, payment gateway) and obtains the screening lists and any PEP list licence.</w:t>
      </w:r>
    </w:p>
    <w:p>
      <w:pPr>
        <w:pStyle w:val="Normal"/>
        <w:numPr>
          <w:ilvl w:val="0"/>
          <w:numId w:val="1"/>
        </w:numPr>
        <w:spacing w:before="0" w:after="60"/>
        <w:rPr/>
      </w:pPr>
      <w:r>
        <w:rPr>
          <w:rFonts w:eastAsia="Segoe UI" w:cs="Segoe UI" w:ascii="Segoe UI" w:hAnsi="Segoe UI"/>
          <w:color w:val="101820"/>
          <w:sz w:val="21"/>
        </w:rPr>
        <w:t>iorta TechNXT hosts the environment set of the size and the temporary Pre-Prod on AWS (region ap-southeast-1), priced per environment. Other hosting is priced separately and provides the same set.</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cutover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Accounting Manager and Compliance Officer (AML/CFT).</w:t>
      </w:r>
    </w:p>
    <w:p>
      <w:pPr>
        <w:pStyle w:val="Normal"/>
        <w:numPr>
          <w:ilvl w:val="0"/>
          <w:numId w:val="1"/>
        </w:numPr>
        <w:spacing w:before="0" w:after="60"/>
        <w:rPr/>
      </w:pPr>
      <w:r>
        <w:rPr>
          <w:rFonts w:eastAsia="Segoe UI" w:cs="Segoe UI" w:ascii="Segoe UI" w:hAnsi="Segoe UI"/>
          <w:color w:val="101820"/>
          <w:sz w:val="21"/>
        </w:rPr>
        <w:t>The delivered tax codes, rates, BIR forms and AML values are confirmed by the broker's tax adviser and compliance officer before go-live.</w:t>
      </w:r>
      <w:r>
        <w:br w:type="page"/>
      </w:r>
    </w:p>
    <w:p>
      <w:pPr>
        <w:pStyle w:val="Heading1"/>
        <w:rPr/>
      </w:pPr>
      <w:bookmarkStart w:id="49" w:name="__RefHeading___Toc45889_1894618434"/>
      <w:bookmarkEnd w:id="49"/>
      <w:r>
        <w:rPr>
          <w:rFonts w:eastAsia="Segoe UI" w:cs="Segoe UI" w:ascii="Segoe UI" w:hAnsi="Segoe UI"/>
          <w:b/>
          <w:color w:val="0F4761"/>
          <w:sz w:val="32"/>
        </w:rPr>
        <w:t>11.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 beyond the Report Builder.</w:t>
      </w:r>
    </w:p>
    <w:p>
      <w:pPr>
        <w:pStyle w:val="Normal"/>
        <w:numPr>
          <w:ilvl w:val="0"/>
          <w:numId w:val="1"/>
        </w:numPr>
        <w:spacing w:before="0" w:after="60"/>
        <w:rPr/>
      </w:pPr>
      <w:r>
        <w:rPr>
          <w:rFonts w:eastAsia="Segoe UI" w:cs="Segoe UI" w:ascii="Segoe UI" w:hAnsi="Segoe UI"/>
          <w:color w:val="101820"/>
          <w:sz w:val="21"/>
        </w:rPr>
        <w:t>Connectors other than those delivered (SMS, Viber, CTPL authentication, LTO feed, insurer API, bank files, payment gateways PayMongo and Dragonpay, BIR EIS), for example core banking, accounting packages, BIR eFPS or eBIRForms filing, or an IC system.</w:t>
      </w:r>
    </w:p>
    <w:p>
      <w:pPr>
        <w:pStyle w:val="Normal"/>
        <w:numPr>
          <w:ilvl w:val="0"/>
          <w:numId w:val="1"/>
        </w:numPr>
        <w:spacing w:before="0" w:after="60"/>
        <w:rPr/>
      </w:pPr>
      <w:r>
        <w:rPr>
          <w:rFonts w:eastAsia="Segoe UI" w:cs="Segoe UI" w:ascii="Segoe UI" w:hAnsi="Segoe UI"/>
          <w:color w:val="101820"/>
          <w:sz w:val="21"/>
        </w:rPr>
        <w:t>The partner's own work and fees: bank file certification fees, SMS and gateway fees, CTPL authentication fees, insurer API access.</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Screening list content and PEP list licences; no list content is delivered with BrokerVerse.</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Regulatory filings and registrations: BIR returns, alphalists and DAT files, CAS registration, ATP, EIS enrolment, IC reports and licences, NPC registration and breach notifications, AMLC registration and reports. The system prepares them; filing remains with the broker.</w:t>
      </w:r>
    </w:p>
    <w:p>
      <w:pPr>
        <w:pStyle w:val="Normal"/>
        <w:numPr>
          <w:ilvl w:val="0"/>
          <w:numId w:val="1"/>
        </w:numPr>
        <w:spacing w:before="0" w:after="60"/>
        <w:rPr/>
      </w:pPr>
      <w:r>
        <w:rPr>
          <w:rFonts w:eastAsia="Segoe UI" w:cs="Segoe UI" w:ascii="Segoe UI" w:hAnsi="Segoe UI"/>
          <w:color w:val="101820"/>
          <w:sz w:val="21"/>
        </w:rPr>
        <w:t>Tax, legal, actuarial, AML or audit advice.</w:t>
      </w:r>
    </w:p>
    <w:p>
      <w:pPr>
        <w:pStyle w:val="Normal"/>
        <w:numPr>
          <w:ilvl w:val="0"/>
          <w:numId w:val="1"/>
        </w:numPr>
        <w:spacing w:before="0" w:after="60"/>
        <w:rPr/>
      </w:pPr>
      <w:r>
        <w:rPr>
          <w:rFonts w:eastAsia="Segoe UI" w:cs="Segoe UI" w:ascii="Segoe UI" w:hAnsi="Segoe UI"/>
          <w:color w:val="101820"/>
          <w:sz w:val="21"/>
        </w:rPr>
        <w:t>Translation of the screens.</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50" w:name="__RefHeading___Toc45891_1894618434"/>
      <w:bookmarkEnd w:id="50"/>
      <w:r>
        <w:rPr>
          <w:rFonts w:eastAsia="Segoe UI" w:cs="Segoe UI" w:ascii="Segoe UI" w:hAnsi="Segoe UI"/>
          <w:b/>
          <w:color w:val="0F4761"/>
          <w:sz w:val="32"/>
        </w:rPr>
        <w:t>12.  Dependencies on the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 (Small / Medium / Large / Enterprise)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Accounting Manager, System Administrator, compliance officer and DPO</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 for every size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environment set and data location decision</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 chart of accounts and mapping</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 / W2 / W3 / W4 (critical path)</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branches and reporting lines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 / W2 / W3 / W3</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bank accounts, statement samples, payee accounts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W1 to W2 / W2 / W2 to W3 / W2 to W3</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contracts and credentials; COC series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W2 / W3 / W4 / W6</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ATP or CAS and the invoice serial range; last numbers used</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W4 / W5 / W6 / W6</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registration and portal access; screening lists and PEP licence</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W3 / W4 / W4 / W5</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licence data and insurer certificates; NPC registration</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W2 to W4 / W2 to W5 / W3 to W6 / W3 to W6</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confirmation</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W4 / W6 / W9 / W12</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extracts in the kit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each mock load and at cutover</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 UAT testers and sign-off authority</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training and UAT</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Dependency Map and Critical Path gives the float of each dependency and what moves when it is late.</w:t>
      </w:r>
      <w:r>
        <w:br w:type="page"/>
      </w:r>
    </w:p>
    <w:p>
      <w:pPr>
        <w:pStyle w:val="Heading1"/>
        <w:rPr/>
      </w:pPr>
      <w:bookmarkStart w:id="51" w:name="__RefHeading___Toc45893_1894618434"/>
      <w:bookmarkEnd w:id="51"/>
      <w:r>
        <w:rPr>
          <w:rFonts w:eastAsia="Segoe UI" w:cs="Segoe UI" w:ascii="Segoe UI" w:hAnsi="Segoe UI"/>
          <w:b/>
          <w:color w:val="0F4761"/>
          <w:sz w:val="32"/>
        </w:rPr>
        <w:t>13.  Risks and mitigations</w:t>
      </w:r>
    </w:p>
    <w:p>
      <w:pPr>
        <w:pStyle w:val="Normal"/>
        <w:spacing w:lineRule="auto" w:line="276" w:before="0" w:after="120"/>
        <w:rPr/>
      </w:pPr>
      <w:r>
        <w:rPr>
          <w:rFonts w:eastAsia="Segoe UI" w:cs="Segoe UI" w:ascii="Segoe UI" w:hAnsi="Segoe UI"/>
          <w:color w:val="101820"/>
          <w:sz w:val="21"/>
        </w:rPr>
        <w:t>The RAID log template is pre-filled with these risks and with their scoring; the list below is the summary.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product, commission or chart of accounts data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every later phase slip day for day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kits handed out at kick-off; data readiness tracked weekly; escalation after 3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on fresh extracts; errors workbook; the broker cleanses at 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 late (bank files, CTPL authentication, insurer APIs, SMS, gateway)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Feature not live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Contracts in week 1 to 2; connectors in test mode; fallbacks agreed at go/no-go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late (ATP or CAS, AMLC, NPC)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moves; invoices or filings not possible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or start on the kick-off day; tracked as dependencies with the broker owner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 licence not obtained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incomplete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 and AMLC lists loaded first; PEP list licence started after the compliance workshop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confirmation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withholding or invoice wording wrong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booked in the configuration phase; UAT sign-off depends on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 lost or not escrowed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unreadable; personal identifiers lost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custody record before Production is provisioned; key kept with the backups; rotation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marks used outside the client's engagement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Trademark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applied only in that client's environments under its contract with iorta TechNXT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fit-gap classes; change request process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in every load;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Heading1"/>
        <w:rPr/>
      </w:pPr>
      <w:r>
        <w:br w:type="page"/>
      </w:r>
      <w:bookmarkStart w:id="52" w:name="__RefHeading___Toc45895_1894618434"/>
      <w:bookmarkEnd w:id="52"/>
      <w:r>
        <w:rPr>
          <w:rFonts w:eastAsia="Segoe UI" w:cs="Segoe UI" w:ascii="Segoe UI" w:hAnsi="Segoe UI"/>
          <w:b/>
          <w:color w:val="0F4761"/>
          <w:sz w:val="32"/>
        </w:rPr>
        <w:t>14.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3" w:name="__RefHeading___Toc45897_1894618434"/>
      <w:bookmarkStart w:id="54" w:name="_Toc233203395"/>
      <w:bookmarkEnd w:id="53"/>
      <w:r>
        <w:rPr>
          <w:rStyle w:val="BookTitle"/>
          <w:bCs w:val="false"/>
          <w:i w:val="false"/>
          <w:iCs w:val="false"/>
          <w:spacing w:val="0"/>
        </w:rPr>
        <w:t>15.  Document Sign-Off</w:t>
      </w:r>
      <w:bookmarkEnd w:id="5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3">
            <wp:simplePos x="0" y="0"/>
            <wp:positionH relativeFrom="margin">
              <wp:align>center</wp:align>
            </wp:positionH>
            <wp:positionV relativeFrom="margin">
              <wp:align>center</wp:align>
            </wp:positionV>
            <wp:extent cx="7548245" cy="10677525"/>
            <wp:effectExtent l="0" t="0" r="0" b="0"/>
            <wp:wrapNone/>
            <wp:docPr id="1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
                    <pic:cNvPicPr>
                      <a:picLocks noChangeAspect="1" noChangeArrowheads="1"/>
                    </pic:cNvPicPr>
                  </pic:nvPicPr>
                  <pic:blipFill>
                    <a:blip r:embed="rId9"/>
                    <a:stretch>
                      <a:fillRect/>
                    </a:stretch>
                  </pic:blipFill>
                  <pic:spPr bwMode="auto">
                    <a:xfrm>
                      <a:off x="0" y="0"/>
                      <a:ext cx="7548245" cy="10677525"/>
                    </a:xfrm>
                    <a:prstGeom prst="rect">
                      <a:avLst/>
                    </a:prstGeom>
                  </pic:spPr>
                </pic:pic>
              </a:graphicData>
            </a:graphic>
          </wp:anchor>
        </w:drawing>
      </w:r>
    </w:p>
    <w:sectPr>
      <w:footerReference w:type="default" r:id="rId10"/>
      <w:footerReference w:type="first" r:id="rId11"/>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1">
          <wp:simplePos x="0" y="0"/>
          <wp:positionH relativeFrom="page">
            <wp:align>left</wp:align>
          </wp:positionH>
          <wp:positionV relativeFrom="paragraph">
            <wp:posOffset>-708025</wp:posOffset>
          </wp:positionV>
          <wp:extent cx="8778240" cy="885190"/>
          <wp:effectExtent l="0" t="0" r="0" b="0"/>
          <wp:wrapNone/>
          <wp:docPr id="14"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1">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9.png"/>
</Relationships>
</file>

<file path=word/_rels/footer2.xml.rels><?xml version="1.0" encoding="UTF-8"?>
<Relationships xmlns="http://schemas.openxmlformats.org/package/2006/relationships"><Relationship Id="rId1"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