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Project Status Report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Project Status Report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implementation, template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implementation, template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87388_319967905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87390_319967905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87392_3199679052">
            <w:r>
              <w:rPr>
                <w:webHidden/>
                <w:rStyle w:val="IndexLink"/>
              </w:rPr>
              <w:t>3. How to use this template</w:t>
              <w:tab/>
              <w:t>4</w:t>
            </w:r>
          </w:hyperlink>
        </w:p>
        <w:p>
          <w:pPr>
            <w:pStyle w:val="TOC1"/>
            <w:tabs>
              <w:tab w:val="clear" w:pos="900"/>
              <w:tab w:val="clear" w:pos="9350"/>
              <w:tab w:val="right" w:pos="9025" w:leader="dot"/>
            </w:tabs>
            <w:rPr/>
          </w:pPr>
          <w:hyperlink w:anchor="__RefHeading___Toc87394_3199679052">
            <w:r>
              <w:rPr>
                <w:webHidden/>
                <w:rStyle w:val="IndexLink"/>
              </w:rPr>
              <w:t>4. Report identification</w:t>
              <w:tab/>
              <w:t>5</w:t>
            </w:r>
          </w:hyperlink>
        </w:p>
        <w:p>
          <w:pPr>
            <w:pStyle w:val="TOC1"/>
            <w:tabs>
              <w:tab w:val="clear" w:pos="900"/>
              <w:tab w:val="clear" w:pos="9350"/>
              <w:tab w:val="right" w:pos="9025" w:leader="dot"/>
            </w:tabs>
            <w:rPr/>
          </w:pPr>
          <w:hyperlink w:anchor="__RefHeading___Toc87396_3199679052">
            <w:r>
              <w:rPr>
                <w:webHidden/>
                <w:rStyle w:val="IndexLink"/>
              </w:rPr>
              <w:t>5. Overall status</w:t>
              <w:tab/>
              <w:t>6</w:t>
            </w:r>
          </w:hyperlink>
        </w:p>
        <w:p>
          <w:pPr>
            <w:pStyle w:val="TOC2"/>
            <w:tabs>
              <w:tab w:val="clear" w:pos="900"/>
              <w:tab w:val="clear" w:pos="9350"/>
              <w:tab w:val="right" w:pos="9025" w:leader="dot"/>
            </w:tabs>
            <w:rPr/>
          </w:pPr>
          <w:hyperlink w:anchor="__RefHeading___Toc87398_3199679052">
            <w:r>
              <w:rPr>
                <w:webHidden/>
                <w:rStyle w:val="IndexLink"/>
              </w:rPr>
              <w:t>5.1 Summary for the sponsor</w:t>
              <w:tab/>
              <w:t>6</w:t>
            </w:r>
          </w:hyperlink>
        </w:p>
        <w:p>
          <w:pPr>
            <w:pStyle w:val="TOC1"/>
            <w:tabs>
              <w:tab w:val="clear" w:pos="900"/>
              <w:tab w:val="clear" w:pos="9350"/>
              <w:tab w:val="right" w:pos="9025" w:leader="dot"/>
            </w:tabs>
            <w:rPr/>
          </w:pPr>
          <w:hyperlink w:anchor="__RefHeading___Toc87400_3199679052">
            <w:r>
              <w:rPr>
                <w:webHidden/>
                <w:rStyle w:val="IndexLink"/>
              </w:rPr>
              <w:t>6. Progress by workstream</w:t>
              <w:tab/>
              <w:t>7</w:t>
            </w:r>
          </w:hyperlink>
        </w:p>
        <w:p>
          <w:pPr>
            <w:pStyle w:val="TOC1"/>
            <w:tabs>
              <w:tab w:val="clear" w:pos="900"/>
              <w:tab w:val="clear" w:pos="9350"/>
              <w:tab w:val="right" w:pos="9025" w:leader="dot"/>
            </w:tabs>
            <w:rPr/>
          </w:pPr>
          <w:hyperlink w:anchor="__RefHeading___Toc87402_3199679052">
            <w:r>
              <w:rPr>
                <w:webHidden/>
                <w:rStyle w:val="IndexLink"/>
              </w:rPr>
              <w:t>7. Milestones</w:t>
              <w:tab/>
              <w:t>8</w:t>
            </w:r>
          </w:hyperlink>
        </w:p>
        <w:p>
          <w:pPr>
            <w:pStyle w:val="TOC1"/>
            <w:tabs>
              <w:tab w:val="clear" w:pos="900"/>
              <w:tab w:val="clear" w:pos="9350"/>
              <w:tab w:val="right" w:pos="9025" w:leader="dot"/>
            </w:tabs>
            <w:rPr/>
          </w:pPr>
          <w:hyperlink w:anchor="__RefHeading___Toc87404_3199679052">
            <w:r>
              <w:rPr>
                <w:webHidden/>
                <w:rStyle w:val="IndexLink"/>
              </w:rPr>
              <w:t>8. Scope: fit-gap and change requests</w:t>
              <w:tab/>
              <w:t>9</w:t>
            </w:r>
          </w:hyperlink>
        </w:p>
        <w:p>
          <w:pPr>
            <w:pStyle w:val="TOC1"/>
            <w:tabs>
              <w:tab w:val="clear" w:pos="900"/>
              <w:tab w:val="clear" w:pos="9350"/>
              <w:tab w:val="right" w:pos="9025" w:leader="dot"/>
            </w:tabs>
            <w:rPr/>
          </w:pPr>
          <w:hyperlink w:anchor="__RefHeading___Toc87406_3199679052">
            <w:r>
              <w:rPr>
                <w:webHidden/>
                <w:rStyle w:val="IndexLink"/>
              </w:rPr>
              <w:t>9. Data migration and testing</w:t>
              <w:tab/>
              <w:t>10</w:t>
            </w:r>
          </w:hyperlink>
        </w:p>
        <w:p>
          <w:pPr>
            <w:pStyle w:val="TOC1"/>
            <w:tabs>
              <w:tab w:val="clear" w:pos="900"/>
              <w:tab w:val="clear" w:pos="9350"/>
              <w:tab w:val="right" w:pos="9025" w:leader="dot"/>
            </w:tabs>
            <w:rPr/>
          </w:pPr>
          <w:hyperlink w:anchor="__RefHeading___Toc87408_3199679052">
            <w:r>
              <w:rPr>
                <w:webHidden/>
                <w:rStyle w:val="IndexLink"/>
              </w:rPr>
              <w:t>10. RAID: top items</w:t>
              <w:tab/>
              <w:t>11</w:t>
            </w:r>
          </w:hyperlink>
        </w:p>
        <w:p>
          <w:pPr>
            <w:pStyle w:val="TOC1"/>
            <w:tabs>
              <w:tab w:val="clear" w:pos="900"/>
              <w:tab w:val="clear" w:pos="9350"/>
              <w:tab w:val="right" w:pos="9025" w:leader="dot"/>
            </w:tabs>
            <w:rPr/>
          </w:pPr>
          <w:hyperlink w:anchor="__RefHeading___Toc87410_3199679052">
            <w:r>
              <w:rPr>
                <w:webHidden/>
                <w:rStyle w:val="IndexLink"/>
              </w:rPr>
              <w:t>11. Decisions needed</w:t>
              <w:tab/>
              <w:t>12</w:t>
            </w:r>
          </w:hyperlink>
        </w:p>
        <w:p>
          <w:pPr>
            <w:pStyle w:val="TOC1"/>
            <w:tabs>
              <w:tab w:val="clear" w:pos="900"/>
              <w:tab w:val="clear" w:pos="9350"/>
              <w:tab w:val="right" w:pos="9025" w:leader="dot"/>
            </w:tabs>
            <w:rPr/>
          </w:pPr>
          <w:hyperlink w:anchor="__RefHeading___Toc87412_3199679052">
            <w:r>
              <w:rPr>
                <w:webHidden/>
                <w:rStyle w:val="IndexLink"/>
              </w:rPr>
              <w:t>12. Next period</w:t>
              <w:tab/>
              <w:t>13</w:t>
            </w:r>
          </w:hyperlink>
        </w:p>
        <w:p>
          <w:pPr>
            <w:pStyle w:val="TOC2"/>
            <w:tabs>
              <w:tab w:val="clear" w:pos="900"/>
              <w:tab w:val="clear" w:pos="9350"/>
              <w:tab w:val="right" w:pos="9025" w:leader="dot"/>
            </w:tabs>
            <w:rPr/>
          </w:pPr>
          <w:hyperlink w:anchor="__RefHeading___Toc87414_3199679052">
            <w:r>
              <w:rPr>
                <w:webHidden/>
                <w:rStyle w:val="IndexLink"/>
              </w:rPr>
              <w:t>12.1 Broker inputs due in the next period</w:t>
              <w:tab/>
              <w:t>13</w:t>
            </w:r>
          </w:hyperlink>
        </w:p>
        <w:p>
          <w:pPr>
            <w:pStyle w:val="TOC1"/>
            <w:tabs>
              <w:tab w:val="clear" w:pos="900"/>
              <w:tab w:val="clear" w:pos="9350"/>
              <w:tab w:val="right" w:pos="9025" w:leader="dot"/>
            </w:tabs>
            <w:rPr/>
          </w:pPr>
          <w:hyperlink w:anchor="__RefHeading___Toc87416_3199679052">
            <w:r>
              <w:rPr>
                <w:webHidden/>
                <w:rStyle w:val="IndexLink"/>
              </w:rPr>
              <w:t>13. Decisions and actions of the last meeting</w:t>
              <w:tab/>
              <w:t>14</w:t>
            </w:r>
          </w:hyperlink>
        </w:p>
        <w:p>
          <w:pPr>
            <w:pStyle w:val="TOC1"/>
            <w:tabs>
              <w:tab w:val="clear" w:pos="900"/>
              <w:tab w:val="clear" w:pos="9350"/>
              <w:tab w:val="right" w:pos="9025" w:leader="dot"/>
            </w:tabs>
            <w:rPr/>
          </w:pPr>
          <w:hyperlink w:anchor="__RefHeading___Toc87418_3199679052">
            <w:r>
              <w:rPr>
                <w:webHidden/>
                <w:rStyle w:val="IndexLink"/>
                <w:i w:val="false"/>
                <w:iCs w:val="false"/>
              </w:rPr>
              <w:t>14. Document Sign-Off</w:t>
            </w:r>
            <w:r>
              <w:rPr>
                <w:rStyle w:val="IndexLink"/>
              </w:rPr>
              <w:tab/>
              <w:t>15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87388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copy for each reporting period</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87390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RAG</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Red, amber, green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87392_3199679052"/>
      <w:bookmarkEnd w:id="6"/>
      <w:r>
        <w:rPr>
          <w:rFonts w:eastAsia="Segoe UI" w:cs="Segoe UI" w:ascii="Segoe UI" w:hAnsi="Segoe UI"/>
          <w:b/>
          <w:color w:val="0F4761"/>
          <w:sz w:val="32"/>
        </w:rPr>
        <w:t>3.  How to use this template</w:t>
      </w:r>
    </w:p>
    <w:p>
      <w:pPr>
        <w:pStyle w:val="Normal"/>
        <w:spacing w:lineRule="auto" w:line="276" w:before="0" w:after="120"/>
        <w:rPr/>
      </w:pPr>
      <w:r>
        <w:rPr>
          <w:rFonts w:eastAsia="Segoe UI" w:cs="Segoe UI" w:ascii="Segoe UI" w:hAnsi="Segoe UI"/>
          <w:color w:val="101820"/>
          <w:sz w:val="21"/>
        </w:rPr>
        <w:t>The iorta TechNXT project manager writes this report every week for the weekly status meeting, and every two weeks for the steering committee, as set out in the governance chapter of the Implementation Approach and Plan. Copy the template for each period, keep the chapter order, and replace every text in [square brackets]. Delete this chapter in the copy that is sent.</w:t>
      </w:r>
    </w:p>
    <w:p>
      <w:pPr>
        <w:pStyle w:val="Normal"/>
        <w:numPr>
          <w:ilvl w:val="0"/>
          <w:numId w:val="1"/>
        </w:numPr>
        <w:spacing w:before="0" w:after="60"/>
        <w:rPr/>
      </w:pPr>
      <w:r>
        <w:rPr>
          <w:rFonts w:eastAsia="Segoe UI" w:cs="Segoe UI" w:ascii="Segoe UI" w:hAnsi="Segoe UI"/>
          <w:color w:val="101820"/>
          <w:sz w:val="21"/>
        </w:rPr>
        <w:t>Write facts: what was done, what was not, and why. Name the person who owns each action.</w:t>
      </w:r>
    </w:p>
    <w:p>
      <w:pPr>
        <w:pStyle w:val="Normal"/>
        <w:numPr>
          <w:ilvl w:val="0"/>
          <w:numId w:val="1"/>
        </w:numPr>
        <w:spacing w:before="0" w:after="60"/>
        <w:rPr/>
      </w:pPr>
      <w:r>
        <w:rPr>
          <w:rFonts w:eastAsia="Segoe UI" w:cs="Segoe UI" w:ascii="Segoe UI" w:hAnsi="Segoe UI"/>
          <w:color w:val="101820"/>
          <w:sz w:val="21"/>
        </w:rPr>
        <w:t>The overall status and each workstream use the RAG scale below against the baselined plan. A status is never improved without a reason.</w:t>
      </w:r>
    </w:p>
    <w:p>
      <w:pPr>
        <w:pStyle w:val="Normal"/>
        <w:numPr>
          <w:ilvl w:val="0"/>
          <w:numId w:val="1"/>
        </w:numPr>
        <w:spacing w:before="0" w:after="60"/>
        <w:rPr/>
      </w:pPr>
      <w:r>
        <w:rPr>
          <w:rFonts w:eastAsia="Segoe UI" w:cs="Segoe UI" w:ascii="Segoe UI" w:hAnsi="Segoe UI"/>
          <w:color w:val="101820"/>
          <w:sz w:val="21"/>
        </w:rPr>
        <w:t>RAID items, fit-gap counts and change requests are copied from BrokerVerse_RAID_Log_Template.xlsx, BrokerVerse_Fit_Gap_Register.xlsx and the change request log. The report does not keep its own list.</w:t>
      </w:r>
    </w:p>
    <w:p>
      <w:pPr>
        <w:pStyle w:val="Normal"/>
        <w:numPr>
          <w:ilvl w:val="0"/>
          <w:numId w:val="1"/>
        </w:numPr>
        <w:spacing w:before="0" w:after="60"/>
        <w:rPr/>
      </w:pPr>
      <w:r>
        <w:rPr>
          <w:rFonts w:eastAsia="Segoe UI" w:cs="Segoe UI" w:ascii="Segoe UI" w:hAnsi="Segoe UI"/>
          <w:color w:val="101820"/>
          <w:sz w:val="21"/>
        </w:rPr>
        <w:t>Send the report one business day before the meeting, as PDF, to the distribution list of the project charter.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1"/>
        <w:gridCol w:w="8013"/>
      </w:tblGrid>
      <w:tr>
        <w:trPr>
          <w:tblHeader w:val="true"/>
        </w:trPr>
        <w:tc>
          <w:tcPr>
            <w:tcW w:w="10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80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Green</w:t>
            </w:r>
          </w:p>
        </w:tc>
        <w:tc>
          <w:tcPr>
            <w:tcW w:w="80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plan. Milestones of the period met; no issue needs the steering committee.</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Amber</w:t>
            </w:r>
          </w:p>
        </w:tc>
        <w:tc>
          <w:tcPr>
            <w:tcW w:w="80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risk. A milestone may slip by up to one week, or an issue needs a decision within the next period; recovery is in the team's hands.</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w:t>
            </w:r>
          </w:p>
        </w:tc>
        <w:tc>
          <w:tcPr>
            <w:tcW w:w="80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 plan. A milestone has slipped, or will slip by more than one week, or go-live, budget or compliance is at risk; a steering committee decision is needed.</w:t>
            </w:r>
          </w:p>
        </w:tc>
      </w:tr>
    </w:tbl>
    <w:p>
      <w:pPr>
        <w:pStyle w:val="Heading1"/>
        <w:rPr/>
      </w:pPr>
      <w:r>
        <w:br w:type="page"/>
      </w:r>
      <w:bookmarkStart w:id="7" w:name="__RefHeading___Toc87394_3199679052"/>
      <w:bookmarkEnd w:id="7"/>
      <w:r>
        <w:rPr>
          <w:rFonts w:eastAsia="Segoe UI" w:cs="Segoe UI" w:ascii="Segoe UI" w:hAnsi="Segoe UI"/>
          <w:b/>
          <w:color w:val="0F4761"/>
          <w:sz w:val="32"/>
        </w:rPr>
        <w:t>4.  Report identification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implementation for [Client legal 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and plan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8 weeks / Medium 12 weeks / Large 16 to 20 weeks], baselined on [date]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no. and type</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[SR-nn]; [Weekly status / Steering committee]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to [date] (week [n] of [N])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Prepared by</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iorta TechNXT project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Distribution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steering committee members, project leads]</w:t>
            </w:r>
          </w:p>
        </w:tc>
      </w:tr>
    </w:tbl>
    <w:p>
      <w:pPr>
        <w:pStyle w:val="Heading1"/>
        <w:rPr/>
      </w:pPr>
      <w:r>
        <w:br w:type="page"/>
      </w:r>
      <w:bookmarkStart w:id="8" w:name="__RefHeading___Toc87396_3199679052"/>
      <w:bookmarkEnd w:id="8"/>
      <w:r>
        <w:rPr>
          <w:rFonts w:eastAsia="Segoe UI" w:cs="Segoe UI" w:ascii="Segoe UI" w:hAnsi="Segoe UI"/>
          <w:b/>
          <w:color w:val="0F4761"/>
          <w:sz w:val="32"/>
        </w:rPr>
        <w:t>5.  Overall status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4"/>
        <w:gridCol w:w="1872"/>
        <w:gridCol w:w="1122"/>
        <w:gridCol w:w="4226"/>
      </w:tblGrid>
      <w:tr>
        <w:trPr>
          <w:tblHeader w:val="true"/>
        </w:trPr>
        <w:tc>
          <w:tcPr>
            <w:tcW w:w="17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8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Previous</w:t>
            </w:r>
          </w:p>
        </w:tc>
        <w:tc>
          <w:tcPr>
            <w:tcW w:w="42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Comment</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[Green / Amber / Red]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or two sentences: where the project stands and why]</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[milestones met or slipped]</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position; change requests]</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Budget and effort</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 used against plan; change requests priced]</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readiness</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[extracts received, mock load results]</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Quality</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or UAT defects by severity]</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People and readiness</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 availability, training]</w:t>
            </w:r>
          </w:p>
        </w:tc>
      </w:tr>
    </w:tbl>
    <w:p>
      <w:pPr>
        <w:pStyle w:val="Normal"/>
        <w:spacing w:before="0" w:after="80"/>
        <w:rPr/>
      </w:pPr>
      <w:r>
        <w:rPr/>
      </w:r>
    </w:p>
    <w:p>
      <w:pPr>
        <w:pStyle w:val="Heading2"/>
        <w:rPr/>
      </w:pPr>
      <w:bookmarkStart w:id="9" w:name="__RefHeading___Toc87398_3199679052"/>
      <w:bookmarkEnd w:id="9"/>
      <w:r>
        <w:rPr>
          <w:rFonts w:eastAsia="Segoe UI" w:cs="Segoe UI"/>
          <w:b/>
          <w:color w:val="0F4761"/>
          <w:sz w:val="26"/>
        </w:rPr>
        <w:t>5.1  Summary for the sponsor</w:t>
      </w:r>
    </w:p>
    <w:p>
      <w:pPr>
        <w:pStyle w:val="Normal"/>
        <w:spacing w:lineRule="auto" w:line="276" w:before="0" w:after="120"/>
        <w:rPr/>
      </w:pPr>
      <w:r>
        <w:rPr>
          <w:rFonts w:eastAsia="Segoe UI" w:cs="Segoe UI" w:ascii="Segoe UI" w:hAnsi="Segoe UI"/>
          <w:color w:val="101820"/>
          <w:sz w:val="21"/>
        </w:rPr>
        <w:t>[Three to five lines: the main progress of the period, the main concern, and the decision asked of the steering committee, if any.]</w:t>
      </w:r>
      <w:r>
        <w:br w:type="page"/>
      </w:r>
    </w:p>
    <w:p>
      <w:pPr>
        <w:pStyle w:val="Heading1"/>
        <w:rPr/>
      </w:pPr>
      <w:bookmarkStart w:id="10" w:name="__RefHeading___Toc87400_3199679052"/>
      <w:bookmarkEnd w:id="10"/>
      <w:r>
        <w:rPr>
          <w:rFonts w:eastAsia="Segoe UI" w:cs="Segoe UI" w:ascii="Segoe UI" w:hAnsi="Segoe UI"/>
          <w:b/>
          <w:color w:val="0F4761"/>
          <w:sz w:val="32"/>
        </w:rPr>
        <w:t>6.  Progress by workstream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11"/>
        <w:gridCol w:w="1557"/>
        <w:gridCol w:w="1939"/>
        <w:gridCol w:w="906"/>
      </w:tblGrid>
      <w:tr>
        <w:trPr>
          <w:tblHeader w:val="true"/>
        </w:trPr>
        <w:tc>
          <w:tcPr>
            <w:tcW w:w="46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Workstream</w:t>
            </w:r>
          </w:p>
        </w:tc>
        <w:tc>
          <w:tcPr>
            <w:tcW w:w="15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 this period</w:t>
            </w:r>
          </w:p>
        </w:tc>
        <w:tc>
          <w:tcPr>
            <w:tcW w:w="19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Planned and not done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 and governance</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and hosting</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(e-mail, bank formats, payment gateway)</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and UAT</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and go-live</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bl>
    <w:p>
      <w:pPr>
        <w:pStyle w:val="Heading1"/>
        <w:rPr/>
      </w:pPr>
      <w:r>
        <w:br w:type="page"/>
      </w:r>
      <w:bookmarkStart w:id="11" w:name="__RefHeading___Toc87402_3199679052"/>
      <w:bookmarkEnd w:id="11"/>
      <w:r>
        <w:rPr>
          <w:rFonts w:eastAsia="Segoe UI" w:cs="Segoe UI" w:ascii="Segoe UI" w:hAnsi="Segoe UI"/>
          <w:b/>
          <w:color w:val="0F4761"/>
          <w:sz w:val="32"/>
        </w:rPr>
        <w:t>7.  Milestones</w:t>
      </w:r>
    </w:p>
    <w:p>
      <w:pPr>
        <w:pStyle w:val="Normal"/>
        <w:spacing w:lineRule="auto" w:line="276" w:before="0" w:after="120"/>
        <w:rPr/>
      </w:pPr>
      <w:r>
        <w:rPr>
          <w:rFonts w:eastAsia="Segoe UI" w:cs="Segoe UI" w:ascii="Segoe UI" w:hAnsi="Segoe UI"/>
          <w:color w:val="101820"/>
          <w:sz w:val="21"/>
        </w:rPr>
        <w:t>The milestones are those of the Implementation Statement of Work for the agreed size. Keep the baseline date; record a new forecast with its reason.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15"/>
        <w:gridCol w:w="1258"/>
        <w:gridCol w:w="1124"/>
        <w:gridCol w:w="906"/>
        <w:gridCol w:w="907"/>
        <w:gridCol w:w="1003"/>
      </w:tblGrid>
      <w:tr>
        <w:trPr>
          <w:tblHeader w:val="true"/>
        </w:trPr>
        <w:tc>
          <w:tcPr>
            <w:tcW w:w="38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Milestone</w:t>
            </w:r>
          </w:p>
        </w:tc>
        <w:tc>
          <w:tcPr>
            <w:tcW w:w="12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Baseline</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Forecast</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Actual</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Comment</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 held</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 date]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workbook and fit-gap register signed</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 1 reconciled</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exit report</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 and go decision</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month-end close in BrokerVerse</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and handover</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bl>
    <w:p>
      <w:pPr>
        <w:pStyle w:val="Heading1"/>
        <w:rPr/>
      </w:pPr>
      <w:r>
        <w:br w:type="page"/>
      </w:r>
      <w:bookmarkStart w:id="12" w:name="__RefHeading___Toc87404_3199679052"/>
      <w:bookmarkEnd w:id="12"/>
      <w:r>
        <w:rPr>
          <w:rFonts w:eastAsia="Segoe UI" w:cs="Segoe UI" w:ascii="Segoe UI" w:hAnsi="Segoe UI"/>
          <w:b/>
          <w:color w:val="0F4761"/>
          <w:sz w:val="32"/>
        </w:rPr>
        <w:t>8.  Scope: fit-gap and change requests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1"/>
        <w:gridCol w:w="2254"/>
        <w:gridCol w:w="2254"/>
        <w:gridCol w:w="1003"/>
        <w:gridCol w:w="2504"/>
      </w:tblGrid>
      <w:tr>
        <w:trPr>
          <w:tblHeader w:val="true"/>
        </w:trPr>
        <w:tc>
          <w:tcPr>
            <w:tcW w:w="10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Fit</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Configure</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Procedure</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Gap</w:t>
            </w:r>
          </w:p>
        </w:tc>
        <w:tc>
          <w:tcPr>
            <w:tcW w:w="2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open</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1"/>
        <w:gridCol w:w="907"/>
        <w:gridCol w:w="1135"/>
        <w:gridCol w:w="2154"/>
        <w:gridCol w:w="3878"/>
      </w:tblGrid>
      <w:tr>
        <w:trPr>
          <w:tblHeader w:val="true"/>
        </w:trPr>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 no.</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Effort (days)</w:t>
            </w:r>
          </w:p>
        </w:tc>
        <w:tc>
          <w:tcPr>
            <w:tcW w:w="21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Effect on go-live</w:t>
            </w:r>
          </w:p>
        </w:tc>
        <w:tc>
          <w:tcPr>
            <w:tcW w:w="38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[CR-nnn]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21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 / date moves to ...]</w:t>
            </w:r>
          </w:p>
        </w:tc>
        <w:tc>
          <w:tcPr>
            <w:tcW w:w="38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[Raised / Estimated / Approved / Rejected / Deferred / Delivered]</w:t>
            </w:r>
          </w:p>
        </w:tc>
      </w:tr>
    </w:tbl>
    <w:p>
      <w:pPr>
        <w:pStyle w:val="Heading1"/>
        <w:rPr/>
      </w:pPr>
      <w:r>
        <w:br w:type="page"/>
      </w:r>
      <w:bookmarkStart w:id="13" w:name="__RefHeading___Toc87406_3199679052"/>
      <w:bookmarkEnd w:id="13"/>
      <w:r>
        <w:rPr>
          <w:rFonts w:eastAsia="Segoe UI" w:cs="Segoe UI" w:ascii="Segoe UI" w:hAnsi="Segoe UI"/>
          <w:b/>
          <w:color w:val="0F4761"/>
          <w:sz w:val="32"/>
        </w:rPr>
        <w:t>9.  Data migration and testing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18"/>
        <w:gridCol w:w="1002"/>
        <w:gridCol w:w="1022"/>
        <w:gridCol w:w="3071"/>
      </w:tblGrid>
      <w:tr>
        <w:trPr>
          <w:tblHeader w:val="true"/>
        </w:trPr>
        <w:tc>
          <w:tcPr>
            <w:tcW w:w="39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Planned</w:t>
            </w:r>
          </w:p>
        </w:tc>
        <w:tc>
          <w:tcPr>
            <w:tcW w:w="10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Actual</w:t>
            </w:r>
          </w:p>
        </w:tc>
        <w:tc>
          <w:tcPr>
            <w:tcW w:w="30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Comment</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Extracts received (masters, in-force policies, open items, trial balance)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of N]</w:t>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mock load: rows loaded, rejected</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of counts and totals]</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run, passed, failed, blocked</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[cycle and environment]</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defects by severity (critical, high, medium, low)</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n, n, n]</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bl>
    <w:p>
      <w:pPr>
        <w:pStyle w:val="Heading1"/>
        <w:rPr/>
      </w:pPr>
      <w:r>
        <w:br w:type="page"/>
      </w:r>
      <w:bookmarkStart w:id="14" w:name="__RefHeading___Toc87408_3199679052"/>
      <w:bookmarkEnd w:id="14"/>
      <w:r>
        <w:rPr>
          <w:rFonts w:eastAsia="Segoe UI" w:cs="Segoe UI" w:ascii="Segoe UI" w:hAnsi="Segoe UI"/>
          <w:b/>
          <w:color w:val="0F4761"/>
          <w:sz w:val="32"/>
        </w:rPr>
        <w:t>10.  RAID: top items</w:t>
      </w:r>
    </w:p>
    <w:p>
      <w:pPr>
        <w:pStyle w:val="Normal"/>
        <w:spacing w:lineRule="auto" w:line="276" w:before="0" w:after="120"/>
        <w:rPr/>
      </w:pPr>
      <w:r>
        <w:rPr>
          <w:rFonts w:eastAsia="Segoe UI" w:cs="Segoe UI" w:ascii="Segoe UI" w:hAnsi="Segoe UI"/>
          <w:color w:val="101820"/>
          <w:sz w:val="21"/>
        </w:rPr>
        <w:t>Copy the open items rated High and any item that needs the steering committee from the RAID log. The full log is attached or shared.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34"/>
        <w:gridCol w:w="1481"/>
        <w:gridCol w:w="1515"/>
        <w:gridCol w:w="907"/>
        <w:gridCol w:w="1748"/>
        <w:gridCol w:w="132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4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Description</w:t>
            </w:r>
          </w:p>
        </w:tc>
        <w:tc>
          <w:tcPr>
            <w:tcW w:w="15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Rating</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17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Action and due date</w:t>
            </w:r>
          </w:p>
        </w:tc>
        <w:tc>
          <w:tcPr>
            <w:tcW w:w="13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[R-nnn]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Risk</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3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[I-nnn]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Issue</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3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 progress]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[D-nnn]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Dependency</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[Late / At risk]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3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66"/>
        <w:gridCol w:w="2160"/>
        <w:gridCol w:w="2160"/>
        <w:gridCol w:w="2628"/>
      </w:tblGrid>
      <w:tr>
        <w:trPr>
          <w:tblHeader w:val="true"/>
        </w:trPr>
        <w:tc>
          <w:tcPr>
            <w:tcW w:w="20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Open risks (H / M / L)</w:t>
            </w:r>
          </w:p>
        </w:tc>
        <w:tc>
          <w:tcPr>
            <w:tcW w:w="21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Open issues (H / M / L)</w:t>
            </w:r>
          </w:p>
        </w:tc>
        <w:tc>
          <w:tcPr>
            <w:tcW w:w="21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Assumptions to validate</w:t>
            </w:r>
          </w:p>
        </w:tc>
        <w:tc>
          <w:tcPr>
            <w:tcW w:w="26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Dependencies late or at risk</w:t>
            </w:r>
          </w:p>
        </w:tc>
      </w:tr>
      <w:tr>
        <w:trPr/>
        <w:tc>
          <w:tcPr>
            <w:tcW w:w="20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 n / n]</w:t>
            </w:r>
          </w:p>
        </w:tc>
        <w:tc>
          <w:tcPr>
            <w:tcW w:w="2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 n / n]</w:t>
            </w:r>
          </w:p>
        </w:tc>
        <w:tc>
          <w:tcPr>
            <w:tcW w:w="2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w:t>
            </w:r>
          </w:p>
        </w:tc>
        <w:tc>
          <w:tcPr>
            <w:tcW w:w="26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w:t>
            </w:r>
          </w:p>
        </w:tc>
      </w:tr>
    </w:tbl>
    <w:p>
      <w:pPr>
        <w:pStyle w:val="Heading1"/>
        <w:rPr/>
      </w:pPr>
      <w:r>
        <w:br w:type="page"/>
      </w:r>
      <w:bookmarkStart w:id="15" w:name="__RefHeading___Toc87410_3199679052"/>
      <w:bookmarkEnd w:id="15"/>
      <w:r>
        <w:rPr>
          <w:rFonts w:eastAsia="Segoe UI" w:cs="Segoe UI" w:ascii="Segoe UI" w:hAnsi="Segoe UI"/>
          <w:b/>
          <w:color w:val="0F4761"/>
          <w:sz w:val="32"/>
        </w:rPr>
        <w:t>11.  Decisions needed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968"/>
        <w:gridCol w:w="1861"/>
        <w:gridCol w:w="907"/>
        <w:gridCol w:w="1903"/>
        <w:gridCol w:w="146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w:t>
            </w:r>
          </w:p>
        </w:tc>
        <w:tc>
          <w:tcPr>
            <w:tcW w:w="19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Decision needed</w:t>
            </w:r>
          </w:p>
        </w:tc>
        <w:tc>
          <w:tcPr>
            <w:tcW w:w="18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Options and recommendation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Needed by</w:t>
            </w:r>
          </w:p>
        </w:tc>
        <w:tc>
          <w:tcPr>
            <w:tcW w:w="19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Decision maker</w:t>
            </w:r>
          </w:p>
        </w:tc>
        <w:tc>
          <w:tcPr>
            <w:tcW w:w="14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Outcome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[for example: approve CR-nnn, accept the go-live date, confirm the DST rounding with the insurers]</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[options; recommended option and why]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19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 steering committee / process owner]</w:t>
            </w:r>
          </w:p>
        </w:tc>
        <w:tc>
          <w:tcPr>
            <w:tcW w:w="14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 be recorded after the meeting]</w:t>
            </w:r>
          </w:p>
        </w:tc>
      </w:tr>
    </w:tbl>
    <w:p>
      <w:pPr>
        <w:pStyle w:val="Heading1"/>
        <w:rPr/>
      </w:pPr>
      <w:r>
        <w:br w:type="page"/>
      </w:r>
      <w:bookmarkStart w:id="16" w:name="__RefHeading___Toc87412_3199679052"/>
      <w:bookmarkEnd w:id="16"/>
      <w:r>
        <w:rPr>
          <w:rFonts w:eastAsia="Segoe UI" w:cs="Segoe UI" w:ascii="Segoe UI" w:hAnsi="Segoe UI"/>
          <w:b/>
          <w:color w:val="0F4761"/>
          <w:sz w:val="32"/>
        </w:rPr>
        <w:t>12.  Next period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94"/>
        <w:gridCol w:w="2373"/>
        <w:gridCol w:w="2847"/>
      </w:tblGrid>
      <w:tr>
        <w:trPr>
          <w:tblHeader w:val="true"/>
        </w:trPr>
        <w:tc>
          <w:tcPr>
            <w:tcW w:w="37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Activity</w:t>
            </w:r>
          </w:p>
        </w:tc>
        <w:tc>
          <w:tcPr>
            <w:tcW w:w="23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2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Due</w:t>
            </w:r>
          </w:p>
        </w:tc>
      </w:tr>
      <w:tr>
        <w:trPr/>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23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17" w:name="__RefHeading___Toc87414_3199679052"/>
      <w:bookmarkEnd w:id="17"/>
      <w:r>
        <w:rPr>
          <w:rFonts w:eastAsia="Segoe UI" w:cs="Segoe UI"/>
          <w:b/>
          <w:color w:val="0F4761"/>
          <w:sz w:val="26"/>
        </w:rPr>
        <w:t>12.1  Broker inputs due in the next period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76"/>
        <w:gridCol w:w="906"/>
        <w:gridCol w:w="932"/>
      </w:tblGrid>
      <w:tr>
        <w:trPr>
          <w:tblHeader w:val="true"/>
        </w:trPr>
        <w:tc>
          <w:tcPr>
            <w:tcW w:w="71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Input</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9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Due</w:t>
            </w:r>
          </w:p>
        </w:tc>
      </w:tr>
      <w:tr>
        <w:trPr/>
        <w:tc>
          <w:tcPr>
            <w:tcW w:w="71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last official receipt number used, user list with roles]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Heading1"/>
        <w:rPr/>
      </w:pPr>
      <w:r>
        <w:br w:type="page"/>
      </w:r>
      <w:bookmarkStart w:id="18" w:name="__RefHeading___Toc87416_3199679052"/>
      <w:bookmarkEnd w:id="18"/>
      <w:r>
        <w:rPr>
          <w:rFonts w:eastAsia="Segoe UI" w:cs="Segoe UI" w:ascii="Segoe UI" w:hAnsi="Segoe UI"/>
          <w:b/>
          <w:color w:val="0F4761"/>
          <w:sz w:val="32"/>
        </w:rPr>
        <w:t>13.  Decisions and actions of the last meeting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586"/>
        <w:gridCol w:w="1020"/>
        <w:gridCol w:w="907"/>
        <w:gridCol w:w="259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w:t>
            </w:r>
          </w:p>
        </w:tc>
        <w:tc>
          <w:tcPr>
            <w:tcW w:w="35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Decision or action</w:t>
            </w:r>
          </w:p>
        </w:tc>
        <w:tc>
          <w:tcPr>
            <w:tcW w:w="10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w:t>
            </w:r>
          </w:p>
        </w:tc>
        <w:tc>
          <w:tcPr>
            <w:tcW w:w="25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3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25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[Done / Open]</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9" w:name="__RefHeading___Toc87418_3199679052"/>
      <w:bookmarkStart w:id="20" w:name="_Toc233203395"/>
      <w:bookmarkEnd w:id="19"/>
      <w:r>
        <w:rPr>
          <w:rStyle w:val="BookTitle"/>
          <w:bCs w:val="false"/>
          <w:i w:val="false"/>
          <w:iCs w:val="false"/>
          <w:spacing w:val="0"/>
        </w:rPr>
        <w:t>14.  Document Sign-Off</w:t>
      </w:r>
      <w:bookmarkEnd w:id="2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Replace every [placeholder] before the report is sent</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project manager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2026-10-04T01:52:23Z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