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5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6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869_2870252334">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8871_2870252334">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8873_2870252334">
            <w:r>
              <w:rPr>
                <w:webHidden/>
                <w:rStyle w:val="IndexLink"/>
              </w:rPr>
              <w:t>3. About this document</w:t>
              <w:tab/>
              <w:t>7</w:t>
            </w:r>
          </w:hyperlink>
        </w:p>
        <w:p>
          <w:pPr>
            <w:pStyle w:val="TOC2"/>
            <w:tabs>
              <w:tab w:val="clear" w:pos="900"/>
              <w:tab w:val="clear" w:pos="9350"/>
              <w:tab w:val="right" w:pos="9025" w:leader="dot"/>
            </w:tabs>
            <w:rPr/>
          </w:pPr>
          <w:hyperlink w:anchor="__RefHeading___Toc18875_2870252334">
            <w:r>
              <w:rPr>
                <w:webHidden/>
                <w:rStyle w:val="IndexLink"/>
              </w:rPr>
              <w:t>3.1 Sources</w:t>
              <w:tab/>
              <w:t>7</w:t>
            </w:r>
          </w:hyperlink>
        </w:p>
        <w:p>
          <w:pPr>
            <w:pStyle w:val="TOC2"/>
            <w:tabs>
              <w:tab w:val="clear" w:pos="900"/>
              <w:tab w:val="clear" w:pos="9350"/>
              <w:tab w:val="right" w:pos="9025" w:leader="dot"/>
            </w:tabs>
            <w:rPr/>
          </w:pPr>
          <w:hyperlink w:anchor="__RefHeading___Toc18877_2870252334">
            <w:r>
              <w:rPr>
                <w:webHidden/>
                <w:rStyle w:val="IndexLink"/>
              </w:rPr>
              <w:t>3.2 The companion workbook</w:t>
              <w:tab/>
              <w:t>8</w:t>
            </w:r>
          </w:hyperlink>
        </w:p>
        <w:p>
          <w:pPr>
            <w:pStyle w:val="TOC2"/>
            <w:tabs>
              <w:tab w:val="clear" w:pos="900"/>
              <w:tab w:val="clear" w:pos="9350"/>
              <w:tab w:val="right" w:pos="9025" w:leader="dot"/>
            </w:tabs>
            <w:rPr/>
          </w:pPr>
          <w:hyperlink w:anchor="__RefHeading___Toc18879_2870252334">
            <w:r>
              <w:rPr>
                <w:webHidden/>
                <w:rStyle w:val="IndexLink"/>
              </w:rPr>
              <w:t>3.3 Database at a glance</w:t>
              <w:tab/>
              <w:t>8</w:t>
            </w:r>
          </w:hyperlink>
        </w:p>
        <w:p>
          <w:pPr>
            <w:pStyle w:val="TOC1"/>
            <w:tabs>
              <w:tab w:val="clear" w:pos="900"/>
              <w:tab w:val="clear" w:pos="9350"/>
              <w:tab w:val="right" w:pos="9025" w:leader="dot"/>
            </w:tabs>
            <w:rPr/>
          </w:pPr>
          <w:hyperlink w:anchor="__RefHeading___Toc18881_2870252334">
            <w:r>
              <w:rPr>
                <w:webHidden/>
                <w:rStyle w:val="IndexLink"/>
              </w:rPr>
              <w:t>4. Conventions</w:t>
              <w:tab/>
              <w:t>10</w:t>
            </w:r>
          </w:hyperlink>
        </w:p>
        <w:p>
          <w:pPr>
            <w:pStyle w:val="TOC2"/>
            <w:tabs>
              <w:tab w:val="clear" w:pos="900"/>
              <w:tab w:val="clear" w:pos="9350"/>
              <w:tab w:val="right" w:pos="9025" w:leader="dot"/>
            </w:tabs>
            <w:rPr/>
          </w:pPr>
          <w:hyperlink w:anchor="__RefHeading___Toc18883_2870252334">
            <w:r>
              <w:rPr>
                <w:webHidden/>
                <w:rStyle w:val="IndexLink"/>
              </w:rPr>
              <w:t>4.1 Naming</w:t>
              <w:tab/>
              <w:t>10</w:t>
            </w:r>
          </w:hyperlink>
        </w:p>
        <w:p>
          <w:pPr>
            <w:pStyle w:val="TOC2"/>
            <w:tabs>
              <w:tab w:val="clear" w:pos="900"/>
              <w:tab w:val="clear" w:pos="9350"/>
              <w:tab w:val="right" w:pos="9025" w:leader="dot"/>
            </w:tabs>
            <w:rPr/>
          </w:pPr>
          <w:hyperlink w:anchor="__RefHeading___Toc18885_2870252334">
            <w:r>
              <w:rPr>
                <w:webHidden/>
                <w:rStyle w:val="IndexLink"/>
              </w:rPr>
              <w:t>4.2 Identifiers</w:t>
              <w:tab/>
              <w:t>10</w:t>
            </w:r>
          </w:hyperlink>
        </w:p>
        <w:p>
          <w:pPr>
            <w:pStyle w:val="TOC2"/>
            <w:tabs>
              <w:tab w:val="clear" w:pos="900"/>
              <w:tab w:val="clear" w:pos="9350"/>
              <w:tab w:val="right" w:pos="9025" w:leader="dot"/>
            </w:tabs>
            <w:rPr/>
          </w:pPr>
          <w:hyperlink w:anchor="__RefHeading___Toc18887_2870252334">
            <w:r>
              <w:rPr>
                <w:webHidden/>
                <w:rStyle w:val="IndexLink"/>
              </w:rPr>
              <w:t>4.3 Money, rates and shares</w:t>
              <w:tab/>
              <w:t>11</w:t>
            </w:r>
          </w:hyperlink>
        </w:p>
        <w:p>
          <w:pPr>
            <w:pStyle w:val="TOC2"/>
            <w:tabs>
              <w:tab w:val="clear" w:pos="900"/>
              <w:tab w:val="clear" w:pos="9350"/>
              <w:tab w:val="right" w:pos="9025" w:leader="dot"/>
            </w:tabs>
            <w:rPr/>
          </w:pPr>
          <w:hyperlink w:anchor="__RefHeading___Toc18889_2870252334">
            <w:r>
              <w:rPr>
                <w:webHidden/>
                <w:rStyle w:val="IndexLink"/>
              </w:rPr>
              <w:t>4.4 Dates and the business time zone</w:t>
              <w:tab/>
              <w:t>11</w:t>
            </w:r>
          </w:hyperlink>
        </w:p>
        <w:p>
          <w:pPr>
            <w:pStyle w:val="TOC2"/>
            <w:tabs>
              <w:tab w:val="clear" w:pos="900"/>
              <w:tab w:val="clear" w:pos="9350"/>
              <w:tab w:val="right" w:pos="9025" w:leader="dot"/>
            </w:tabs>
            <w:rPr/>
          </w:pPr>
          <w:hyperlink w:anchor="__RefHeading___Toc18891_2870252334">
            <w:r>
              <w:rPr>
                <w:webHidden/>
                <w:rStyle w:val="IndexLink"/>
              </w:rPr>
              <w:t>4.5 Audit columns</w:t>
              <w:tab/>
              <w:t>11</w:t>
            </w:r>
          </w:hyperlink>
        </w:p>
        <w:p>
          <w:pPr>
            <w:pStyle w:val="TOC2"/>
            <w:tabs>
              <w:tab w:val="clear" w:pos="900"/>
              <w:tab w:val="clear" w:pos="9350"/>
              <w:tab w:val="right" w:pos="9025" w:leader="dot"/>
            </w:tabs>
            <w:rPr/>
          </w:pPr>
          <w:hyperlink w:anchor="__RefHeading___Toc18893_2870252334">
            <w:r>
              <w:rPr>
                <w:webHidden/>
                <w:rStyle w:val="IndexLink"/>
              </w:rPr>
              <w:t>4.6 Status, soft delete and cancellation</w:t>
              <w:tab/>
              <w:t>12</w:t>
            </w:r>
          </w:hyperlink>
        </w:p>
        <w:p>
          <w:pPr>
            <w:pStyle w:val="TOC2"/>
            <w:tabs>
              <w:tab w:val="clear" w:pos="900"/>
              <w:tab w:val="clear" w:pos="9350"/>
              <w:tab w:val="right" w:pos="9025" w:leader="dot"/>
            </w:tabs>
            <w:rPr/>
          </w:pPr>
          <w:hyperlink w:anchor="__RefHeading___Toc18895_2870252334">
            <w:r>
              <w:rPr>
                <w:webHidden/>
                <w:rStyle w:val="IndexLink"/>
              </w:rPr>
              <w:t>4.7 JSON document columns</w:t>
              <w:tab/>
              <w:t>12</w:t>
            </w:r>
          </w:hyperlink>
        </w:p>
        <w:p>
          <w:pPr>
            <w:pStyle w:val="TOC2"/>
            <w:tabs>
              <w:tab w:val="clear" w:pos="900"/>
              <w:tab w:val="clear" w:pos="9350"/>
              <w:tab w:val="right" w:pos="9025" w:leader="dot"/>
            </w:tabs>
            <w:rPr/>
          </w:pPr>
          <w:hyperlink w:anchor="__RefHeading___Toc18897_2870252334">
            <w:r>
              <w:rPr>
                <w:webHidden/>
                <w:rStyle w:val="IndexLink"/>
              </w:rPr>
              <w:t>4.8 Keys, constraints and indexes</w:t>
              <w:tab/>
              <w:t>12</w:t>
            </w:r>
          </w:hyperlink>
        </w:p>
        <w:p>
          <w:pPr>
            <w:pStyle w:val="TOC2"/>
            <w:tabs>
              <w:tab w:val="clear" w:pos="900"/>
              <w:tab w:val="clear" w:pos="9350"/>
              <w:tab w:val="right" w:pos="9025" w:leader="dot"/>
            </w:tabs>
            <w:rPr/>
          </w:pPr>
          <w:hyperlink w:anchor="__RefHeading___Toc18899_2870252334">
            <w:r>
              <w:rPr>
                <w:webHidden/>
                <w:rStyle w:val="IndexLink"/>
              </w:rPr>
              <w:t>4.9 References without a foreign key</w:t>
              <w:tab/>
              <w:t>13</w:t>
            </w:r>
          </w:hyperlink>
        </w:p>
        <w:p>
          <w:pPr>
            <w:pStyle w:val="TOC1"/>
            <w:tabs>
              <w:tab w:val="clear" w:pos="900"/>
              <w:tab w:val="clear" w:pos="9350"/>
              <w:tab w:val="right" w:pos="9025" w:leader="dot"/>
            </w:tabs>
            <w:rPr/>
          </w:pPr>
          <w:hyperlink w:anchor="__RefHeading___Toc18901_2870252334">
            <w:r>
              <w:rPr>
                <w:webHidden/>
                <w:rStyle w:val="IndexLink"/>
              </w:rPr>
              <w:t>5. Data model by functional area</w:t>
              <w:tab/>
              <w:t>15</w:t>
            </w:r>
          </w:hyperlink>
        </w:p>
        <w:p>
          <w:pPr>
            <w:pStyle w:val="TOC2"/>
            <w:tabs>
              <w:tab w:val="clear" w:pos="900"/>
              <w:tab w:val="clear" w:pos="9350"/>
              <w:tab w:val="right" w:pos="9025" w:leader="dot"/>
            </w:tabs>
            <w:rPr/>
          </w:pPr>
          <w:hyperlink w:anchor="__RefHeading___Toc18903_2870252334">
            <w:r>
              <w:rPr>
                <w:webHidden/>
                <w:rStyle w:val="IndexLink"/>
              </w:rPr>
              <w:t>5.1 Overview</w:t>
              <w:tab/>
              <w:t>15</w:t>
            </w:r>
          </w:hyperlink>
        </w:p>
        <w:p>
          <w:pPr>
            <w:pStyle w:val="TOC2"/>
            <w:tabs>
              <w:tab w:val="clear" w:pos="900"/>
              <w:tab w:val="clear" w:pos="9350"/>
              <w:tab w:val="right" w:pos="9025" w:leader="dot"/>
            </w:tabs>
            <w:rPr/>
          </w:pPr>
          <w:hyperlink w:anchor="__RefHeading___Toc18905_2870252334">
            <w:r>
              <w:rPr>
                <w:webHidden/>
                <w:rStyle w:val="IndexLink"/>
              </w:rPr>
              <w:t>5.2 Party and client</w:t>
              <w:tab/>
              <w:t>15</w:t>
            </w:r>
          </w:hyperlink>
        </w:p>
        <w:p>
          <w:pPr>
            <w:pStyle w:val="TOC2"/>
            <w:tabs>
              <w:tab w:val="clear" w:pos="900"/>
              <w:tab w:val="clear" w:pos="9350"/>
              <w:tab w:val="right" w:pos="9025" w:leader="dot"/>
            </w:tabs>
            <w:rPr/>
          </w:pPr>
          <w:hyperlink w:anchor="__RefHeading___Toc18907_2870252334">
            <w:r>
              <w:rPr>
                <w:webHidden/>
                <w:rStyle w:val="IndexLink"/>
              </w:rPr>
              <w:t>5.3 Product and rating</w:t>
              <w:tab/>
              <w:t>16</w:t>
            </w:r>
          </w:hyperlink>
        </w:p>
        <w:p>
          <w:pPr>
            <w:pStyle w:val="TOC2"/>
            <w:tabs>
              <w:tab w:val="clear" w:pos="900"/>
              <w:tab w:val="clear" w:pos="9350"/>
              <w:tab w:val="right" w:pos="9025" w:leader="dot"/>
            </w:tabs>
            <w:rPr/>
          </w:pPr>
          <w:hyperlink w:anchor="__RefHeading___Toc18909_2870252334">
            <w:r>
              <w:rPr>
                <w:webHidden/>
                <w:rStyle w:val="IndexLink"/>
              </w:rPr>
              <w:t>5.4 Sales and quotation</w:t>
              <w:tab/>
              <w:t>17</w:t>
            </w:r>
          </w:hyperlink>
        </w:p>
        <w:p>
          <w:pPr>
            <w:pStyle w:val="TOC2"/>
            <w:tabs>
              <w:tab w:val="clear" w:pos="900"/>
              <w:tab w:val="clear" w:pos="9350"/>
              <w:tab w:val="right" w:pos="9025" w:leader="dot"/>
            </w:tabs>
            <w:rPr/>
          </w:pPr>
          <w:hyperlink w:anchor="__RefHeading___Toc18911_2870252334">
            <w:r>
              <w:rPr>
                <w:webHidden/>
                <w:rStyle w:val="IndexLink"/>
              </w:rPr>
              <w:t>5.5 Placement</w:t>
              <w:tab/>
              <w:t>18</w:t>
            </w:r>
          </w:hyperlink>
        </w:p>
        <w:p>
          <w:pPr>
            <w:pStyle w:val="TOC2"/>
            <w:tabs>
              <w:tab w:val="clear" w:pos="900"/>
              <w:tab w:val="clear" w:pos="9350"/>
              <w:tab w:val="right" w:pos="9025" w:leader="dot"/>
            </w:tabs>
            <w:rPr/>
          </w:pPr>
          <w:hyperlink w:anchor="__RefHeading___Toc18913_2870252334">
            <w:r>
              <w:rPr>
                <w:webHidden/>
                <w:rStyle w:val="IndexLink"/>
              </w:rPr>
              <w:t>5.6 Policy and endorsement</w:t>
              <w:tab/>
              <w:t>18</w:t>
            </w:r>
          </w:hyperlink>
        </w:p>
        <w:p>
          <w:pPr>
            <w:pStyle w:val="TOC2"/>
            <w:tabs>
              <w:tab w:val="clear" w:pos="900"/>
              <w:tab w:val="clear" w:pos="9350"/>
              <w:tab w:val="right" w:pos="9025" w:leader="dot"/>
            </w:tabs>
            <w:rPr/>
          </w:pPr>
          <w:hyperlink w:anchor="__RefHeading___Toc18915_2870252334">
            <w:r>
              <w:rPr>
                <w:webHidden/>
                <w:rStyle w:val="IndexLink"/>
              </w:rPr>
              <w:t>5.7 Billing, receipts and payments</w:t>
              <w:tab/>
              <w:t>19</w:t>
            </w:r>
          </w:hyperlink>
        </w:p>
        <w:p>
          <w:pPr>
            <w:pStyle w:val="TOC2"/>
            <w:tabs>
              <w:tab w:val="clear" w:pos="900"/>
              <w:tab w:val="clear" w:pos="9350"/>
              <w:tab w:val="right" w:pos="9025" w:leader="dot"/>
            </w:tabs>
            <w:rPr/>
          </w:pPr>
          <w:hyperlink w:anchor="__RefHeading___Toc18917_2870252334">
            <w:r>
              <w:rPr>
                <w:webHidden/>
                <w:rStyle w:val="IndexLink"/>
              </w:rPr>
              <w:t>5.8 Remittance and insurer accounting</w:t>
              <w:tab/>
              <w:t>20</w:t>
            </w:r>
          </w:hyperlink>
        </w:p>
        <w:p>
          <w:pPr>
            <w:pStyle w:val="TOC2"/>
            <w:tabs>
              <w:tab w:val="clear" w:pos="900"/>
              <w:tab w:val="clear" w:pos="9350"/>
              <w:tab w:val="right" w:pos="9025" w:leader="dot"/>
            </w:tabs>
            <w:rPr/>
          </w:pPr>
          <w:hyperlink w:anchor="__RefHeading___Toc18919_2870252334">
            <w:r>
              <w:rPr>
                <w:webHidden/>
                <w:rStyle w:val="IndexLink"/>
              </w:rPr>
              <w:t>5.9 Commission</w:t>
              <w:tab/>
              <w:t>21</w:t>
            </w:r>
          </w:hyperlink>
        </w:p>
        <w:p>
          <w:pPr>
            <w:pStyle w:val="TOC2"/>
            <w:tabs>
              <w:tab w:val="clear" w:pos="900"/>
              <w:tab w:val="clear" w:pos="9350"/>
              <w:tab w:val="right" w:pos="9025" w:leader="dot"/>
            </w:tabs>
            <w:rPr/>
          </w:pPr>
          <w:hyperlink w:anchor="__RefHeading___Toc18921_2870252334">
            <w:r>
              <w:rPr>
                <w:webHidden/>
                <w:rStyle w:val="IndexLink"/>
              </w:rPr>
              <w:t>5.10 Claims</w:t>
              <w:tab/>
              <w:t>22</w:t>
            </w:r>
          </w:hyperlink>
        </w:p>
        <w:p>
          <w:pPr>
            <w:pStyle w:val="TOC2"/>
            <w:tabs>
              <w:tab w:val="clear" w:pos="900"/>
              <w:tab w:val="clear" w:pos="9350"/>
              <w:tab w:val="right" w:pos="9025" w:leader="dot"/>
            </w:tabs>
            <w:rPr/>
          </w:pPr>
          <w:hyperlink w:anchor="__RefHeading___Toc18923_2870252334">
            <w:r>
              <w:rPr>
                <w:webHidden/>
                <w:rStyle w:val="IndexLink"/>
              </w:rPr>
              <w:t>5.11 Renewals</w:t>
              <w:tab/>
              <w:t>22</w:t>
            </w:r>
          </w:hyperlink>
        </w:p>
        <w:p>
          <w:pPr>
            <w:pStyle w:val="TOC2"/>
            <w:tabs>
              <w:tab w:val="clear" w:pos="900"/>
              <w:tab w:val="clear" w:pos="9350"/>
              <w:tab w:val="right" w:pos="9025" w:leader="dot"/>
            </w:tabs>
            <w:rPr/>
          </w:pPr>
          <w:hyperlink w:anchor="__RefHeading___Toc18925_2870252334">
            <w:r>
              <w:rPr>
                <w:webHidden/>
                <w:rStyle w:val="IndexLink"/>
              </w:rPr>
              <w:t>5.12 General ledger and period end</w:t>
              <w:tab/>
              <w:t>23</w:t>
            </w:r>
          </w:hyperlink>
        </w:p>
        <w:p>
          <w:pPr>
            <w:pStyle w:val="TOC2"/>
            <w:tabs>
              <w:tab w:val="clear" w:pos="900"/>
              <w:tab w:val="clear" w:pos="9350"/>
              <w:tab w:val="right" w:pos="9025" w:leader="dot"/>
            </w:tabs>
            <w:rPr/>
          </w:pPr>
          <w:hyperlink w:anchor="__RefHeading___Toc18927_2870252334">
            <w:r>
              <w:rPr>
                <w:webHidden/>
                <w:rStyle w:val="IndexLink"/>
              </w:rPr>
              <w:t>5.13 Bank and insurer reconciliation</w:t>
              <w:tab/>
              <w:t>24</w:t>
            </w:r>
          </w:hyperlink>
        </w:p>
        <w:p>
          <w:pPr>
            <w:pStyle w:val="TOC2"/>
            <w:tabs>
              <w:tab w:val="clear" w:pos="900"/>
              <w:tab w:val="clear" w:pos="9350"/>
              <w:tab w:val="right" w:pos="9025" w:leader="dot"/>
            </w:tabs>
            <w:rPr/>
          </w:pPr>
          <w:hyperlink w:anchor="__RefHeading___Toc18929_2870252334">
            <w:r>
              <w:rPr>
                <w:webHidden/>
                <w:rStyle w:val="IndexLink"/>
              </w:rPr>
              <w:t>5.14 Credit control</w:t>
              <w:tab/>
              <w:t>24</w:t>
            </w:r>
          </w:hyperlink>
        </w:p>
        <w:p>
          <w:pPr>
            <w:pStyle w:val="TOC2"/>
            <w:tabs>
              <w:tab w:val="clear" w:pos="900"/>
              <w:tab w:val="clear" w:pos="9350"/>
              <w:tab w:val="right" w:pos="9025" w:leader="dot"/>
            </w:tabs>
            <w:rPr/>
          </w:pPr>
          <w:hyperlink w:anchor="__RefHeading___Toc18931_2870252334">
            <w:r>
              <w:rPr>
                <w:webHidden/>
                <w:rStyle w:val="IndexLink"/>
              </w:rPr>
              <w:t>5.15 Reinsurance</w:t>
              <w:tab/>
              <w:t>25</w:t>
            </w:r>
          </w:hyperlink>
        </w:p>
        <w:p>
          <w:pPr>
            <w:pStyle w:val="TOC2"/>
            <w:tabs>
              <w:tab w:val="clear" w:pos="900"/>
              <w:tab w:val="clear" w:pos="9350"/>
              <w:tab w:val="right" w:pos="9025" w:leader="dot"/>
            </w:tabs>
            <w:rPr/>
          </w:pPr>
          <w:hyperlink w:anchor="__RefHeading___Toc18933_2870252334">
            <w:r>
              <w:rPr>
                <w:webHidden/>
                <w:rStyle w:val="IndexLink"/>
              </w:rPr>
              <w:t>5.16 Incentives</w:t>
              <w:tab/>
              <w:t>26</w:t>
            </w:r>
          </w:hyperlink>
        </w:p>
        <w:p>
          <w:pPr>
            <w:pStyle w:val="TOC2"/>
            <w:tabs>
              <w:tab w:val="clear" w:pos="900"/>
              <w:tab w:val="clear" w:pos="9350"/>
              <w:tab w:val="right" w:pos="9025" w:leader="dot"/>
            </w:tabs>
            <w:rPr/>
          </w:pPr>
          <w:hyperlink w:anchor="__RefHeading___Toc18935_2870252334">
            <w:r>
              <w:rPr>
                <w:webHidden/>
                <w:rStyle w:val="IndexLink"/>
              </w:rPr>
              <w:t>5.17 Security and audit</w:t>
              <w:tab/>
              <w:t>26</w:t>
            </w:r>
          </w:hyperlink>
        </w:p>
        <w:p>
          <w:pPr>
            <w:pStyle w:val="TOC2"/>
            <w:tabs>
              <w:tab w:val="clear" w:pos="900"/>
              <w:tab w:val="clear" w:pos="9350"/>
              <w:tab w:val="right" w:pos="9025" w:leader="dot"/>
            </w:tabs>
            <w:rPr/>
          </w:pPr>
          <w:hyperlink w:anchor="__RefHeading___Toc18937_2870252334">
            <w:r>
              <w:rPr>
                <w:webHidden/>
                <w:rStyle w:val="IndexLink"/>
              </w:rPr>
              <w:t>5.18 Configuration and schedules</w:t>
              <w:tab/>
              <w:t>26</w:t>
            </w:r>
          </w:hyperlink>
        </w:p>
        <w:p>
          <w:pPr>
            <w:pStyle w:val="TOC2"/>
            <w:tabs>
              <w:tab w:val="clear" w:pos="900"/>
              <w:tab w:val="clear" w:pos="9350"/>
              <w:tab w:val="right" w:pos="9025" w:leader="dot"/>
            </w:tabs>
            <w:rPr/>
          </w:pPr>
          <w:hyperlink w:anchor="__RefHeading___Toc18939_2870252334">
            <w:r>
              <w:rPr>
                <w:webHidden/>
                <w:rStyle w:val="IndexLink"/>
              </w:rPr>
              <w:t>5.19 Distribution and marketing</w:t>
              <w:tab/>
              <w:t>27</w:t>
            </w:r>
          </w:hyperlink>
        </w:p>
        <w:p>
          <w:pPr>
            <w:pStyle w:val="TOC2"/>
            <w:tabs>
              <w:tab w:val="clear" w:pos="900"/>
              <w:tab w:val="clear" w:pos="9350"/>
              <w:tab w:val="right" w:pos="9025" w:leader="dot"/>
            </w:tabs>
            <w:rPr/>
          </w:pPr>
          <w:hyperlink w:anchor="__RefHeading___Toc18941_2870252334">
            <w:r>
              <w:rPr>
                <w:webHidden/>
                <w:rStyle w:val="IndexLink"/>
              </w:rPr>
              <w:t>5.20 Fleet, marine and motor claims</w:t>
              <w:tab/>
              <w:t>28</w:t>
            </w:r>
          </w:hyperlink>
        </w:p>
        <w:p>
          <w:pPr>
            <w:pStyle w:val="TOC2"/>
            <w:tabs>
              <w:tab w:val="clear" w:pos="900"/>
              <w:tab w:val="clear" w:pos="9350"/>
              <w:tab w:val="right" w:pos="9025" w:leader="dot"/>
            </w:tabs>
            <w:rPr/>
          </w:pPr>
          <w:hyperlink w:anchor="__RefHeading___Toc18943_2870252334">
            <w:r>
              <w:rPr>
                <w:webHidden/>
                <w:rStyle w:val="IndexLink"/>
              </w:rPr>
              <w:t>5.21 Payables and fixed assets</w:t>
              <w:tab/>
              <w:t>29</w:t>
            </w:r>
          </w:hyperlink>
        </w:p>
        <w:p>
          <w:pPr>
            <w:pStyle w:val="TOC2"/>
            <w:tabs>
              <w:tab w:val="clear" w:pos="900"/>
              <w:tab w:val="clear" w:pos="9350"/>
              <w:tab w:val="right" w:pos="9025" w:leader="dot"/>
            </w:tabs>
            <w:rPr/>
          </w:pPr>
          <w:hyperlink w:anchor="__RefHeading___Toc18945_2870252334">
            <w:r>
              <w:rPr>
                <w:webHidden/>
                <w:rStyle w:val="IndexLink"/>
              </w:rPr>
              <w:t>5.22 BIR returns and invoicing</w:t>
              <w:tab/>
              <w:t>29</w:t>
            </w:r>
          </w:hyperlink>
        </w:p>
        <w:p>
          <w:pPr>
            <w:pStyle w:val="TOC2"/>
            <w:tabs>
              <w:tab w:val="clear" w:pos="900"/>
              <w:tab w:val="clear" w:pos="9350"/>
              <w:tab w:val="right" w:pos="9025" w:leader="dot"/>
            </w:tabs>
            <w:rPr/>
          </w:pPr>
          <w:hyperlink w:anchor="__RefHeading___Toc18947_2870252334">
            <w:r>
              <w:rPr>
                <w:webHidden/>
                <w:rStyle w:val="IndexLink"/>
              </w:rPr>
              <w:t>5.23 Compliance</w:t>
              <w:tab/>
              <w:t>30</w:t>
            </w:r>
          </w:hyperlink>
        </w:p>
        <w:p>
          <w:pPr>
            <w:pStyle w:val="TOC2"/>
            <w:tabs>
              <w:tab w:val="clear" w:pos="900"/>
              <w:tab w:val="clear" w:pos="9350"/>
              <w:tab w:val="right" w:pos="9025" w:leader="dot"/>
            </w:tabs>
            <w:rPr/>
          </w:pPr>
          <w:hyperlink w:anchor="__RefHeading___Toc18949_2870252334">
            <w:r>
              <w:rPr>
                <w:webHidden/>
                <w:rStyle w:val="IndexLink"/>
              </w:rPr>
              <w:t>5.24 Integrations</w:t>
              <w:tab/>
              <w:t>31</w:t>
            </w:r>
          </w:hyperlink>
        </w:p>
        <w:p>
          <w:pPr>
            <w:pStyle w:val="TOC1"/>
            <w:tabs>
              <w:tab w:val="clear" w:pos="900"/>
              <w:tab w:val="clear" w:pos="9350"/>
              <w:tab w:val="right" w:pos="9025" w:leader="dot"/>
            </w:tabs>
            <w:rPr/>
          </w:pPr>
          <w:hyperlink w:anchor="__RefHeading___Toc18951_2870252334">
            <w:r>
              <w:rPr>
                <w:webHidden/>
                <w:rStyle w:val="IndexLink"/>
              </w:rPr>
              <w:t>6. Status lifecycles</w:t>
              <w:tab/>
              <w:t>32</w:t>
            </w:r>
          </w:hyperlink>
        </w:p>
        <w:p>
          <w:pPr>
            <w:pStyle w:val="TOC2"/>
            <w:tabs>
              <w:tab w:val="clear" w:pos="900"/>
              <w:tab w:val="clear" w:pos="9350"/>
              <w:tab w:val="right" w:pos="9025" w:leader="dot"/>
            </w:tabs>
            <w:rPr/>
          </w:pPr>
          <w:hyperlink w:anchor="__RefHeading___Toc18953_2870252334">
            <w:r>
              <w:rPr>
                <w:webHidden/>
                <w:rStyle w:val="IndexLink"/>
              </w:rPr>
              <w:t>6.1 Sales, placement and policy</w:t>
              <w:tab/>
              <w:t>32</w:t>
            </w:r>
          </w:hyperlink>
        </w:p>
        <w:p>
          <w:pPr>
            <w:pStyle w:val="TOC2"/>
            <w:tabs>
              <w:tab w:val="clear" w:pos="900"/>
              <w:tab w:val="clear" w:pos="9350"/>
              <w:tab w:val="right" w:pos="9025" w:leader="dot"/>
            </w:tabs>
            <w:rPr/>
          </w:pPr>
          <w:hyperlink w:anchor="__RefHeading___Toc18955_2870252334">
            <w:r>
              <w:rPr>
                <w:webHidden/>
                <w:rStyle w:val="IndexLink"/>
              </w:rPr>
              <w:t>6.2 Money and accounting</w:t>
              <w:tab/>
              <w:t>32</w:t>
            </w:r>
          </w:hyperlink>
        </w:p>
        <w:p>
          <w:pPr>
            <w:pStyle w:val="TOC2"/>
            <w:tabs>
              <w:tab w:val="clear" w:pos="900"/>
              <w:tab w:val="clear" w:pos="9350"/>
              <w:tab w:val="right" w:pos="9025" w:leader="dot"/>
            </w:tabs>
            <w:rPr/>
          </w:pPr>
          <w:hyperlink w:anchor="__RefHeading___Toc18957_2870252334">
            <w:r>
              <w:rPr>
                <w:webHidden/>
                <w:rStyle w:val="IndexLink"/>
              </w:rPr>
              <w:t>6.3 Claims, renewals and other areas</w:t>
              <w:tab/>
              <w:t>33</w:t>
            </w:r>
          </w:hyperlink>
        </w:p>
        <w:p>
          <w:pPr>
            <w:pStyle w:val="TOC1"/>
            <w:tabs>
              <w:tab w:val="clear" w:pos="900"/>
              <w:tab w:val="clear" w:pos="9350"/>
              <w:tab w:val="right" w:pos="9025" w:leader="dot"/>
            </w:tabs>
            <w:rPr/>
          </w:pPr>
          <w:hyperlink w:anchor="__RefHeading___Toc18959_2870252334">
            <w:r>
              <w:rPr>
                <w:webHidden/>
                <w:rStyle w:val="IndexLink"/>
              </w:rPr>
              <w:t>7. Personal data and retention</w:t>
              <w:tab/>
              <w:t>35</w:t>
            </w:r>
          </w:hyperlink>
        </w:p>
        <w:p>
          <w:pPr>
            <w:pStyle w:val="TOC2"/>
            <w:tabs>
              <w:tab w:val="clear" w:pos="900"/>
              <w:tab w:val="clear" w:pos="9350"/>
              <w:tab w:val="right" w:pos="9025" w:leader="dot"/>
            </w:tabs>
            <w:rPr/>
          </w:pPr>
          <w:hyperlink w:anchor="__RefHeading___Toc18961_2870252334">
            <w:r>
              <w:rPr>
                <w:webHidden/>
                <w:rStyle w:val="IndexLink"/>
              </w:rPr>
              <w:t>7.1 Personal data under the Data Privacy Act</w:t>
              <w:tab/>
              <w:t>35</w:t>
            </w:r>
          </w:hyperlink>
        </w:p>
        <w:p>
          <w:pPr>
            <w:pStyle w:val="TOC2"/>
            <w:tabs>
              <w:tab w:val="clear" w:pos="900"/>
              <w:tab w:val="clear" w:pos="9350"/>
              <w:tab w:val="right" w:pos="9025" w:leader="dot"/>
            </w:tabs>
            <w:rPr/>
          </w:pPr>
          <w:hyperlink w:anchor="__RefHeading___Toc18963_2870252334">
            <w:r>
              <w:rPr>
                <w:webHidden/>
                <w:rStyle w:val="IndexLink"/>
              </w:rPr>
              <w:t>7.2 Tables and columns holding personal data</w:t>
              <w:tab/>
              <w:t>35</w:t>
            </w:r>
          </w:hyperlink>
        </w:p>
        <w:p>
          <w:pPr>
            <w:pStyle w:val="TOC2"/>
            <w:tabs>
              <w:tab w:val="clear" w:pos="900"/>
              <w:tab w:val="clear" w:pos="9350"/>
              <w:tab w:val="right" w:pos="9025" w:leader="dot"/>
            </w:tabs>
            <w:rPr/>
          </w:pPr>
          <w:hyperlink w:anchor="__RefHeading___Toc18965_2870252334">
            <w:r>
              <w:rPr>
                <w:webHidden/>
                <w:rStyle w:val="IndexLink"/>
              </w:rPr>
              <w:t>7.3 Protection in the database</w:t>
              <w:tab/>
              <w:t>39</w:t>
            </w:r>
          </w:hyperlink>
        </w:p>
        <w:p>
          <w:pPr>
            <w:pStyle w:val="TOC2"/>
            <w:tabs>
              <w:tab w:val="clear" w:pos="900"/>
              <w:tab w:val="clear" w:pos="9350"/>
              <w:tab w:val="right" w:pos="9025" w:leader="dot"/>
            </w:tabs>
            <w:rPr/>
          </w:pPr>
          <w:hyperlink w:anchor="__RefHeading___Toc18967_2870252334">
            <w:r>
              <w:rPr>
                <w:webHidden/>
                <w:rStyle w:val="IndexLink"/>
              </w:rPr>
              <w:t>7.4 Retention</w:t>
              <w:tab/>
              <w:t>39</w:t>
            </w:r>
          </w:hyperlink>
        </w:p>
        <w:p>
          <w:pPr>
            <w:pStyle w:val="TOC1"/>
            <w:tabs>
              <w:tab w:val="clear" w:pos="900"/>
              <w:tab w:val="clear" w:pos="9350"/>
              <w:tab w:val="right" w:pos="9025" w:leader="dot"/>
            </w:tabs>
            <w:rPr/>
          </w:pPr>
          <w:hyperlink w:anchor="__RefHeading___Toc18969_2870252334">
            <w:r>
              <w:rPr>
                <w:webHidden/>
                <w:rStyle w:val="IndexLink"/>
              </w:rPr>
              <w:t>8. Appendix A: Table list</w:t>
              <w:tab/>
              <w:t>41</w:t>
            </w:r>
          </w:hyperlink>
        </w:p>
        <w:p>
          <w:pPr>
            <w:pStyle w:val="TOC2"/>
            <w:tabs>
              <w:tab w:val="clear" w:pos="900"/>
              <w:tab w:val="clear" w:pos="9350"/>
              <w:tab w:val="right" w:pos="9025" w:leader="dot"/>
            </w:tabs>
            <w:rPr/>
          </w:pPr>
          <w:hyperlink w:anchor="__RefHeading___Toc18971_2870252334">
            <w:r>
              <w:rPr>
                <w:webHidden/>
                <w:rStyle w:val="IndexLink"/>
              </w:rPr>
              <w:t>8.1 Party and client</w:t>
              <w:tab/>
              <w:t>41</w:t>
            </w:r>
          </w:hyperlink>
        </w:p>
        <w:p>
          <w:pPr>
            <w:pStyle w:val="TOC2"/>
            <w:tabs>
              <w:tab w:val="clear" w:pos="900"/>
              <w:tab w:val="clear" w:pos="9350"/>
              <w:tab w:val="right" w:pos="9025" w:leader="dot"/>
            </w:tabs>
            <w:rPr/>
          </w:pPr>
          <w:hyperlink w:anchor="__RefHeading___Toc18973_2870252334">
            <w:r>
              <w:rPr>
                <w:webHidden/>
                <w:rStyle w:val="IndexLink"/>
              </w:rPr>
              <w:t>8.2 Product and rating</w:t>
              <w:tab/>
              <w:t>41</w:t>
            </w:r>
          </w:hyperlink>
        </w:p>
        <w:p>
          <w:pPr>
            <w:pStyle w:val="TOC2"/>
            <w:tabs>
              <w:tab w:val="clear" w:pos="900"/>
              <w:tab w:val="clear" w:pos="9350"/>
              <w:tab w:val="right" w:pos="9025" w:leader="dot"/>
            </w:tabs>
            <w:rPr/>
          </w:pPr>
          <w:hyperlink w:anchor="__RefHeading___Toc18975_2870252334">
            <w:r>
              <w:rPr>
                <w:webHidden/>
                <w:rStyle w:val="IndexLink"/>
              </w:rPr>
              <w:t>8.3 Sales and quotation</w:t>
              <w:tab/>
              <w:t>42</w:t>
            </w:r>
          </w:hyperlink>
        </w:p>
        <w:p>
          <w:pPr>
            <w:pStyle w:val="TOC2"/>
            <w:tabs>
              <w:tab w:val="clear" w:pos="900"/>
              <w:tab w:val="clear" w:pos="9350"/>
              <w:tab w:val="right" w:pos="9025" w:leader="dot"/>
            </w:tabs>
            <w:rPr/>
          </w:pPr>
          <w:hyperlink w:anchor="__RefHeading___Toc18977_2870252334">
            <w:r>
              <w:rPr>
                <w:webHidden/>
                <w:rStyle w:val="IndexLink"/>
              </w:rPr>
              <w:t>8.4 Placement</w:t>
              <w:tab/>
              <w:t>42</w:t>
            </w:r>
          </w:hyperlink>
        </w:p>
        <w:p>
          <w:pPr>
            <w:pStyle w:val="TOC2"/>
            <w:tabs>
              <w:tab w:val="clear" w:pos="900"/>
              <w:tab w:val="clear" w:pos="9350"/>
              <w:tab w:val="right" w:pos="9025" w:leader="dot"/>
            </w:tabs>
            <w:rPr/>
          </w:pPr>
          <w:hyperlink w:anchor="__RefHeading___Toc18979_2870252334">
            <w:r>
              <w:rPr>
                <w:webHidden/>
                <w:rStyle w:val="IndexLink"/>
              </w:rPr>
              <w:t>8.5 Policy and endorsement</w:t>
              <w:tab/>
              <w:t>42</w:t>
            </w:r>
          </w:hyperlink>
        </w:p>
        <w:p>
          <w:pPr>
            <w:pStyle w:val="TOC2"/>
            <w:tabs>
              <w:tab w:val="clear" w:pos="900"/>
              <w:tab w:val="clear" w:pos="9350"/>
              <w:tab w:val="right" w:pos="9025" w:leader="dot"/>
            </w:tabs>
            <w:rPr/>
          </w:pPr>
          <w:hyperlink w:anchor="__RefHeading___Toc18981_2870252334">
            <w:r>
              <w:rPr>
                <w:webHidden/>
                <w:rStyle w:val="IndexLink"/>
              </w:rPr>
              <w:t>8.6 Billing, receipts and payments</w:t>
              <w:tab/>
              <w:t>43</w:t>
            </w:r>
          </w:hyperlink>
        </w:p>
        <w:p>
          <w:pPr>
            <w:pStyle w:val="TOC2"/>
            <w:tabs>
              <w:tab w:val="clear" w:pos="900"/>
              <w:tab w:val="clear" w:pos="9350"/>
              <w:tab w:val="right" w:pos="9025" w:leader="dot"/>
            </w:tabs>
            <w:rPr/>
          </w:pPr>
          <w:hyperlink w:anchor="__RefHeading___Toc18983_2870252334">
            <w:r>
              <w:rPr>
                <w:webHidden/>
                <w:rStyle w:val="IndexLink"/>
              </w:rPr>
              <w:t>8.7 Remittance and insurer accounting</w:t>
              <w:tab/>
              <w:t>43</w:t>
            </w:r>
          </w:hyperlink>
        </w:p>
        <w:p>
          <w:pPr>
            <w:pStyle w:val="TOC2"/>
            <w:tabs>
              <w:tab w:val="clear" w:pos="900"/>
              <w:tab w:val="clear" w:pos="9350"/>
              <w:tab w:val="right" w:pos="9025" w:leader="dot"/>
            </w:tabs>
            <w:rPr/>
          </w:pPr>
          <w:hyperlink w:anchor="__RefHeading___Toc18985_2870252334">
            <w:r>
              <w:rPr>
                <w:webHidden/>
                <w:rStyle w:val="IndexLink"/>
              </w:rPr>
              <w:t>8.8 Commission</w:t>
              <w:tab/>
              <w:t>44</w:t>
            </w:r>
          </w:hyperlink>
        </w:p>
        <w:p>
          <w:pPr>
            <w:pStyle w:val="TOC2"/>
            <w:tabs>
              <w:tab w:val="clear" w:pos="900"/>
              <w:tab w:val="clear" w:pos="9350"/>
              <w:tab w:val="right" w:pos="9025" w:leader="dot"/>
            </w:tabs>
            <w:rPr/>
          </w:pPr>
          <w:hyperlink w:anchor="__RefHeading___Toc18987_2870252334">
            <w:r>
              <w:rPr>
                <w:webHidden/>
                <w:rStyle w:val="IndexLink"/>
              </w:rPr>
              <w:t>8.9 Claims</w:t>
              <w:tab/>
              <w:t>44</w:t>
            </w:r>
          </w:hyperlink>
        </w:p>
        <w:p>
          <w:pPr>
            <w:pStyle w:val="TOC2"/>
            <w:tabs>
              <w:tab w:val="clear" w:pos="900"/>
              <w:tab w:val="clear" w:pos="9350"/>
              <w:tab w:val="right" w:pos="9025" w:leader="dot"/>
            </w:tabs>
            <w:rPr/>
          </w:pPr>
          <w:hyperlink w:anchor="__RefHeading___Toc18989_2870252334">
            <w:r>
              <w:rPr>
                <w:webHidden/>
                <w:rStyle w:val="IndexLink"/>
              </w:rPr>
              <w:t>8.10 Renewals</w:t>
              <w:tab/>
              <w:t>44</w:t>
            </w:r>
          </w:hyperlink>
        </w:p>
        <w:p>
          <w:pPr>
            <w:pStyle w:val="TOC2"/>
            <w:tabs>
              <w:tab w:val="clear" w:pos="900"/>
              <w:tab w:val="clear" w:pos="9350"/>
              <w:tab w:val="right" w:pos="9025" w:leader="dot"/>
            </w:tabs>
            <w:rPr/>
          </w:pPr>
          <w:hyperlink w:anchor="__RefHeading___Toc18991_2870252334">
            <w:r>
              <w:rPr>
                <w:webHidden/>
                <w:rStyle w:val="IndexLink"/>
              </w:rPr>
              <w:t>8.11 General ledger and period end</w:t>
              <w:tab/>
              <w:t>44</w:t>
            </w:r>
          </w:hyperlink>
        </w:p>
        <w:p>
          <w:pPr>
            <w:pStyle w:val="TOC2"/>
            <w:tabs>
              <w:tab w:val="clear" w:pos="900"/>
              <w:tab w:val="clear" w:pos="9350"/>
              <w:tab w:val="right" w:pos="9025" w:leader="dot"/>
            </w:tabs>
            <w:rPr/>
          </w:pPr>
          <w:hyperlink w:anchor="__RefHeading___Toc18993_2870252334">
            <w:r>
              <w:rPr>
                <w:webHidden/>
                <w:rStyle w:val="IndexLink"/>
              </w:rPr>
              <w:t>8.12 Bank and insurer reconciliation</w:t>
              <w:tab/>
              <w:t>45</w:t>
            </w:r>
          </w:hyperlink>
        </w:p>
        <w:p>
          <w:pPr>
            <w:pStyle w:val="TOC2"/>
            <w:tabs>
              <w:tab w:val="clear" w:pos="900"/>
              <w:tab w:val="clear" w:pos="9350"/>
              <w:tab w:val="right" w:pos="9025" w:leader="dot"/>
            </w:tabs>
            <w:rPr/>
          </w:pPr>
          <w:hyperlink w:anchor="__RefHeading___Toc18995_2870252334">
            <w:r>
              <w:rPr>
                <w:webHidden/>
                <w:rStyle w:val="IndexLink"/>
              </w:rPr>
              <w:t>8.13 Credit control</w:t>
              <w:tab/>
              <w:t>46</w:t>
            </w:r>
          </w:hyperlink>
        </w:p>
        <w:p>
          <w:pPr>
            <w:pStyle w:val="TOC2"/>
            <w:tabs>
              <w:tab w:val="clear" w:pos="900"/>
              <w:tab w:val="clear" w:pos="9350"/>
              <w:tab w:val="right" w:pos="9025" w:leader="dot"/>
            </w:tabs>
            <w:rPr/>
          </w:pPr>
          <w:hyperlink w:anchor="__RefHeading___Toc18997_2870252334">
            <w:r>
              <w:rPr>
                <w:webHidden/>
                <w:rStyle w:val="IndexLink"/>
              </w:rPr>
              <w:t>8.14 Reinsurance</w:t>
              <w:tab/>
              <w:t>46</w:t>
            </w:r>
          </w:hyperlink>
        </w:p>
        <w:p>
          <w:pPr>
            <w:pStyle w:val="TOC2"/>
            <w:tabs>
              <w:tab w:val="clear" w:pos="900"/>
              <w:tab w:val="clear" w:pos="9350"/>
              <w:tab w:val="right" w:pos="9025" w:leader="dot"/>
            </w:tabs>
            <w:rPr/>
          </w:pPr>
          <w:hyperlink w:anchor="__RefHeading___Toc18999_2870252334">
            <w:r>
              <w:rPr>
                <w:webHidden/>
                <w:rStyle w:val="IndexLink"/>
              </w:rPr>
              <w:t>8.15 Incentives</w:t>
              <w:tab/>
              <w:t>46</w:t>
            </w:r>
          </w:hyperlink>
        </w:p>
        <w:p>
          <w:pPr>
            <w:pStyle w:val="TOC2"/>
            <w:tabs>
              <w:tab w:val="clear" w:pos="900"/>
              <w:tab w:val="clear" w:pos="9350"/>
              <w:tab w:val="right" w:pos="9025" w:leader="dot"/>
            </w:tabs>
            <w:rPr/>
          </w:pPr>
          <w:hyperlink w:anchor="__RefHeading___Toc19001_2870252334">
            <w:r>
              <w:rPr>
                <w:webHidden/>
                <w:rStyle w:val="IndexLink"/>
              </w:rPr>
              <w:t>8.16 Security and audit</w:t>
              <w:tab/>
              <w:t>47</w:t>
            </w:r>
          </w:hyperlink>
        </w:p>
        <w:p>
          <w:pPr>
            <w:pStyle w:val="TOC2"/>
            <w:tabs>
              <w:tab w:val="clear" w:pos="900"/>
              <w:tab w:val="clear" w:pos="9350"/>
              <w:tab w:val="right" w:pos="9025" w:leader="dot"/>
            </w:tabs>
            <w:rPr/>
          </w:pPr>
          <w:hyperlink w:anchor="__RefHeading___Toc19003_2870252334">
            <w:r>
              <w:rPr>
                <w:webHidden/>
                <w:rStyle w:val="IndexLink"/>
              </w:rPr>
              <w:t>8.17 Configuration and schedules</w:t>
              <w:tab/>
              <w:t>47</w:t>
            </w:r>
          </w:hyperlink>
        </w:p>
        <w:p>
          <w:pPr>
            <w:pStyle w:val="TOC2"/>
            <w:tabs>
              <w:tab w:val="clear" w:pos="900"/>
              <w:tab w:val="clear" w:pos="9350"/>
              <w:tab w:val="right" w:pos="9025" w:leader="dot"/>
            </w:tabs>
            <w:rPr/>
          </w:pPr>
          <w:hyperlink w:anchor="__RefHeading___Toc19005_2870252334">
            <w:r>
              <w:rPr>
                <w:webHidden/>
                <w:rStyle w:val="IndexLink"/>
              </w:rPr>
              <w:t>8.18 Distribution and marketing</w:t>
              <w:tab/>
              <w:t>48</w:t>
            </w:r>
          </w:hyperlink>
        </w:p>
        <w:p>
          <w:pPr>
            <w:pStyle w:val="TOC2"/>
            <w:tabs>
              <w:tab w:val="clear" w:pos="900"/>
              <w:tab w:val="clear" w:pos="9350"/>
              <w:tab w:val="right" w:pos="9025" w:leader="dot"/>
            </w:tabs>
            <w:rPr/>
          </w:pPr>
          <w:hyperlink w:anchor="__RefHeading___Toc19007_2870252334">
            <w:r>
              <w:rPr>
                <w:webHidden/>
                <w:rStyle w:val="IndexLink"/>
              </w:rPr>
              <w:t>8.19 Fleet, marine and motor claims</w:t>
              <w:tab/>
              <w:t>49</w:t>
            </w:r>
          </w:hyperlink>
        </w:p>
        <w:p>
          <w:pPr>
            <w:pStyle w:val="TOC2"/>
            <w:tabs>
              <w:tab w:val="clear" w:pos="900"/>
              <w:tab w:val="clear" w:pos="9350"/>
              <w:tab w:val="right" w:pos="9025" w:leader="dot"/>
            </w:tabs>
            <w:rPr/>
          </w:pPr>
          <w:hyperlink w:anchor="__RefHeading___Toc19009_2870252334">
            <w:r>
              <w:rPr>
                <w:webHidden/>
                <w:rStyle w:val="IndexLink"/>
              </w:rPr>
              <w:t>8.20 Payables and fixed assets</w:t>
              <w:tab/>
              <w:t>49</w:t>
            </w:r>
          </w:hyperlink>
        </w:p>
        <w:p>
          <w:pPr>
            <w:pStyle w:val="TOC2"/>
            <w:tabs>
              <w:tab w:val="clear" w:pos="900"/>
              <w:tab w:val="clear" w:pos="9350"/>
              <w:tab w:val="right" w:pos="9025" w:leader="dot"/>
            </w:tabs>
            <w:rPr/>
          </w:pPr>
          <w:hyperlink w:anchor="__RefHeading___Toc19011_2870252334">
            <w:r>
              <w:rPr>
                <w:webHidden/>
                <w:rStyle w:val="IndexLink"/>
              </w:rPr>
              <w:t>8.21 BIR returns and invoicing</w:t>
              <w:tab/>
              <w:t>49</w:t>
            </w:r>
          </w:hyperlink>
        </w:p>
        <w:p>
          <w:pPr>
            <w:pStyle w:val="TOC2"/>
            <w:tabs>
              <w:tab w:val="clear" w:pos="900"/>
              <w:tab w:val="clear" w:pos="9350"/>
              <w:tab w:val="right" w:pos="9025" w:leader="dot"/>
            </w:tabs>
            <w:rPr/>
          </w:pPr>
          <w:hyperlink w:anchor="__RefHeading___Toc19013_2870252334">
            <w:r>
              <w:rPr>
                <w:webHidden/>
                <w:rStyle w:val="IndexLink"/>
              </w:rPr>
              <w:t>8.22 Compliance</w:t>
              <w:tab/>
              <w:t>50</w:t>
            </w:r>
          </w:hyperlink>
        </w:p>
        <w:p>
          <w:pPr>
            <w:pStyle w:val="TOC2"/>
            <w:tabs>
              <w:tab w:val="clear" w:pos="900"/>
              <w:tab w:val="clear" w:pos="9350"/>
              <w:tab w:val="right" w:pos="9025" w:leader="dot"/>
            </w:tabs>
            <w:rPr/>
          </w:pPr>
          <w:hyperlink w:anchor="__RefHeading___Toc19015_2870252334">
            <w:r>
              <w:rPr>
                <w:webHidden/>
                <w:rStyle w:val="IndexLink"/>
              </w:rPr>
              <w:t>8.23 Integrations</w:t>
              <w:tab/>
              <w:t>50</w:t>
            </w:r>
          </w:hyperlink>
        </w:p>
        <w:p>
          <w:pPr>
            <w:pStyle w:val="TOC1"/>
            <w:tabs>
              <w:tab w:val="clear" w:pos="900"/>
              <w:tab w:val="clear" w:pos="9350"/>
              <w:tab w:val="right" w:pos="9025" w:leader="dot"/>
            </w:tabs>
            <w:rPr/>
          </w:pPr>
          <w:hyperlink w:anchor="__RefHeading___Toc19017_2870252334">
            <w:r>
              <w:rPr>
                <w:webHidden/>
                <w:rStyle w:val="IndexLink"/>
                <w:i w:val="false"/>
                <w:iCs w:val="false"/>
              </w:rPr>
              <w:t>9. Document Sign-Off</w:t>
            </w:r>
            <w:r>
              <w:rPr>
                <w:rStyle w:val="IndexLink"/>
              </w:rPr>
              <w:tab/>
              <w:t>52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869_28702523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(packages B and G merged; migrations to 0331, where 0330 and 0331 add a setting and a trigger and no table or column). Version 1.1: regenerated at migration 0322 (reference data only): Philippine geography, My Work, go-live workbench, AML/CFT, IC and NPC compliance, BIR, operations and accounting, distribution, integrations, e-signatures; encryption of personal identifiers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871_28702523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Accounts payable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873_2870252334"/>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18875_2870252334"/>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(151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0331_pii_client_identifiers.sql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among them the migrations of package B, Insurance Commission and data privacy compliance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and package G, sales activities, product covers in the quotation and fixed asset disposal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 xml:space="preserve">), both merged on 04 October 2026, and the two release verification migrations </w:t>
      </w:r>
      <w:r>
        <w:rPr>
          <w:rFonts w:eastAsia="Consolas" w:cs="Consolas" w:ascii="Consolas" w:hAnsi="Consolas"/>
          <w:color w:val="101820"/>
          <w:sz w:val="19"/>
        </w:rPr>
        <w:t>0330</w:t>
      </w:r>
      <w:r>
        <w:rPr>
          <w:rFonts w:eastAsia="Segoe UI" w:cs="Segoe UI" w:ascii="Segoe UI" w:hAnsi="Segoe UI"/>
          <w:color w:val="101820"/>
          <w:sz w:val="21"/>
        </w:rPr>
        <w:t xml:space="preserve"> (EIS outbox restart safety setting) and </w:t>
      </w:r>
      <w:r>
        <w:rPr>
          <w:rFonts w:eastAsia="Consolas" w:cs="Consolas" w:ascii="Consolas" w:hAnsi="Consolas"/>
          <w:color w:val="101820"/>
          <w:sz w:val="19"/>
        </w:rPr>
        <w:t>0331</w:t>
      </w:r>
      <w:r>
        <w:rPr>
          <w:rFonts w:eastAsia="Segoe UI" w:cs="Segoe UI" w:ascii="Segoe UI" w:hAnsi="Segoe UI"/>
          <w:color w:val="101820"/>
          <w:sz w:val="21"/>
        </w:rPr>
        <w:t xml:space="preserve"> (encryption of the client identifiers of the AML/CFT onboarding), which add no table or column;</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personal data catalogue of the client data masking tool (</w:t>
      </w:r>
      <w:r>
        <w:rPr>
          <w:rFonts w:eastAsia="Consolas" w:cs="Consolas" w:ascii="Consolas" w:hAnsi="Consolas"/>
          <w:color w:val="101820"/>
          <w:sz w:val="19"/>
        </w:rPr>
        <w:t>backend/scripts/lib/pii-catalogue.js</w:t>
      </w:r>
      <w:r>
        <w:rPr>
          <w:rFonts w:eastAsia="Segoe UI" w:cs="Segoe UI" w:ascii="Segoe UI" w:hAnsi="Segoe UI"/>
          <w:color w:val="101820"/>
          <w:sz w:val="21"/>
        </w:rPr>
        <w:t>) for the classification of personal data;</w:t>
      </w:r>
    </w:p>
    <w:p>
      <w:pPr>
        <w:pStyle w:val="Normal"/>
        <w:numPr>
          <w:ilvl w:val="0"/>
          <w:numId w:val="1"/>
        </w:numPr>
        <w:spacing w:before="0" w:after="60"/>
        <w:rPr/>
      </w:pPr>
      <w:r>
        <w:rPr>
          <w:rFonts w:eastAsia="Segoe UI" w:cs="Segoe UI" w:ascii="Segoe UI" w:hAnsi="Segoe UI"/>
          <w:color w:val="101820"/>
          <w:sz w:val="21"/>
        </w:rPr>
        <w:t>the catalogue of a new PostgreSQL database built on 04 October 2026 with all these migrations and the reference seed data only (</w:t>
      </w:r>
      <w:r>
        <w:rPr>
          <w:rFonts w:eastAsia="Consolas" w:cs="Consolas" w:ascii="Consolas" w:hAnsi="Consolas"/>
          <w:color w:val="101820"/>
          <w:sz w:val="19"/>
        </w:rPr>
        <w:t>SEED_SAMPLE_DATA=false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and in the workbook are those of the reference data a new database starts with: masters, the Philippine geography, settings, posting rules, number series, report definitions and jobs. Transaction tables are empty. They show what the broker receives out of the box, not production volumes.</w:t>
      </w:r>
    </w:p>
    <w:p>
      <w:pPr>
        <w:pStyle w:val="Normal"/>
        <w:spacing w:lineRule="auto" w:line="276" w:before="0" w:after="120"/>
        <w:rPr/>
      </w:pPr>
      <w:r>
        <w:rPr>
          <w:rFonts w:eastAsia="Segoe UI" w:cs="Segoe UI" w:ascii="Segoe UI" w:hAnsi="Segoe UI"/>
          <w:color w:val="101820"/>
          <w:sz w:val="21"/>
        </w:rPr>
        <w:t xml:space="preserve">The pipeline that regenerates the workbook and the generated parts of this document is in </w:t>
      </w:r>
      <w:r>
        <w:rPr>
          <w:rFonts w:eastAsia="Consolas" w:cs="Consolas" w:ascii="Consolas" w:hAnsi="Consolas"/>
          <w:color w:val="101820"/>
          <w:sz w:val="19"/>
        </w:rPr>
        <w:t>docs/package/tools/data-dictionary</w:t>
      </w:r>
      <w:r>
        <w:rPr>
          <w:rFonts w:eastAsia="Segoe UI" w:cs="Segoe UI" w:ascii="Segoe UI" w:hAnsi="Segoe UI"/>
          <w:color w:val="101820"/>
          <w:sz w:val="21"/>
        </w:rPr>
        <w:t xml:space="preserve"> (</w:t>
      </w:r>
      <w:r>
        <w:rPr>
          <w:rFonts w:eastAsia="Consolas" w:cs="Consolas" w:ascii="Consolas" w:hAnsi="Consolas"/>
          <w:color w:val="101820"/>
          <w:sz w:val="19"/>
        </w:rPr>
        <w:t>ddpaths.py</w:t>
      </w:r>
      <w:r>
        <w:rPr>
          <w:rFonts w:eastAsia="Segoe UI" w:cs="Segoe UI" w:ascii="Segoe UI" w:hAnsi="Segoe UI"/>
          <w:color w:val="101820"/>
          <w:sz w:val="21"/>
        </w:rPr>
        <w:t xml:space="preserve"> describes the steps). Migration numbers 0323 to 0329 are unused.</w:t>
      </w:r>
    </w:p>
    <w:p>
      <w:pPr>
        <w:pStyle w:val="Heading2"/>
        <w:rPr/>
      </w:pPr>
      <w:bookmarkStart w:id="8" w:name="__RefHeading___Toc18877_2870252334"/>
      <w:bookmarkEnd w:id="8"/>
      <w:r>
        <w:rPr>
          <w:rFonts w:eastAsia="Segoe UI" w:cs="Segoe UI"/>
          <w:b/>
          <w:color w:val="0F4761"/>
          <w:sz w:val="26"/>
        </w:rPr>
        <w:t>3.2  The companion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of reference data, number of columns, the migration that created it, retention class and whether it holds personal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(4,589 rows): position, data type, length or precision, nullable, default, primary key, foreign key target, uniqueness, personal data class, the migration that added it and a business description.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468 foreign keys: child and parent table and columns, delete and update rule, functional areas and whether an index supports the key.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901 indexes: kind, method, columns or expression and the condition of partial indexes.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659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18879_2870252334"/>
      <w:bookmarkEnd w:id="9"/>
      <w:r>
        <w:rPr>
          <w:rFonts w:eastAsia="Segoe UI" w:cs="Segoe UI"/>
          <w:b/>
          <w:color w:val="0F4761"/>
          <w:sz w:val="26"/>
        </w:rPr>
        <w:t>3.3  Database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(reference data only)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149 (0001_core.sql to 0322_quote_covers_and_risk_fields.sql)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4,548 in tables, 4,589 including the views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468 (369 no action, 77 cascade, 22 set null)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901 (260 primary keys, 180 further unique, 71 partial, 1 GIN)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390</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 keys in 64 groups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8,025 (reference data a new database starts with)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367 in 126 tables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Compared with issue 1.0 (migration 0216, loaded test database), the model grew by 93 tables. Migrations 0243 to 0322 add the areas Distribution and marketing, Fleet, marine and motor claims, Payables and fixed assets, BIR returns and invoicing, Compliance and Integrations, and tables in the existing areas (cover notes, post-dated cheques, claim documents, facultative reinsurance, override commission, KYC of juridical clients, go-live data load, My Work, e-signatures). Each is described below where it belongs.</w:t>
      </w:r>
      <w:r>
        <w:br w:type="page"/>
      </w:r>
    </w:p>
    <w:p>
      <w:pPr>
        <w:pStyle w:val="Heading1"/>
        <w:rPr/>
      </w:pPr>
      <w:bookmarkStart w:id="10" w:name="__RefHeading___Toc18881_2870252334"/>
      <w:bookmarkEnd w:id="10"/>
      <w:r>
        <w:rPr>
          <w:rFonts w:eastAsia="Segoe UI" w:cs="Segoe UI" w:ascii="Segoe UI" w:hAnsi="Segoe UI"/>
          <w:b/>
          <w:color w:val="0F4761"/>
          <w:sz w:val="32"/>
        </w:rPr>
        <w:t>4.  Conventions</w:t>
      </w:r>
    </w:p>
    <w:p>
      <w:pPr>
        <w:pStyle w:val="Heading2"/>
        <w:rPr/>
      </w:pPr>
      <w:bookmarkStart w:id="11" w:name="__RefHeading___Toc18883_2870252334"/>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18885_2870252334"/>
      <w:bookmarkEnd w:id="12"/>
      <w:r>
        <w:rPr>
          <w:rFonts w:eastAsia="Segoe UI" w:cs="Segoe UI"/>
          <w:b/>
          <w:color w:val="0F4761"/>
          <w:sz w:val="26"/>
        </w:rPr>
        <w:t>4.2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(103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(125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18887_2870252334"/>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310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102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the base currency of the Currency master (PHP); journal vouchers convert at the dated Exchange Rate in force on the voucher date.</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18889_2870252334"/>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(217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(590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18891_2870252334"/>
      <w:bookmarkEnd w:id="15"/>
      <w:r>
        <w:rPr>
          <w:rFonts w:eastAsia="Segoe UI" w:cs="Segoe UI"/>
          <w:b/>
          <w:color w:val="0F4761"/>
          <w:sz w:val="26"/>
        </w:rPr>
        <w:t>4.5  Audit columns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1"/>
        <w:gridCol w:w="908"/>
        <w:gridCol w:w="5706"/>
      </w:tblGrid>
      <w:tr>
        <w:trPr>
          <w:tblHeader w:val="true"/>
        </w:trPr>
        <w:tc>
          <w:tcPr>
            <w:tcW w:w="24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5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192</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157</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148</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18893_2870252334"/>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(171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18895_2870252334"/>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166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18897_2870252334"/>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468 foreign keys. 369 use no action: a referenced record cannot be deleted while it is used. 77 cascade: lines and histories that have no meaning without their parent (journal lines, receipt lines, claim history, renewal notices, role grants, match items). 22 set the reference to empty when the parent goes. 64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60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390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xml:space="preserve">, derive the normal balance of a GL account and mirror number series prefixes into settings. With package B, triggers on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leads</w:t>
      </w:r>
      <w:r>
        <w:rPr>
          <w:rFonts w:eastAsia="Segoe UI" w:cs="Segoe UI" w:ascii="Segoe UI" w:hAnsi="Segoe UI"/>
          <w:color w:val="101820"/>
          <w:sz w:val="21"/>
        </w:rPr>
        <w:t xml:space="preserve">, </w:t>
      </w:r>
      <w:r>
        <w:rPr>
          <w:rFonts w:eastAsia="Consolas" w:cs="Consolas" w:ascii="Consolas" w:hAnsi="Consolas"/>
          <w:color w:val="101820"/>
          <w:sz w:val="19"/>
        </w:rPr>
        <w:t>commission_referrers</w:t>
      </w:r>
      <w:r>
        <w:rPr>
          <w:rFonts w:eastAsia="Segoe UI" w:cs="Segoe UI" w:ascii="Segoe UI" w:hAnsi="Segoe UI"/>
          <w:color w:val="101820"/>
          <w:sz w:val="21"/>
        </w:rPr>
        <w:t xml:space="preserve">, </w:t>
      </w:r>
      <w:r>
        <w:rPr>
          <w:rFonts w:eastAsia="Consolas" w:cs="Consolas" w:ascii="Consolas" w:hAnsi="Consolas"/>
          <w:color w:val="101820"/>
          <w:sz w:val="19"/>
        </w:rPr>
        <w:t>bir_2307_certificates</w:t>
      </w:r>
      <w:r>
        <w:rPr>
          <w:rFonts w:eastAsia="Segoe UI" w:cs="Segoe UI" w:ascii="Segoe UI" w:hAnsi="Segoe UI"/>
          <w:color w:val="101820"/>
          <w:sz w:val="21"/>
        </w:rPr>
        <w:t xml:space="preserve">, the JSON documents of quotations, placements and policies and </w:t>
      </w:r>
      <w:r>
        <w:rPr>
          <w:rFonts w:eastAsia="Consolas" w:cs="Consolas" w:ascii="Consolas" w:hAnsi="Consolas"/>
          <w:color w:val="101820"/>
          <w:sz w:val="19"/>
        </w:rPr>
        <w:t>audit_log</w:t>
      </w:r>
      <w:r>
        <w:rPr>
          <w:rFonts w:eastAsia="Segoe UI" w:cs="Segoe UI" w:ascii="Segoe UI" w:hAnsi="Segoe UI"/>
          <w:color w:val="101820"/>
          <w:sz w:val="21"/>
        </w:rPr>
        <w:t xml:space="preserve"> encrypt personal identifiers before they are stored (chapter 6).</w:t>
      </w:r>
    </w:p>
    <w:p>
      <w:pPr>
        <w:pStyle w:val="Heading2"/>
        <w:rPr/>
      </w:pPr>
      <w:bookmarkStart w:id="19" w:name="__RefHeading___Toc18899_2870252334"/>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task is about (client, policy, claim, quotation, renewal, collection item).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record a message was sent or received for.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aml_report_items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transaction a monitoring rule raised an alert on (receipt, policy, claim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source_type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source_id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fee, override settlement or asset disposal invoiced.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owner_type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owner_id</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payee_type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signatory or a user; an insurer, referrer, client or supplier.</w:t>
            </w:r>
          </w:p>
        </w:tc>
      </w:tr>
    </w:tbl>
    <w:p>
      <w:pPr>
        <w:pStyle w:val="Heading1"/>
        <w:rPr/>
      </w:pPr>
      <w:r>
        <w:br w:type="page"/>
      </w:r>
      <w:bookmarkStart w:id="20" w:name="__RefHeading___Toc18901_2870252334"/>
      <w:bookmarkEnd w:id="20"/>
      <w:r>
        <w:rPr>
          <w:rFonts w:eastAsia="Segoe UI" w:cs="Segoe UI" w:ascii="Segoe UI" w:hAnsi="Segoe UI"/>
          <w:b/>
          <w:color w:val="0F4761"/>
          <w:sz w:val="32"/>
        </w:rPr>
        <w:t>5.  Data model by functional area</w:t>
      </w:r>
    </w:p>
    <w:p>
      <w:pPr>
        <w:pStyle w:val="Heading2"/>
        <w:rPr/>
      </w:pPr>
      <w:bookmarkStart w:id="21" w:name="__RefHeading___Toc18903_2870252334"/>
      <w:bookmarkEnd w:id="21"/>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9"/>
        <w:gridCol w:w="1162"/>
        <w:gridCol w:w="4653"/>
      </w:tblGrid>
      <w:tr>
        <w:trPr>
          <w:tblHeader w:val="true"/>
        </w:trPr>
        <w:tc>
          <w:tcPr>
            <w:tcW w:w="3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4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override_agreements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claim_document_items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data_load_batches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and marketing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marine and motor 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claim_repair_estimates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and fixed assets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r>
    </w:tbl>
    <w:p>
      <w:pPr>
        <w:pStyle w:val="Normal"/>
        <w:spacing w:before="0" w:after="80"/>
        <w:rPr/>
      </w:pPr>
      <w:r>
        <w:rPr/>
      </w:r>
    </w:p>
    <w:p>
      <w:pPr>
        <w:pStyle w:val="Heading2"/>
        <w:rPr/>
      </w:pPr>
      <w:bookmarkStart w:id="22" w:name="__RefHeading___Toc18905_2870252334"/>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regions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(provinces) → </w:t>
      </w:r>
      <w:r>
        <w:rPr>
          <w:rFonts w:eastAsia="Consolas" w:cs="Consolas" w:ascii="Consolas" w:hAnsi="Consolas"/>
          <w:color w:val="101820"/>
          <w:sz w:val="19"/>
        </w:rPr>
        <w:t>cities</w:t>
      </w:r>
      <w:r>
        <w:rPr>
          <w:rFonts w:eastAsia="Segoe UI" w:cs="Segoe UI" w:ascii="Segoe UI" w:hAnsi="Segoe UI"/>
          <w:color w:val="101820"/>
          <w:sz w:val="21"/>
        </w:rPr>
        <w:t xml:space="preserve"> (cities and municipalities) → </w:t>
      </w:r>
      <w:r>
        <w:rPr>
          <w:rFonts w:eastAsia="Consolas" w:cs="Consolas" w:ascii="Consolas" w:hAnsi="Consolas"/>
          <w:color w:val="101820"/>
          <w:sz w:val="19"/>
        </w:rPr>
        <w:t>districts</w:t>
      </w:r>
      <w:r>
        <w:rPr>
          <w:rFonts w:eastAsia="Segoe UI" w:cs="Segoe UI" w:ascii="Segoe UI" w:hAnsi="Segoe UI"/>
          <w:color w:val="101820"/>
          <w:sz w:val="21"/>
        </w:rPr>
        <w:t xml:space="preserve"> (barangays), and </w:t>
      </w:r>
      <w:r>
        <w:rPr>
          <w:rFonts w:eastAsia="Consolas" w:cs="Consolas" w:ascii="Consolas" w:hAnsi="Consolas"/>
          <w:color w:val="101820"/>
          <w:sz w:val="19"/>
        </w:rPr>
        <w:t>postal_codes</w:t>
      </w:r>
      <w:r>
        <w:rPr>
          <w:rFonts w:eastAsia="Segoe UI" w:cs="Segoe UI" w:ascii="Segoe UI" w:hAnsi="Segoe UI"/>
          <w:color w:val="101820"/>
          <w:sz w:val="21"/>
        </w:rPr>
        <w:t xml:space="preserve">, from the Philippine Standard Geographic Code, 2nd quarter 2026) feed the address fields. The table </w:t>
      </w:r>
      <w:r>
        <w:rPr>
          <w:rFonts w:eastAsia="Consolas" w:cs="Consolas" w:ascii="Consolas" w:hAnsi="Consolas"/>
          <w:color w:val="101820"/>
          <w:sz w:val="19"/>
        </w:rPr>
        <w:t>states</w:t>
      </w:r>
      <w:r>
        <w:rPr>
          <w:rFonts w:eastAsia="Segoe UI" w:cs="Segoe UI" w:ascii="Segoe UI" w:hAnsi="Segoe UI"/>
          <w:color w:val="101820"/>
          <w:sz w:val="21"/>
        </w:rPr>
        <w:t xml:space="preserve"> keeps its earlier name; every screen calls it Province. The full barangay list is an optional load (</w:t>
      </w:r>
      <w:r>
        <w:rPr>
          <w:rFonts w:eastAsia="Consolas" w:cs="Consolas" w:ascii="Consolas" w:hAnsi="Consolas"/>
          <w:color w:val="101820"/>
          <w:sz w:val="19"/>
        </w:rPr>
        <w:t>backend/scripts/load-barangays.js</w:t>
      </w:r>
      <w:r>
        <w:rPr>
          <w:rFonts w:eastAsia="Segoe UI" w:cs="Segoe UI" w:ascii="Segoe UI" w:hAnsi="Segoe UI"/>
          <w:color w:val="101820"/>
          <w:sz w:val="21"/>
        </w:rPr>
        <w:t>). A juridical client is onboarded with its signatories, beneficial owners and due diligence documents before its first policy (AML/CFT). Branches and signatories are printed 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regions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 (PSGC codes on regions, provinces, cities / municipalities and barangays).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and beneficial owners of a juridical client and the customer due diligence documents (AML/CFT onboarding).</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7"/>
        <w:gridCol w:w="1219"/>
        <w:gridCol w:w="3898"/>
      </w:tblGrid>
      <w:tr>
        <w:trPr>
          <w:tblHeader w:val="true"/>
        </w:trPr>
        <w:tc>
          <w:tcPr>
            <w:tcW w:w="3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barangay within a city.</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states.region_id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cities.region_id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regions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of a province and of a city or municipality (migration 0250).</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client_kyc_documents.client_id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records of a client.</w:t>
            </w:r>
          </w:p>
        </w:tc>
      </w:tr>
    </w:tbl>
    <w:p>
      <w:pPr>
        <w:pStyle w:val="Normal"/>
        <w:spacing w:before="0" w:after="80"/>
        <w:rPr/>
      </w:pPr>
      <w:r>
        <w:rPr/>
      </w:r>
    </w:p>
    <w:p>
      <w:pPr>
        <w:pStyle w:val="Heading2"/>
        <w:rPr/>
      </w:pPr>
      <w:bookmarkStart w:id="23" w:name="__RefHeading___Toc18907_2870252334"/>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305"/>
        <w:gridCol w:w="335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18909_2870252334"/>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2145"/>
        <w:gridCol w:w="34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18911_2870252334"/>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18"/>
        <w:gridCol w:w="1932"/>
        <w:gridCol w:w="3864"/>
      </w:tblGrid>
      <w:tr>
        <w:trPr>
          <w:tblHeader w:val="true"/>
        </w:trPr>
        <w:tc>
          <w:tcPr>
            <w:tcW w:w="3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18913_2870252334"/>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from a quotation or placement while the insurer's policy is pending; superseded by the policy.</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3"/>
        <w:gridCol w:w="2507"/>
        <w:gridCol w:w="3254"/>
      </w:tblGrid>
      <w:tr>
        <w:trPr>
          <w:tblHeader w:val="true"/>
        </w:trPr>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cover note and the policy that superseded it.</w:t>
            </w:r>
          </w:p>
        </w:tc>
      </w:tr>
    </w:tbl>
    <w:p>
      <w:pPr>
        <w:pStyle w:val="Normal"/>
        <w:spacing w:before="0" w:after="80"/>
        <w:rPr/>
      </w:pPr>
      <w:r>
        <w:rPr/>
      </w:r>
    </w:p>
    <w:p>
      <w:pPr>
        <w:pStyle w:val="Heading2"/>
        <w:rPr/>
      </w:pPr>
      <w:bookmarkStart w:id="27" w:name="__RefHeading___Toc18915_2870252334"/>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on hand against bills; depositing one on its date creates the official receipt.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replaced_by_id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post_dated_cheques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the cheque pays, receipt created on deposit, replacement cheque.</w:t>
            </w:r>
          </w:p>
        </w:tc>
      </w:tr>
    </w:tbl>
    <w:p>
      <w:pPr>
        <w:pStyle w:val="Normal"/>
        <w:spacing w:before="0" w:after="80"/>
        <w:rPr/>
      </w:pPr>
      <w:r>
        <w:rPr/>
      </w:r>
    </w:p>
    <w:p>
      <w:pPr>
        <w:pStyle w:val="Heading2"/>
        <w:rPr/>
      </w:pPr>
      <w:bookmarkStart w:id="28" w:name="__RefHeading___Toc18917_2870252334"/>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 items and approval requests (approval limits and delegations: </w:t>
            </w: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18919_2870252334"/>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override_agreement_tiers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 agreements and tiers, computed amounts (accrued) and settlements (invoiced and posted).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override_computations.agreement_id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override_settlements.computation_id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Computation under an agreement and its settlement.</w:t>
            </w:r>
          </w:p>
        </w:tc>
      </w:tr>
    </w:tbl>
    <w:p>
      <w:pPr>
        <w:pStyle w:val="Normal"/>
        <w:spacing w:before="0" w:after="80"/>
        <w:rPr/>
      </w:pPr>
      <w:r>
        <w:rPr/>
      </w:r>
    </w:p>
    <w:p>
      <w:pPr>
        <w:pStyle w:val="Heading2"/>
        <w:rPr/>
      </w:pPr>
      <w:bookmarkStart w:id="30" w:name="__RefHeading___Toc18921_2870252334"/>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checklist of a claim (copied from the checklist master) and the reminders sent for missing documents.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document of a claim and the file received.</w:t>
            </w:r>
          </w:p>
        </w:tc>
      </w:tr>
    </w:tbl>
    <w:p>
      <w:pPr>
        <w:pStyle w:val="Normal"/>
        <w:spacing w:before="0" w:after="80"/>
        <w:rPr/>
      </w:pPr>
      <w:r>
        <w:rPr/>
      </w:r>
    </w:p>
    <w:p>
      <w:pPr>
        <w:pStyle w:val="Heading2"/>
        <w:rPr/>
      </w:pPr>
      <w:bookmarkStart w:id="31" w:name="__RefHeading___Toc18923_2870252334"/>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7"/>
        <w:gridCol w:w="2699"/>
        <w:gridCol w:w="3158"/>
      </w:tblGrid>
      <w:tr>
        <w:trPr>
          <w:tblHeader w:val="true"/>
        </w:trPr>
        <w:tc>
          <w:tcPr>
            <w:tcW w:w="3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18925_2870252334"/>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0"/>
        <w:gridCol w:w="1713"/>
        <w:gridCol w:w="3651"/>
      </w:tblGrid>
      <w:tr>
        <w:trPr>
          <w:tblHeader w:val="true"/>
        </w:trPr>
        <w:tc>
          <w:tcPr>
            <w:tcW w:w="3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18927_2870252334"/>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18929_2870252334"/>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18931_2870252334"/>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fac_placement_shares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slips placed by the broker as reinsurance broker, the reinsurers' lines and the premium settlements.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fac_placements.cedant_id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Cedant offering the risk and the original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reinsurer on a slip.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fac_settlements.placement_id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share_id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fac_placement_shares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or paid and its journal.</w:t>
            </w:r>
          </w:p>
        </w:tc>
      </w:tr>
    </w:tbl>
    <w:p>
      <w:pPr>
        <w:pStyle w:val="Normal"/>
        <w:spacing w:before="0" w:after="80"/>
        <w:rPr/>
      </w:pPr>
      <w:r>
        <w:rPr/>
      </w:r>
    </w:p>
    <w:p>
      <w:pPr>
        <w:pStyle w:val="Heading2"/>
        <w:rPr/>
      </w:pPr>
      <w:bookmarkStart w:id="36" w:name="__RefHeading___Toc18933_2870252334"/>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18935_2870252334"/>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 </w:t>
      </w:r>
      <w:r>
        <w:rPr>
          <w:rFonts w:eastAsia="Consolas" w:cs="Consolas" w:ascii="Consolas" w:hAnsi="Consolas"/>
          <w:color w:val="101820"/>
          <w:sz w:val="19"/>
        </w:rPr>
        <w:t>audit_log.source</w:t>
      </w:r>
      <w:r>
        <w:rPr>
          <w:rFonts w:eastAsia="Segoe UI" w:cs="Segoe UI" w:ascii="Segoe UI" w:hAnsi="Segoe UI"/>
          <w:color w:val="101820"/>
          <w:sz w:val="21"/>
        </w:rPr>
        <w:t xml:space="preserve"> (migration 0247) tells whether a change came from a screen, a job, an import or a script. Eight roles are seeded, including the Compliance Officer (AML/CFT) of migration 0263; package B adds the permission </w:t>
      </w:r>
      <w:r>
        <w:rPr>
          <w:rFonts w:eastAsia="Consolas" w:cs="Consolas" w:ascii="Consolas" w:hAnsi="Consolas"/>
          <w:color w:val="101820"/>
          <w:sz w:val="19"/>
        </w:rPr>
        <w:t>view:pii</w:t>
      </w:r>
      <w:r>
        <w:rPr>
          <w:rFonts w:eastAsia="Segoe UI" w:cs="Segoe UI" w:ascii="Segoe UI" w:hAnsi="Segoe UI"/>
          <w:color w:val="101820"/>
          <w:sz w:val="21"/>
        </w:rPr>
        <w:t xml:space="preserve"> (full personal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7"/>
        <w:gridCol w:w="2984"/>
        <w:gridCol w:w="2984"/>
      </w:tblGrid>
      <w:tr>
        <w:trPr>
          <w:tblHeader w:val="true"/>
        </w:trPr>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18937_2870252334"/>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(659 keys in 64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Currencies with the base flag (exactly one base currency, locked once a journal exists) and decimals. Exchange rates come only from the dated Exchange Rate master; the old </w:t>
            </w:r>
            <w:r>
              <w:rPr>
                <w:rFonts w:eastAsia="Consolas" w:cs="Consolas" w:ascii="Consolas" w:hAnsi="Consolas"/>
                <w:color w:val="101820"/>
                <w:kern w:val="0"/>
                <w:sz w:val="16"/>
                <w:szCs w:val="24"/>
                <w:lang w:val="en-US" w:eastAsia="ja-JP" w:bidi="ar-SA"/>
              </w:rPr>
              <w:t>exchange_rate</w:t>
            </w:r>
            <w:r>
              <w:rPr>
                <w:rFonts w:eastAsia="Segoe UI" w:cs="Segoe UI" w:ascii="Segoe UI" w:hAnsi="Segoe UI"/>
                <w:color w:val="101820"/>
                <w:kern w:val="0"/>
                <w:sz w:val="18"/>
                <w:szCs w:val="24"/>
                <w:lang w:val="en-US" w:eastAsia="ja-JP" w:bidi="ar-SA"/>
              </w:rPr>
              <w:t xml:space="preserve"> column is kept for history and not read.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uploaded configuration and migration workbooks, their rows with validation results, and the environment comparison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Tasks and follow-ups of Operations &gt; My Work (due date, priority, reminder, related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images with consent and capture details, and which signature prints in which slot of which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designed in Reports &gt; Report Builder and the runs of the BI extract.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62"/>
        <w:gridCol w:w="2719"/>
        <w:gridCol w:w="3434"/>
      </w:tblGrid>
      <w:tr>
        <w:trPr>
          <w:tblHeader w:val="true"/>
        </w:trPr>
        <w:tc>
          <w:tcPr>
            <w:tcW w:w="2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data_load_rows.batch_id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of an uploaded workbook.</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document_signature_slots.signatory_id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signatory of a slot.</w:t>
            </w:r>
          </w:p>
        </w:tc>
      </w:tr>
    </w:tbl>
    <w:p>
      <w:pPr>
        <w:pStyle w:val="Normal"/>
        <w:spacing w:before="0" w:after="80"/>
        <w:rPr/>
      </w:pPr>
      <w:r>
        <w:rPr/>
      </w:r>
    </w:p>
    <w:p>
      <w:pPr>
        <w:pStyle w:val="Heading2"/>
        <w:rPr/>
      </w:pPr>
      <w:bookmarkStart w:id="39" w:name="__RefHeading___Toc18939_2870252334"/>
      <w:bookmarkEnd w:id="39"/>
      <w:r>
        <w:rPr>
          <w:rFonts w:eastAsia="Segoe UI" w:cs="Segoe UI"/>
          <w:b/>
          <w:color w:val="0F4761"/>
          <w:sz w:val="26"/>
        </w:rPr>
        <w:t>5.19  Distribution and marketing</w:t>
      </w:r>
    </w:p>
    <w:p>
      <w:pPr>
        <w:pStyle w:val="Normal"/>
        <w:spacing w:lineRule="auto" w:line="276" w:before="0" w:after="120"/>
        <w:rPr/>
      </w:pPr>
      <w:r>
        <w:rPr>
          <w:rFonts w:eastAsia="Segoe UI" w:cs="Segoe UI" w:ascii="Segoe UI" w:hAnsi="Segoe UI"/>
          <w:color w:val="101820"/>
          <w:sz w:val="21"/>
        </w:rPr>
        <w:t>New prospects are routed by lead assignment rules (branch, line of business, source, channel, territory) and every assignment is kept. Distribution channels hold dealer groups and branches, financing banks and affinity partners in one hierarchy; a channel can pay premiums through a client billing account. Brand-new vehicle dealer programmes set the insurer, rate and CTPL terms for the cars a dealer sells; dealer sales are uploaded in batches and become quotations or policies. Comparison reports present the insurer options to a client. Campaigns e-mail consenting clients and prospects in a segment; recipients are recorded with consent, result and opt-out. Package G adds the sales activity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 and every assignment or reassignment of a prospect.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hierarchy and the client account a channel is billed through.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 uploaded sales batches and each vehicle sold.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 their audience, e-mail template and recipients.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on a prospect, quotation or client (package G).</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lead_assignment_history.lead_id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rule_id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assigned and the rule that matched.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distribution_channels.parent_id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Parent channel, bank of a financing bank channel, referrer paid for the channel.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motor_programmes.dealer_channel_id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bank_channel_id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financing bank and insurer of a programme.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programme_id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 in a batch and the business created from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compared and the party it is for.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campaigns.segment_id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campaign_recipients.campaign_id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Audience and template of a campaign; its recipients.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sales_activities.task_id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task created in My Work for the next step.</w:t>
            </w:r>
          </w:p>
        </w:tc>
      </w:tr>
    </w:tbl>
    <w:p>
      <w:pPr>
        <w:pStyle w:val="Normal"/>
        <w:spacing w:before="0" w:after="80"/>
        <w:rPr/>
      </w:pPr>
      <w:r>
        <w:rPr/>
      </w:r>
    </w:p>
    <w:p>
      <w:pPr>
        <w:pStyle w:val="Heading2"/>
        <w:rPr/>
      </w:pPr>
      <w:bookmarkStart w:id="40" w:name="__RefHeading___Toc18941_2870252334"/>
      <w:bookmarkEnd w:id="40"/>
      <w:r>
        <w:rPr>
          <w:rFonts w:eastAsia="Segoe UI" w:cs="Segoe UI"/>
          <w:b/>
          <w:color w:val="0F4761"/>
          <w:sz w:val="26"/>
        </w:rPr>
        <w:t>5.20  Fleet, marine and motor claims</w:t>
      </w:r>
    </w:p>
    <w:p>
      <w:pPr>
        <w:pStyle w:val="Normal"/>
        <w:spacing w:lineRule="auto" w:line="276" w:before="0" w:after="120"/>
        <w:rPr/>
      </w:pPr>
      <w:r>
        <w:rPr>
          <w:rFonts w:eastAsia="Segoe UI" w:cs="Segoe UI" w:ascii="Segoe UI" w:hAnsi="Segoe UI"/>
          <w:color w:val="101820"/>
          <w:sz w:val="21"/>
        </w:rPr>
        <w:t>A fleet schedule puts many vehicles of a client under one motor policy; vehicles are added and removed by endorsement. A marine open cover is the contract of a client with an insurer for its shipments; certificates are issued per shipment and declared monthly, and each declaration is billed. Motor claim repairs record the repair shop's estimates and their approval, the letter of authority to the shop and the release of the repaired vehicle.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Fleets and their vehicles with premium, additions and deletions.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cover contracts, certificates per shipment and monthly declarations.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and vehicle releases of a motor claim.</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distribution_channels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policy and channel of a fleet.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fleet_vehicles.fleet_id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added_endorsement_id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deleted_endorsement_id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of a fleet and the endorsements that added or removed it.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open_cover_certificates.open_cover_id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declaration_id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under a cover and the declaration that reported it.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open_cover_declarations.receivable_id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of a declaration.</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claim_vehicle_releases.loa_id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records of a claim.</w:t>
            </w:r>
          </w:p>
        </w:tc>
      </w:tr>
    </w:tbl>
    <w:p>
      <w:pPr>
        <w:pStyle w:val="Normal"/>
        <w:spacing w:before="0" w:after="80"/>
        <w:rPr/>
      </w:pPr>
      <w:r>
        <w:rPr/>
      </w:r>
    </w:p>
    <w:p>
      <w:pPr>
        <w:pStyle w:val="Heading2"/>
        <w:rPr/>
      </w:pPr>
      <w:bookmarkStart w:id="41" w:name="__RefHeading___Toc18943_2870252334"/>
      <w:bookmarkEnd w:id="41"/>
      <w:r>
        <w:rPr>
          <w:rFonts w:eastAsia="Segoe UI" w:cs="Segoe UI"/>
          <w:b/>
          <w:color w:val="0F4761"/>
          <w:sz w:val="26"/>
        </w:rPr>
        <w:t>5.21  Payables and fixed assets</w:t>
      </w:r>
    </w:p>
    <w:p>
      <w:pPr>
        <w:pStyle w:val="Normal"/>
        <w:spacing w:lineRule="auto" w:line="276" w:before="0" w:after="120"/>
        <w:rPr/>
      </w:pPr>
      <w:r>
        <w:rPr>
          <w:rFonts w:eastAsia="Segoe UI" w:cs="Segoe UI" w:ascii="Segoe UI" w:hAnsi="Segoe UI"/>
          <w:color w:val="101820"/>
          <w:sz w:val="21"/>
        </w:rPr>
        <w:t xml:space="preserve">The accounts payable sub-ledger holds supplier invoices with input VAT and expanded withholding tax, approved by maker-checker and posted through rule </w:t>
      </w:r>
      <w:r>
        <w:rPr>
          <w:rFonts w:eastAsia="Consolas" w:cs="Consolas" w:ascii="Consolas" w:hAnsi="Consolas"/>
          <w:color w:val="101820"/>
          <w:sz w:val="19"/>
        </w:rPr>
        <w:t>ap.invoice</w:t>
      </w:r>
      <w:r>
        <w:rPr>
          <w:rFonts w:eastAsia="Segoe UI" w:cs="Segoe UI" w:ascii="Segoe UI" w:hAnsi="Segoe UI"/>
          <w:color w:val="101820"/>
          <w:sz w:val="21"/>
        </w:rPr>
        <w:t>, and supplier payments allocated to the invoices they settle (</w:t>
      </w:r>
      <w:r>
        <w:rPr>
          <w:rFonts w:eastAsia="Consolas" w:cs="Consolas" w:ascii="Consolas" w:hAnsi="Consolas"/>
          <w:color w:val="101820"/>
          <w:sz w:val="19"/>
        </w:rPr>
        <w:t>ap.payment</w:t>
      </w:r>
      <w:r>
        <w:rPr>
          <w:rFonts w:eastAsia="Segoe UI" w:cs="Segoe UI" w:ascii="Segoe UI" w:hAnsi="Segoe UI"/>
          <w:color w:val="101820"/>
          <w:sz w:val="21"/>
        </w:rPr>
        <w:t>). The fixed asset register depreciates each asset straight-line and posts the monthly depreciation (</w:t>
      </w:r>
      <w:r>
        <w:rPr>
          <w:rFonts w:eastAsia="Consolas" w:cs="Consolas" w:ascii="Consolas" w:hAnsi="Consolas"/>
          <w:color w:val="101820"/>
          <w:sz w:val="19"/>
        </w:rPr>
        <w:t>fa.depreciation</w:t>
      </w:r>
      <w:r>
        <w:rPr>
          <w:rFonts w:eastAsia="Segoe UI" w:cs="Segoe UI" w:ascii="Segoe UI" w:hAnsi="Segoe UI"/>
          <w:color w:val="101820"/>
          <w:sz w:val="21"/>
        </w:rPr>
        <w:t>); package G adds the disposal by sale or write-off with the gain or loss (</w:t>
      </w:r>
      <w:r>
        <w:rPr>
          <w:rFonts w:eastAsia="Consolas" w:cs="Consolas" w:ascii="Consolas" w:hAnsi="Consolas"/>
          <w:color w:val="101820"/>
          <w:sz w:val="19"/>
        </w:rPr>
        <w:t>fa.disposal</w:t>
      </w:r>
      <w:r>
        <w:rPr>
          <w:rFonts w:eastAsia="Segoe UI" w:cs="Segoe UI" w:ascii="Segoe UI" w:hAnsi="Segoe UI"/>
          <w:color w:val="101820"/>
          <w:sz w:val="21"/>
        </w:rPr>
        <w:t>). Suppliers are generic master records of type supplier.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supplier_invoice_lines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and their expense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to suppliers and their allocation to invoices.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register, monthly depreciation and disposals.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1"/>
        <w:gridCol w:w="3090"/>
        <w:gridCol w:w="2834"/>
      </w:tblGrid>
      <w:tr>
        <w:trPr>
          <w:tblHeader w:val="true"/>
        </w:trPr>
        <w:tc>
          <w:tcPr>
            <w:tcW w:w="3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supplier_invoices.supplier_id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and the journal posted on approval.</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supplier_payment_allocations.payment_id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supplier_invoices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a payment applied to an invoice.</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fixed_assets.supplier_invoice_id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the asset was bought on.</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fixed_asset_depreciation.asset_id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Depreciation of a month and its journal.</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fixed_asset_disposals.asset_id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Disposal, its sales invoice and journal.</w:t>
            </w:r>
          </w:p>
        </w:tc>
      </w:tr>
    </w:tbl>
    <w:p>
      <w:pPr>
        <w:pStyle w:val="Normal"/>
        <w:spacing w:before="0" w:after="80"/>
        <w:rPr/>
      </w:pPr>
      <w:r>
        <w:rPr/>
      </w:r>
    </w:p>
    <w:p>
      <w:pPr>
        <w:pStyle w:val="Heading2"/>
        <w:rPr/>
      </w:pPr>
      <w:bookmarkStart w:id="42" w:name="__RefHeading___Toc18945_2870252334"/>
      <w:bookmarkEnd w:id="42"/>
      <w:r>
        <w:rPr>
          <w:rFonts w:eastAsia="Segoe UI" w:cs="Segoe UI"/>
          <w:b/>
          <w:color w:val="0F4761"/>
          <w:sz w:val="26"/>
        </w:rPr>
        <w:t>5.22  BIR returns and invoicing</w:t>
      </w:r>
    </w:p>
    <w:p>
      <w:pPr>
        <w:pStyle w:val="Normal"/>
        <w:spacing w:lineRule="auto" w:line="276" w:before="0" w:after="120"/>
        <w:rPr/>
      </w:pPr>
      <w:r>
        <w:rPr>
          <w:rFonts w:eastAsia="Segoe UI" w:cs="Segoe UI" w:ascii="Segoe UI" w:hAnsi="Segoe UI"/>
          <w:color w:val="101820"/>
          <w:sz w:val="21"/>
        </w:rPr>
        <w:t xml:space="preserve">The figures of the withholding and percentage tax returns (0619-E, 1601-EQ, 1604-E with its alphalist DAT files, 2551Q) are computed live from the ledger and the BIR Form 2307 certificates; </w:t>
      </w:r>
      <w:r>
        <w:rPr>
          <w:rFonts w:eastAsia="Consolas" w:cs="Consolas" w:ascii="Consolas" w:hAnsi="Consolas"/>
          <w:color w:val="101820"/>
          <w:sz w:val="19"/>
        </w:rPr>
        <w:t>bir_return_filings</w:t>
      </w:r>
      <w:r>
        <w:rPr>
          <w:rFonts w:eastAsia="Segoe UI" w:cs="Segoe UI" w:ascii="Segoe UI" w:hAnsi="Segoe UI"/>
          <w:color w:val="101820"/>
          <w:sz w:val="21"/>
        </w:rPr>
        <w:t xml:space="preserve"> records each filing with its reference, payment and any amended return. Sales invoices under the Ease of Paying Taxes Act are the broker's primary documents for commission, fees and override commission; every invoice and cancellation is queued for the BIR Electronic Invoicing System. The CAS registration pack prints the loose-leaf books with running page numbers.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Filing record of each return period and 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their lines and the payments received.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E-invoice submissions to the EIS with status, attempts and reply.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cas_book_prints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printed per period with page ranges.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70"/>
        <w:gridCol w:w="1713"/>
        <w:gridCol w:w="3531"/>
      </w:tblGrid>
      <w:tr>
        <w:trPr>
          <w:tblHeader w:val="true"/>
        </w:trPr>
        <w:tc>
          <w:tcPr>
            <w:tcW w:w="3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bir_return_filings.supersedes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Amended return replacing an earlier filing.</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sales_invoice_lines.invoice_id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sales_invoice_payments.invoice_id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and payments of an invoice.</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eis_submissions.invoice_id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Submission of an invoice or its cancellation.</w:t>
            </w:r>
          </w:p>
        </w:tc>
      </w:tr>
    </w:tbl>
    <w:p>
      <w:pPr>
        <w:pStyle w:val="Normal"/>
        <w:spacing w:before="0" w:after="80"/>
        <w:rPr/>
      </w:pPr>
      <w:r>
        <w:rPr/>
      </w:r>
    </w:p>
    <w:p>
      <w:pPr>
        <w:pStyle w:val="Heading2"/>
        <w:rPr/>
      </w:pPr>
      <w:bookmarkStart w:id="43" w:name="__RefHeading___Toc18947_2870252334"/>
      <w:bookmarkEnd w:id="43"/>
      <w:r>
        <w:rPr>
          <w:rFonts w:eastAsia="Segoe UI" w:cs="Segoe UI"/>
          <w:b/>
          <w:color w:val="0F4761"/>
          <w:sz w:val="26"/>
        </w:rPr>
        <w:t>5.23  Compliance</w:t>
      </w:r>
    </w:p>
    <w:p>
      <w:pPr>
        <w:pStyle w:val="Normal"/>
        <w:spacing w:lineRule="auto" w:line="276" w:before="0" w:after="120"/>
        <w:rPr/>
      </w:pPr>
      <w:r>
        <w:rPr>
          <w:rFonts w:eastAsia="Segoe UI" w:cs="Segoe UI" w:ascii="Segoe UI" w:hAnsi="Segoe UI"/>
          <w:color w:val="101820"/>
          <w:sz w:val="21"/>
        </w:rPr>
        <w:t xml:space="preserve">Compliance holds the AML/CFT records of the Compliance menu and, with package B, the Insurance Commission and data privacy registers. The customer risk rating scores each client with </w:t>
      </w:r>
      <w:r>
        <w:rPr>
          <w:rFonts w:eastAsia="Consolas" w:cs="Consolas" w:ascii="Consolas" w:hAnsi="Consolas"/>
          <w:color w:val="101820"/>
          <w:sz w:val="19"/>
        </w:rPr>
        <w:t>aml_risk_factors</w:t>
      </w:r>
      <w:r>
        <w:rPr>
          <w:rFonts w:eastAsia="Segoe UI" w:cs="Segoe UI" w:ascii="Segoe UI" w:hAnsi="Segoe UI"/>
          <w:color w:val="101820"/>
          <w:sz w:val="21"/>
        </w:rPr>
        <w:t xml:space="preserve">; high-risk clients need an enhanced due diligence review. Parties are screened against the lists loaded in </w:t>
      </w:r>
      <w:r>
        <w:rPr>
          <w:rFonts w:eastAsia="Consolas" w:cs="Consolas" w:ascii="Consolas" w:hAnsi="Consolas"/>
          <w:color w:val="101820"/>
          <w:sz w:val="19"/>
        </w:rPr>
        <w:t>aml_screening_lists</w:t>
      </w:r>
      <w:r>
        <w:rPr>
          <w:rFonts w:eastAsia="Segoe UI" w:cs="Segoe UI" w:ascii="Segoe UI" w:hAnsi="Segoe UI"/>
          <w:color w:val="101820"/>
          <w:sz w:val="21"/>
        </w:rPr>
        <w:t xml:space="preserve"> (or a commercial provider); potential matches are cleared or confirmed. Monitoring rules raise alerts on covered and suspicious transactions; the compliance officer works them in cases and generates the AMLC report files. The licence register blocks payouts to referrers whose licence has lapsed, fit and proper records cover officers and staff, complaints follow the RA 11765 deadlines and the breach register follows the NPC 72-hour notification. Consents and data subject requests (migration 0221) are part of this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aml_risk_factors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aml_risk_assessments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aml_edd_reviews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scoring table, every rating made and enhanced due diligence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aml_list_versions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their loaded versions and names.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aml_screening_hits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aml_provider_requests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runs, potential matches and requests to a screening provider.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aml_alerts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rules, alerts and case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aml_report_items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files in the AMLC layout and the transactions in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compliance_licence_reminders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with expiry reminders; fit and proper records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GL accounts to the lines of the IC annual statement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and its deadline reminders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and its notification reminders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per purpose and the register of data subject requests.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aml_edd_reviews.assessment_id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aml_risk_assessments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of a client and the EDD it triggered.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aml_screening_hits.screening_id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aml_list_entries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found by a screening and the case it was escalated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aml_alerts.rule_code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 of a rule on a client's transaction and its case.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aml_report_items.report_id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alert_id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aml_alerts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reported in a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compliance_licences.referrer_id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superseded_by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of a referrer and the licence that renewed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Subject of a complaint.</w:t>
            </w:r>
          </w:p>
        </w:tc>
      </w:tr>
    </w:tbl>
    <w:p>
      <w:pPr>
        <w:pStyle w:val="Normal"/>
        <w:spacing w:before="0" w:after="80"/>
        <w:rPr/>
      </w:pPr>
      <w:r>
        <w:rPr/>
      </w:r>
    </w:p>
    <w:p>
      <w:pPr>
        <w:pStyle w:val="Heading2"/>
        <w:rPr/>
      </w:pPr>
      <w:bookmarkStart w:id="44" w:name="__RefHeading___Toc18949_2870252334"/>
      <w:bookmarkEnd w:id="44"/>
      <w:r>
        <w:rPr>
          <w:rFonts w:eastAsia="Segoe UI" w:cs="Segoe UI"/>
          <w:b/>
          <w:color w:val="0F4761"/>
          <w:sz w:val="26"/>
        </w:rPr>
        <w:t>5.24  Integrations</w:t>
      </w:r>
    </w:p>
    <w:p>
      <w:pPr>
        <w:pStyle w:val="Normal"/>
        <w:spacing w:lineRule="auto" w:line="276" w:before="0" w:after="120"/>
        <w:rPr/>
      </w:pPr>
      <w:r>
        <w:rPr>
          <w:rFonts w:eastAsia="Segoe UI" w:cs="Segoe UI" w:ascii="Segoe UI" w:hAnsi="Segoe UI"/>
          <w:color w:val="101820"/>
          <w:sz w:val="21"/>
        </w:rPr>
        <w:t>Every connection to a third party goes through one framework: a connector (adapter, test or live mode, endpoint, names of the environment variables that hold the credentials), an outbox with retries and an attempt log, and an inbox for messages received. SMS and Viber texts come from message templates. CTPL covers are authenticated with a COC number from the insurer's series. Insurer API mappings say how a policy issuance request and the answers are mapped per insurer. Bank payment files pay a batch of vouchers in one bank upload with the layout of the bank.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messages to send, attempts and messages received.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templates per event.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number series and the authentication of each CTPL cover.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mapping per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 payee accounts, payment batches and their lines.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integration_outbox.connector_code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integration_attempts.outbox_id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of a connector and its 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ctpl_authentications.coc_series_id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allocated to a policy and the request sent.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connector_code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integration_connectors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the connector of its API.</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bank_payment_batches.layout_code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of the file and the message that delivered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paid in a batch and its journal.</w:t>
            </w:r>
          </w:p>
        </w:tc>
      </w:tr>
    </w:tbl>
    <w:p>
      <w:pPr>
        <w:pStyle w:val="Heading1"/>
        <w:rPr/>
      </w:pPr>
      <w:r>
        <w:br w:type="page"/>
      </w:r>
      <w:bookmarkStart w:id="45" w:name="__RefHeading___Toc18951_2870252334"/>
      <w:bookmarkEnd w:id="45"/>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6" w:name="__RefHeading___Toc18953_2870252334"/>
      <w:bookmarkEnd w:id="46"/>
      <w:r>
        <w:rPr>
          <w:rFonts w:eastAsia="Segoe UI" w:cs="Segoe UI"/>
          <w:b/>
          <w:color w:val="0F4761"/>
          <w:sz w:val="26"/>
        </w:rPr>
        <w:t>6.1  Sales, placement and policy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7" w:name="__RefHeading___Toc18955_2870252334"/>
      <w:bookmarkEnd w:id="47"/>
      <w:r>
        <w:rPr>
          <w:rFonts w:eastAsia="Segoe UI" w:cs="Segoe UI"/>
          <w:b/>
          <w:color w:val="0F4761"/>
          <w:sz w:val="26"/>
        </w:rPr>
        <w:t>6.2  Money and accounting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8" w:name="__RefHeading___Toc18957_2870252334"/>
      <w:bookmarkEnd w:id="48"/>
      <w:r>
        <w:rPr>
          <w:rFonts w:eastAsia="Segoe UI" w:cs="Segoe UI"/>
          <w:b/>
          <w:color w:val="0F4761"/>
          <w:sz w:val="26"/>
        </w:rPr>
        <w:t>6.3  Claims, renewals and other areas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w:t>
            </w:r>
            <w:r>
              <w:rPr>
                <w:rFonts w:eastAsia="Consolas" w:cs="Consolas" w:ascii="Consolas" w:hAnsi="Consolas"/>
                <w:color w:val="101820"/>
                <w:kern w:val="0"/>
                <w:sz w:val="16"/>
                <w:szCs w:val="24"/>
                <w:lang w:val="en-US" w:eastAsia="ja-JP" w:bidi="ar-SA"/>
              </w:rPr>
              <w:t>cover_notes.status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superseded (policy issued) or expired;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note expiry job sets expired.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w:t>
            </w:r>
            <w:r>
              <w:rPr>
                <w:rFonts w:eastAsia="Consolas" w:cs="Consolas" w:ascii="Consolas" w:hAnsi="Consolas"/>
                <w:color w:val="101820"/>
                <w:kern w:val="0"/>
                <w:sz w:val="16"/>
                <w:szCs w:val="24"/>
                <w:lang w:val="en-US" w:eastAsia="ja-JP" w:bidi="ar-SA"/>
              </w:rPr>
              <w:t>post_dated_cheques.status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on-hand → deposited → cleared; or bounced, replaced, returned,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Depositing creates the official receipt; nothing is posted while on hand.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w:t>
            </w:r>
            <w:r>
              <w:rPr>
                <w:rFonts w:eastAsia="Consolas" w:cs="Consolas" w:ascii="Consolas" w:hAnsi="Consolas"/>
                <w:color w:val="101820"/>
                <w:kern w:val="0"/>
                <w:sz w:val="16"/>
                <w:szCs w:val="24"/>
                <w:lang w:val="en-US" w:eastAsia="ja-JP" w:bidi="ar-SA"/>
              </w:rPr>
              <w:t>supplier_invoices.status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partially-paid → paid;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on approval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w:t>
            </w:r>
            <w:r>
              <w:rPr>
                <w:rFonts w:eastAsia="Consolas" w:cs="Consolas" w:ascii="Consolas" w:hAnsi="Consolas"/>
                <w:color w:val="101820"/>
                <w:kern w:val="0"/>
                <w:sz w:val="16"/>
                <w:szCs w:val="24"/>
                <w:lang w:val="en-US" w:eastAsia="ja-JP" w:bidi="ar-SA"/>
              </w:rPr>
              <w:t>fixed_assets.status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fully-depreciated or disposed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 (</w:t>
            </w:r>
            <w:r>
              <w:rPr>
                <w:rFonts w:eastAsia="Consolas" w:cs="Consolas" w:ascii="Consolas" w:hAnsi="Consolas"/>
                <w:color w:val="101820"/>
                <w:kern w:val="0"/>
                <w:sz w:val="16"/>
                <w:szCs w:val="24"/>
                <w:lang w:val="en-US" w:eastAsia="ja-JP" w:bidi="ar-SA"/>
              </w:rPr>
              <w:t>sales_invoices.status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submission: queued → sending → accepted; or rejected, failed, manual.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computation (</w:t>
            </w:r>
            <w:r>
              <w:rPr>
                <w:rFonts w:eastAsia="Consolas" w:cs="Consolas" w:ascii="Consolas" w:hAnsi="Consolas"/>
                <w:color w:val="101820"/>
                <w:kern w:val="0"/>
                <w:sz w:val="16"/>
                <w:szCs w:val="24"/>
                <w:lang w:val="en-US" w:eastAsia="ja-JP" w:bidi="ar-SA"/>
              </w:rPr>
              <w:t>override_computations.status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 partially_settled → settled;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slip (</w:t>
            </w:r>
            <w:r>
              <w:rPr>
                <w:rFonts w:eastAsia="Consolas" w:cs="Consolas" w:ascii="Consolas" w:hAnsi="Consolas"/>
                <w:color w:val="101820"/>
                <w:kern w:val="0"/>
                <w:sz w:val="16"/>
                <w:szCs w:val="24"/>
                <w:lang w:val="en-US" w:eastAsia="ja-JP" w:bidi="ar-SA"/>
              </w:rPr>
              <w:t>fac_placements.status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in-market → placed → bound →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 / open cover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draft → issued; or cancelled. Open cover: draft → active → expired;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batch (</w:t>
            </w:r>
            <w:r>
              <w:rPr>
                <w:rFonts w:eastAsia="Consolas" w:cs="Consolas" w:ascii="Consolas" w:hAnsi="Consolas"/>
                <w:color w:val="101820"/>
                <w:kern w:val="0"/>
                <w:sz w:val="16"/>
                <w:szCs w:val="24"/>
                <w:lang w:val="en-US" w:eastAsia="ja-JP" w:bidi="ar-SA"/>
              </w:rPr>
              <w:t>bank_payment_batches.status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file-generated → sent → completed;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message (</w:t>
            </w:r>
            <w:r>
              <w:rPr>
                <w:rFonts w:eastAsia="Consolas" w:cs="Consolas" w:ascii="Consolas" w:hAnsi="Consolas"/>
                <w:color w:val="101820"/>
                <w:kern w:val="0"/>
                <w:sz w:val="16"/>
                <w:szCs w:val="24"/>
                <w:lang w:val="en-US" w:eastAsia="ja-JP" w:bidi="ar-SA"/>
              </w:rPr>
              <w:t>integration_outbox.status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 processing → sent; or retry, failed, cancelled, skipped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w:t>
            </w:r>
            <w:r>
              <w:rPr>
                <w:rFonts w:eastAsia="Consolas" w:cs="Consolas" w:ascii="Consolas" w:hAnsi="Consolas"/>
                <w:color w:val="101820"/>
                <w:kern w:val="0"/>
                <w:sz w:val="16"/>
                <w:szCs w:val="24"/>
                <w:lang w:val="en-US" w:eastAsia="ja-JP" w:bidi="ar-SA"/>
              </w:rPr>
              <w:t>ctpl_authentications.status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requested → authenticated; or failed,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 (</w:t>
            </w:r>
            <w:r>
              <w:rPr>
                <w:rFonts w:eastAsia="Consolas" w:cs="Consolas" w:ascii="Consolas" w:hAnsi="Consolas"/>
                <w:color w:val="101820"/>
                <w:kern w:val="0"/>
                <w:sz w:val="16"/>
                <w:szCs w:val="24"/>
                <w:lang w:val="en-US" w:eastAsia="ja-JP" w:bidi="ar-SA"/>
              </w:rPr>
              <w:t>aml_cases.status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for-filing → filed →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 open → escalated → reported or closed. Screening hit: open → cleared, escalated or confirmed.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w:t>
            </w:r>
            <w:r>
              <w:rPr>
                <w:rFonts w:eastAsia="Consolas" w:cs="Consolas" w:ascii="Consolas" w:hAnsi="Consolas"/>
                <w:color w:val="101820"/>
                <w:kern w:val="0"/>
                <w:sz w:val="16"/>
                <w:szCs w:val="24"/>
                <w:lang w:val="en-US" w:eastAsia="ja-JP" w:bidi="ar-SA"/>
              </w:rPr>
              <w:t>complaints.status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 acknowledged → in-progress → resolved → closed; or escalated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w:t>
            </w:r>
            <w:r>
              <w:rPr>
                <w:rFonts w:eastAsia="Consolas" w:cs="Consolas" w:ascii="Consolas" w:hAnsi="Consolas"/>
                <w:color w:val="101820"/>
                <w:kern w:val="0"/>
                <w:sz w:val="16"/>
                <w:szCs w:val="24"/>
                <w:lang w:val="en-US" w:eastAsia="ja-JP" w:bidi="ar-SA"/>
              </w:rPr>
              <w:t>personal_data_breaches.status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assessed → notified →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workbook (</w:t>
            </w:r>
            <w:r>
              <w:rPr>
                <w:rFonts w:eastAsia="Consolas" w:cs="Consolas" w:ascii="Consolas" w:hAnsi="Consolas"/>
                <w:color w:val="101820"/>
                <w:kern w:val="0"/>
                <w:sz w:val="16"/>
                <w:szCs w:val="24"/>
                <w:lang w:val="en-US" w:eastAsia="ja-JP" w:bidi="ar-SA"/>
              </w:rPr>
              <w:t>data_load_batches.status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validated or failed → loaded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task (</w:t>
            </w:r>
            <w:r>
              <w:rPr>
                <w:rFonts w:eastAsia="Consolas" w:cs="Consolas" w:ascii="Consolas" w:hAnsi="Consolas"/>
                <w:color w:val="101820"/>
                <w:kern w:val="0"/>
                <w:sz w:val="16"/>
                <w:szCs w:val="24"/>
                <w:lang w:val="en-US" w:eastAsia="ja-JP" w:bidi="ar-SA"/>
              </w:rPr>
              <w:t>work_tasks.status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done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49" w:name="__RefHeading___Toc18959_2870252334"/>
      <w:bookmarkEnd w:id="49"/>
      <w:r>
        <w:rPr>
          <w:rFonts w:eastAsia="Segoe UI" w:cs="Segoe UI" w:ascii="Segoe UI" w:hAnsi="Segoe UI"/>
          <w:b/>
          <w:color w:val="0F4761"/>
          <w:sz w:val="32"/>
        </w:rPr>
        <w:t>7.  Personal data and retention</w:t>
      </w:r>
    </w:p>
    <w:p>
      <w:pPr>
        <w:pStyle w:val="Heading2"/>
        <w:rPr/>
      </w:pPr>
      <w:bookmarkStart w:id="50" w:name="__RefHeading___Toc18961_2870252334"/>
      <w:bookmarkEnd w:id="50"/>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beneficial owners and signatories of juridical clients, complainants, referrers, payees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7"/>
        <w:gridCol w:w="4803"/>
        <w:gridCol w:w="1004"/>
      </w:tblGrid>
      <w:tr>
        <w:trPr>
          <w:tblHeader w:val="true"/>
        </w:trPr>
        <w:tc>
          <w:tcPr>
            <w:tcW w:w="3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4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164</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from the column names, their use in the code and the personal data catalogue of the client data masking tool (</w:t>
      </w:r>
      <w:r>
        <w:rPr>
          <w:rFonts w:eastAsia="Consolas" w:cs="Consolas" w:ascii="Consolas" w:hAnsi="Consolas"/>
          <w:color w:val="101820"/>
          <w:sz w:val="19"/>
        </w:rPr>
        <w:t>backend/scripts/lib/pii-catalogue.js</w:t>
      </w:r>
      <w:r>
        <w:rPr>
          <w:rFonts w:eastAsia="Segoe UI" w:cs="Segoe UI" w:ascii="Segoe UI" w:hAnsi="Segoe UI"/>
          <w:color w:val="101820"/>
          <w:sz w:val="21"/>
        </w:rPr>
        <w:t>), which every new migration must complete (its test fails otherwise). The broker's Data Protection Officer should confirm it and record it in the register of processing activities.</w:t>
      </w:r>
    </w:p>
    <w:p>
      <w:pPr>
        <w:pStyle w:val="Heading2"/>
        <w:rPr/>
      </w:pPr>
      <w:bookmarkStart w:id="51" w:name="__RefHeading___Toc18963_2870252334"/>
      <w:bookmarkEnd w:id="51"/>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01"/>
        <w:gridCol w:w="5212"/>
      </w:tblGrid>
      <w:tr>
        <w:trPr>
          <w:tblHeader w:val="true"/>
        </w:trPr>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client_beneficial_owners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full_name, 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id_number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pep_details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client_kyc_documents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storage_key,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full_name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id_number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 middle_name, place_of_birth, employer_name, trade_name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 id_number, registration_number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 suffix, occupation, source_of_funds, pep_details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contact_person, contact_email, contact_phone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 location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 checkout_url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outcome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 attachment_name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approval_token_hash,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 remarks,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risk_details, doc,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attachment_key, attachment_name,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risk_description, conditions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 remarks, document_key, completion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 proof_file_name,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transaction_description,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 proof_file_name,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history</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agency_name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claims_note,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override_settlements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claim_document_reminders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recipient_email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bank_account, payee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 loss_city, loss_province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coverage_details, accessories, approval_note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lines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memo</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reopen_remarks,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flag_remarks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approval_remarks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commitment_reason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decision_remarks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cash_call, documents,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contact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 address_line, barangay, city, province, zip_code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date_of_birth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 errors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consent_ip</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 attachments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params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result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output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title, message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title, notes, completion_note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campaign_recipients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party_name, 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prepared_for, sent_to</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buyer_first_name, buyer_last_name, buyer_company_name, buyer_email, buyer_phone, buyer_address, conduction_sticker, plate_number, chassis_number, engine_number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address, contact_person, contact_email, contact_phone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claim_loas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adjuster_name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decision_remarks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claim_vehicle_releases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released_to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plate_number, conduction_sticker, chassis_number, engine_number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consignee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custodian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disposal_remarks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figures,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buyer_name, buyer_address, buyer_business_style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buyer_tin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aml_cases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narrative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aml_edd_reviews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source_of_wealth, source_of_funds, purpose, findings, decision_notes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aml_provider_requests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request,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amlc_notes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complainant_name, complainant_contact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resolution, escalation_reason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compliance_fit_proper</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person_name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declarations, review_notes,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holder_name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licence_number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 requester_contact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outcome, response_notes, actions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reported_by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assessment_notes, closure_notes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evidence, withdrawal_reason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account_number, account_name, 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file_content,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plate_number, chassis_number, engine_number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mv_file_number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integration_inbox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result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payee_bank_accounts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account_number, account_name, email</w:t>
            </w:r>
          </w:p>
        </w:tc>
      </w:tr>
    </w:tbl>
    <w:p>
      <w:pPr>
        <w:pStyle w:val="Normal"/>
        <w:spacing w:before="0" w:after="80"/>
        <w:rPr/>
      </w:pPr>
      <w:r>
        <w:rPr/>
      </w:r>
    </w:p>
    <w:p>
      <w:pPr>
        <w:pStyle w:val="Heading2"/>
        <w:rPr/>
      </w:pPr>
      <w:bookmarkStart w:id="52" w:name="__RefHeading___Toc18965_2870252334"/>
      <w:bookmarkEnd w:id="52"/>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 xml:space="preserve">With package B (migration 0277), TINs, government ID numbers and bank account numbers are encrypted in the database with the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(AES-256-CBC with an HMAC-SHA256 tag): </w:t>
      </w:r>
      <w:r>
        <w:rPr>
          <w:rFonts w:eastAsia="Consolas" w:cs="Consolas" w:ascii="Consolas" w:hAnsi="Consolas"/>
          <w:color w:val="101820"/>
          <w:sz w:val="19"/>
        </w:rPr>
        <w:t>clients.tin</w:t>
      </w:r>
      <w:r>
        <w:rPr>
          <w:rFonts w:eastAsia="Segoe UI" w:cs="Segoe UI" w:ascii="Segoe UI" w:hAnsi="Segoe UI"/>
          <w:color w:val="101820"/>
          <w:sz w:val="21"/>
        </w:rPr>
        <w:t xml:space="preserve">, </w:t>
      </w:r>
      <w:r>
        <w:rPr>
          <w:rFonts w:eastAsia="Consolas" w:cs="Consolas" w:ascii="Consolas" w:hAnsi="Consolas"/>
          <w:color w:val="101820"/>
          <w:sz w:val="19"/>
        </w:rPr>
        <w:t>leads.tax_number</w:t>
      </w:r>
      <w:r>
        <w:rPr>
          <w:rFonts w:eastAsia="Segoe UI" w:cs="Segoe UI" w:ascii="Segoe UI" w:hAnsi="Segoe UI"/>
          <w:color w:val="101820"/>
          <w:sz w:val="21"/>
        </w:rPr>
        <w:t xml:space="preserve">, </w:t>
      </w:r>
      <w:r>
        <w:rPr>
          <w:rFonts w:eastAsia="Consolas" w:cs="Consolas" w:ascii="Consolas" w:hAnsi="Consolas"/>
          <w:color w:val="101820"/>
          <w:sz w:val="19"/>
        </w:rPr>
        <w:t>commission_referrers.tin</w:t>
      </w:r>
      <w:r>
        <w:rPr>
          <w:rFonts w:eastAsia="Segoe UI" w:cs="Segoe UI" w:ascii="Segoe UI" w:hAnsi="Segoe UI"/>
          <w:color w:val="101820"/>
          <w:sz w:val="21"/>
        </w:rPr>
        <w:t xml:space="preserve"> and </w:t>
      </w:r>
      <w:r>
        <w:rPr>
          <w:rFonts w:eastAsia="Consolas" w:cs="Consolas" w:ascii="Consolas" w:hAnsi="Consolas"/>
          <w:color w:val="101820"/>
          <w:sz w:val="19"/>
        </w:rPr>
        <w:t>bank_account_no</w:t>
      </w:r>
      <w:r>
        <w:rPr>
          <w:rFonts w:eastAsia="Segoe UI" w:cs="Segoe UI" w:ascii="Segoe UI" w:hAnsi="Segoe UI"/>
          <w:color w:val="101820"/>
          <w:sz w:val="21"/>
        </w:rPr>
        <w:t xml:space="preserve">, </w:t>
      </w:r>
      <w:r>
        <w:rPr>
          <w:rFonts w:eastAsia="Consolas" w:cs="Consolas" w:ascii="Consolas" w:hAnsi="Consolas"/>
          <w:color w:val="101820"/>
          <w:sz w:val="19"/>
        </w:rPr>
        <w:t>bir_2307_certificates.payee_tin</w:t>
      </w:r>
      <w:r>
        <w:rPr>
          <w:rFonts w:eastAsia="Segoe UI" w:cs="Segoe UI" w:ascii="Segoe UI" w:hAnsi="Segoe UI"/>
          <w:color w:val="101820"/>
          <w:sz w:val="21"/>
        </w:rPr>
        <w:t>, and the identifier keys inside the JSON documents of clients, leads, quotations, placements, policies and the audit trail. Blind indexes (</w:t>
      </w:r>
      <w:r>
        <w:rPr>
          <w:rFonts w:eastAsia="Consolas" w:cs="Consolas" w:ascii="Consolas" w:hAnsi="Consolas"/>
          <w:color w:val="101820"/>
          <w:sz w:val="19"/>
        </w:rPr>
        <w:t>*_bidx</w:t>
      </w:r>
      <w:r>
        <w:rPr>
          <w:rFonts w:eastAsia="Segoe UI" w:cs="Segoe UI" w:ascii="Segoe UI" w:hAnsi="Segoe UI"/>
          <w:color w:val="101820"/>
          <w:sz w:val="21"/>
        </w:rPr>
        <w:t>, keyed HMAC) keep search by exact value. The keys reach the database as session settings of the API connections; a session without them cannot write a new identifier.</w:t>
      </w:r>
    </w:p>
    <w:p>
      <w:pPr>
        <w:pStyle w:val="Normal"/>
        <w:numPr>
          <w:ilvl w:val="0"/>
          <w:numId w:val="1"/>
        </w:numPr>
        <w:spacing w:before="0" w:after="60"/>
        <w:rPr/>
      </w:pPr>
      <w:r>
        <w:rPr>
          <w:rFonts w:eastAsia="Segoe UI" w:cs="Segoe UI" w:ascii="Segoe UI" w:hAnsi="Segoe UI"/>
          <w:color w:val="101820"/>
          <w:sz w:val="21"/>
        </w:rPr>
        <w:t xml:space="preserve">With package B (migration 0276), users without the permission </w:t>
      </w:r>
      <w:r>
        <w:rPr>
          <w:rFonts w:eastAsia="Consolas" w:cs="Consolas" w:ascii="Consolas" w:hAnsi="Consolas"/>
          <w:color w:val="101820"/>
          <w:sz w:val="19"/>
        </w:rPr>
        <w:t>view:pii</w:t>
      </w:r>
      <w:r>
        <w:rPr>
          <w:rFonts w:eastAsia="Segoe UI" w:cs="Segoe UI" w:ascii="Segoe UI" w:hAnsi="Segoe UI"/>
          <w:color w:val="101820"/>
          <w:sz w:val="21"/>
        </w:rPr>
        <w:t xml:space="preserve"> receive TIN, ID, mobile, e-mail, bank account and birth date values partially masked in every screen and export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privacy.pii_reveal_mode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Other columns are protected by database access control, encryption of the storage and of backups, and the application's permissions. See the Architecture, Infrastructure, Security and Privacy document.</w:t>
      </w:r>
    </w:p>
    <w:p>
      <w:pPr>
        <w:pStyle w:val="Heading2"/>
        <w:rPr/>
      </w:pPr>
      <w:bookmarkStart w:id="53" w:name="__RefHeading___Toc18967_2870252334"/>
      <w:bookmarkEnd w:id="53"/>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eastAsia="Consolas" w:cs="Consolas" w:ascii="Consolas" w:hAnsi="Consolas"/>
          <w:color w:val="101820"/>
          <w:sz w:val="19"/>
        </w:rPr>
        <w:t>clients.anonymised_at</w:t>
      </w:r>
      <w:r>
        <w:rPr>
          <w:rFonts w:eastAsia="Segoe UI" w:cs="Segoe UI" w:ascii="Segoe UI" w:hAnsi="Segoe UI"/>
          <w:color w:val="101820"/>
          <w:sz w:val="21"/>
        </w:rPr>
        <w:t xml:space="preserve">, </w:t>
      </w:r>
      <w:r>
        <w:rPr>
          <w:rFonts w:eastAsia="Consolas" w:cs="Consolas" w:ascii="Consolas" w:hAnsi="Consolas"/>
          <w:color w:val="101820"/>
          <w:sz w:val="19"/>
        </w:rPr>
        <w:t>leads.anonymised_at</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22"/>
        <w:gridCol w:w="2727"/>
        <w:gridCol w:w="2853"/>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1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7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8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0"/>
        <w:gridCol w:w="908"/>
        <w:gridCol w:w="6586"/>
      </w:tblGrid>
      <w:tr>
        <w:trPr>
          <w:tblHeader w:val="true"/>
        </w:trPr>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6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Erasure and blocking requests are handled from the data subject request register (Master &gt; Data Privacy &gt; Data Subject Requests): anonymisation is offered once </w:t>
      </w:r>
      <w:r>
        <w:rPr>
          <w:rFonts w:eastAsia="Consolas" w:cs="Consolas" w:ascii="Consolas" w:hAnsi="Consolas"/>
          <w:color w:val="101820"/>
          <w:sz w:val="18"/>
        </w:rPr>
        <w:t>privacy.retention_years</w:t>
      </w:r>
      <w:r>
        <w:rPr>
          <w:rFonts w:eastAsia="Segoe UI" w:cs="Segoe UI" w:ascii="Segoe UI" w:hAnsi="Segoe UI"/>
          <w:color w:val="101820"/>
          <w:sz w:val="20"/>
        </w:rPr>
        <w:t xml:space="preserve"> has passed, and the records that a statutory retention period still requires are kept.</w:t>
      </w:r>
      <w:r>
        <w:br w:type="page"/>
      </w:r>
    </w:p>
    <w:p>
      <w:pPr>
        <w:pStyle w:val="Heading1"/>
        <w:rPr/>
      </w:pPr>
      <w:bookmarkStart w:id="54" w:name="__RefHeading___Toc18969_2870252334"/>
      <w:bookmarkEnd w:id="54"/>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of reference data a new database starts with (transaction tables are empty). The columns of each table are in the workbook, sheet Columns.</w:t>
      </w:r>
    </w:p>
    <w:p>
      <w:pPr>
        <w:pStyle w:val="Heading2"/>
        <w:rPr/>
      </w:pPr>
      <w:bookmarkStart w:id="55" w:name="__RefHeading___Toc18971_2870252334"/>
      <w:bookmarkEnd w:id="55"/>
      <w:r>
        <w:rPr>
          <w:rFonts w:eastAsia="Segoe UI" w:cs="Segoe UI"/>
          <w:b/>
          <w:color w:val="0F4761"/>
          <w:sz w:val="26"/>
        </w:rPr>
        <w:t>8.1  Party and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6"/>
        <w:gridCol w:w="5221"/>
        <w:gridCol w:w="907"/>
      </w:tblGrid>
      <w:tr>
        <w:trPr>
          <w:tblHeader w:val="true"/>
        </w:trPr>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 (PSGC code, city class, ZIP code, region)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1,642</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client_beneficial_owners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persons who own or control a juridical client (beneficial owners)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client_kyc_documents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documents: IDs, registration certificates, board resolutions, EDD evidence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a juridical client with the board resolution or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Barangays (PSGC code) with postal code; master type Barangay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1,715</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1,846</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regions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regions (PSGC code), above Province (migration 0250)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(PSGC code, region); the table keeps its earlier name "states"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r>
    </w:tbl>
    <w:p>
      <w:pPr>
        <w:pStyle w:val="Normal"/>
        <w:spacing w:before="0" w:after="80"/>
        <w:rPr/>
      </w:pPr>
      <w:r>
        <w:rPr/>
      </w:r>
    </w:p>
    <w:p>
      <w:pPr>
        <w:pStyle w:val="Heading2"/>
        <w:rPr/>
      </w:pPr>
      <w:bookmarkStart w:id="56" w:name="__RefHeading___Toc18973_2870252334"/>
      <w:bookmarkEnd w:id="56"/>
      <w:r>
        <w:rPr>
          <w:rFonts w:eastAsia="Segoe UI" w:cs="Segoe UI"/>
          <w:b/>
          <w:color w:val="0F4761"/>
          <w:sz w:val="26"/>
        </w:rPr>
        <w:t>8.2  Product and rating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3"/>
        <w:gridCol w:w="5284"/>
        <w:gridCol w:w="907"/>
      </w:tblGrid>
      <w:tr>
        <w:trPr>
          <w:tblHeader w:val="true"/>
        </w:trPr>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7" w:name="__RefHeading___Toc18975_2870252334"/>
      <w:bookmarkEnd w:id="57"/>
      <w:r>
        <w:rPr>
          <w:rFonts w:eastAsia="Segoe UI" w:cs="Segoe UI"/>
          <w:b/>
          <w:color w:val="0F4761"/>
          <w:sz w:val="26"/>
        </w:rPr>
        <w:t>8.3  Sales and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8" w:name="__RefHeading___Toc18977_2870252334"/>
      <w:bookmarkEnd w:id="58"/>
      <w:r>
        <w:rPr>
          <w:rFonts w:eastAsia="Segoe UI" w:cs="Segoe UI"/>
          <w:b/>
          <w:color w:val="0F4761"/>
          <w:sz w:val="26"/>
        </w:rPr>
        <w:t>8.4  Placement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9"/>
        <w:gridCol w:w="5748"/>
        <w:gridCol w:w="907"/>
      </w:tblGrid>
      <w:tr>
        <w:trPr>
          <w:tblHeader w:val="true"/>
        </w:trPr>
        <w:tc>
          <w:tcPr>
            <w:tcW w:w="23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18979_2870252334"/>
      <w:bookmarkEnd w:id="59"/>
      <w:r>
        <w:rPr>
          <w:rFonts w:eastAsia="Segoe UI" w:cs="Segoe UI"/>
          <w:b/>
          <w:color w:val="0F4761"/>
          <w:sz w:val="26"/>
        </w:rPr>
        <w:t>8.5  Policy and endorsement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3"/>
        <w:gridCol w:w="5504"/>
        <w:gridCol w:w="907"/>
      </w:tblGrid>
      <w:tr>
        <w:trPr>
          <w:tblHeader w:val="true"/>
        </w:trPr>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while the insurer policy is pending: cover period, status, superseding policy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18981_2870252334"/>
      <w:bookmarkEnd w:id="60"/>
      <w:r>
        <w:rPr>
          <w:rFonts w:eastAsia="Segoe UI" w:cs="Segoe UI"/>
          <w:b/>
          <w:color w:val="0F4761"/>
          <w:sz w:val="26"/>
        </w:rPr>
        <w:t>8.6  Billing, receipts and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5143"/>
        <w:gridCol w:w="90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received against bills, kept until their date, deposited into an official receipt or returned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61" w:name="__RefHeading___Toc18983_2870252334"/>
      <w:bookmarkEnd w:id="61"/>
      <w:r>
        <w:rPr>
          <w:rFonts w:eastAsia="Segoe UI" w:cs="Segoe UI"/>
          <w:b/>
          <w:color w:val="0F4761"/>
          <w:sz w:val="26"/>
        </w:rPr>
        <w:t>8.7  Remittance and insurer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52"/>
        <w:gridCol w:w="4655"/>
        <w:gridCol w:w="907"/>
      </w:tblGrid>
      <w:tr>
        <w:trPr>
          <w:tblHeader w:val="true"/>
        </w:trPr>
        <w:tc>
          <w:tcPr>
            <w:tcW w:w="34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6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delegations (period, transaction types, amount limit)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18985_2870252334"/>
      <w:bookmarkEnd w:id="62"/>
      <w:r>
        <w:rPr>
          <w:rFonts w:eastAsia="Segoe UI" w:cs="Segoe UI"/>
          <w:b/>
          <w:color w:val="0F4761"/>
          <w:sz w:val="26"/>
        </w:rPr>
        <w:t>8.8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2"/>
        <w:gridCol w:w="5215"/>
        <w:gridCol w:w="907"/>
      </w:tblGrid>
      <w:tr>
        <w:trPr>
          <w:tblHeader w:val="true"/>
        </w:trPr>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override_agreement_tiers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Tiers of an override agreement: from and to value of the basis and the rate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agreements with insurers: basis, period,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commission computed for a period, accrued through rule override_commission.accrual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override_settlements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of an override computation by the insurer, with its sales invoice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3" w:name="__RefHeading___Toc18987_2870252334"/>
      <w:bookmarkEnd w:id="63"/>
      <w:r>
        <w:rPr>
          <w:rFonts w:eastAsia="Segoe UI" w:cs="Segoe UI"/>
          <w:b/>
          <w:color w:val="0F4761"/>
          <w:sz w:val="26"/>
        </w:rPr>
        <w:t>8.9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5081"/>
        <w:gridCol w:w="90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 claim needs, copied from the checklist master, with received and waived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claim_document_reminders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Missing-document reminders sent to the claimant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4" w:name="__RefHeading___Toc18989_2870252334"/>
      <w:bookmarkEnd w:id="64"/>
      <w:r>
        <w:rPr>
          <w:rFonts w:eastAsia="Segoe UI" w:cs="Segoe UI"/>
          <w:b/>
          <w:color w:val="0F4761"/>
          <w:sz w:val="26"/>
        </w:rPr>
        <w:t>8.10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5" w:name="__RefHeading___Toc18991_2870252334"/>
      <w:bookmarkEnd w:id="65"/>
      <w:r>
        <w:rPr>
          <w:rFonts w:eastAsia="Segoe UI" w:cs="Segoe UI"/>
          <w:b/>
          <w:color w:val="0F4761"/>
          <w:sz w:val="26"/>
        </w:rPr>
        <w:t>8.11  General ledger and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1"/>
        <w:gridCol w:w="5146"/>
        <w:gridCol w:w="907"/>
      </w:tblGrid>
      <w:tr>
        <w:trPr>
          <w:tblHeader w:val="true"/>
        </w:trPr>
        <w:tc>
          <w:tcPr>
            <w:tcW w:w="29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6" w:name="__RefHeading___Toc18993_2870252334"/>
      <w:bookmarkEnd w:id="66"/>
      <w:r>
        <w:rPr>
          <w:rFonts w:eastAsia="Segoe UI" w:cs="Segoe UI"/>
          <w:b/>
          <w:color w:val="0F4761"/>
          <w:sz w:val="26"/>
        </w:rPr>
        <w:t>8.12  Bank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1"/>
        <w:gridCol w:w="4887"/>
        <w:gridCol w:w="907"/>
      </w:tblGrid>
      <w:tr>
        <w:trPr>
          <w:tblHeader w:val="true"/>
        </w:trPr>
        <w:tc>
          <w:tcPr>
            <w:tcW w:w="3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7" w:name="__RefHeading___Toc18995_2870252334"/>
      <w:bookmarkEnd w:id="67"/>
      <w:r>
        <w:rPr>
          <w:rFonts w:eastAsia="Segoe UI" w:cs="Segoe UI"/>
          <w:b/>
          <w:color w:val="0F4761"/>
          <w:sz w:val="26"/>
        </w:rPr>
        <w:t>8.13  Credit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8" w:name="__RefHeading___Toc18997_2870252334"/>
      <w:bookmarkEnd w:id="68"/>
      <w:r>
        <w:rPr>
          <w:rFonts w:eastAsia="Segoe UI" w:cs="Segoe UI"/>
          <w:b/>
          <w:color w:val="0F4761"/>
          <w:sz w:val="26"/>
        </w:rPr>
        <w:t>8.14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approached on a facultative slip and their written and signed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reinsurance slips offered by a cedant, placed by the broker as reinsurance broker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fac_settlements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premium received from the cedant and paid to each reinsurer, with journals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9" w:name="__RefHeading___Toc18999_2870252334"/>
      <w:bookmarkEnd w:id="69"/>
      <w:r>
        <w:rPr>
          <w:rFonts w:eastAsia="Segoe UI" w:cs="Segoe UI"/>
          <w:b/>
          <w:color w:val="0F4761"/>
          <w:sz w:val="26"/>
        </w:rPr>
        <w:t>8.15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0" w:name="__RefHeading___Toc19001_2870252334"/>
      <w:bookmarkEnd w:id="70"/>
      <w:r>
        <w:rPr>
          <w:rFonts w:eastAsia="Segoe UI" w:cs="Segoe UI"/>
          <w:b/>
          <w:color w:val="0F4761"/>
          <w:sz w:val="26"/>
        </w:rPr>
        <w:t>8.16  Security and audit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0"/>
        <w:gridCol w:w="5017"/>
        <w:gridCol w:w="907"/>
      </w:tblGrid>
      <w:tr>
        <w:trPr>
          <w:tblHeader w:val="true"/>
        </w:trPr>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279</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71" w:name="__RefHeading___Toc19003_2870252334"/>
      <w:bookmarkEnd w:id="71"/>
      <w:r>
        <w:rPr>
          <w:rFonts w:eastAsia="Segoe UI" w:cs="Segoe UI"/>
          <w:b/>
          <w:color w:val="0F4761"/>
          <w:sz w:val="26"/>
        </w:rPr>
        <w:t>8.17  Configuration and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5"/>
        <w:gridCol w:w="5212"/>
        <w:gridCol w:w="907"/>
      </w:tblGrid>
      <w:tr>
        <w:trPr>
          <w:tblHeader w:val="true"/>
        </w:trPr>
        <w:tc>
          <w:tcPr>
            <w:tcW w:w="2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bi_extract_runs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of the scheduled BI extract (one CSV file per dataset) with status and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(base flag, decimals, exchange rate)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workbooks uploaded (configuration or migration kit): validation, errors, load and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data_load_comparisons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 reports of configuration and masters between environments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of an uploaded go-live workbook with their validation result and loaded record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document_signature_slots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signature prints in which slot of which document type, and when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images of signatories and approving or issuing users, with consent and capture details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designed by users over curated datasets: columns, filters, grouping, sharing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Tasks and follow-ups of the My Work diary: due date, priority, reminder, related record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2" w:name="__RefHeading___Toc19005_2870252334"/>
      <w:bookmarkEnd w:id="72"/>
      <w:r>
        <w:rPr>
          <w:rFonts w:eastAsia="Segoe UI" w:cs="Segoe UI"/>
          <w:b/>
          <w:color w:val="0F4761"/>
          <w:sz w:val="26"/>
        </w:rPr>
        <w:t>8.18  Distribution and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campaign_recipients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Recipients of a campaign run: consent checked, sent, failed or opted 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campaign_segments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 campaign is for: clients, prospects or both, narrowed by line, place, channel and type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campaign_templates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templates of campaigns with merge fields and the opt-out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segment, template, schedule,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channel_billing_accounts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 a channel is billed through when it pays a premium for its customers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reports between insurer options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vehicle sold by a dealer under a programme, with the buyer and the resulting policy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dealer sales batches of a programme, validated and converted into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affinity partners in one hierarchy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lead_assignment_history</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assignment and reassignment of a prospect (automatic, manual, bulk, queue) with the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who receives a new prospect by branch, line, source, channel and territory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insurer, own damage rate, CTPL term, free or subsidised first year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a prospect, quotation or client, with the next step (package 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3" w:name="__RefHeading___Toc19007_2870252334"/>
      <w:bookmarkEnd w:id="73"/>
      <w:r>
        <w:rPr>
          <w:rFonts w:eastAsia="Segoe UI" w:cs="Segoe UI"/>
          <w:b/>
          <w:color w:val="0F4761"/>
          <w:sz w:val="26"/>
        </w:rPr>
        <w:t>8.19  Fleet, marine and motor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6"/>
        <w:gridCol w:w="5281"/>
        <w:gridCol w:w="907"/>
      </w:tblGrid>
      <w:tr>
        <w:trPr>
          <w:tblHeader w:val="true"/>
        </w:trPr>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claim_loas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Letters of authority to the repair shop issued from an approved estimate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repair estimates of an accredited repair shop and their approval, with supplementary estimates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claim_vehicle_releases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of the repaired vehicle to the insured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of a client under one motor policy with one insurer and one period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 of a fleet schedule with their premium, additions and deletions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insurance certificates issued against an open cover, one per shipment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declarations of the shipments of an open cover, billed as a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 contracts: period, goods, voyages, limit and rate per conveyance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4" w:name="__RefHeading___Toc19009_2870252334"/>
      <w:bookmarkEnd w:id="74"/>
      <w:r>
        <w:rPr>
          <w:rFonts w:eastAsia="Segoe UI" w:cs="Segoe UI"/>
          <w:b/>
          <w:color w:val="0F4761"/>
          <w:sz w:val="26"/>
        </w:rPr>
        <w:t>8.20  Payables and fixed assets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0"/>
        <w:gridCol w:w="4947"/>
        <w:gridCol w:w="907"/>
      </w:tblGrid>
      <w:tr>
        <w:trPr>
          <w:tblHeader w:val="true"/>
        </w:trPr>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9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fixed_asset_depreciation</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depreciation of each asset and the journal that posted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fixed_asset_disposals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 or write-off of an asset with the gain or loss posted (package 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class, cost, useful life, straight-line schedule,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supplier_invoice_lines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Expense lines of a supplier invoice (account, amount, VAT, EWT)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with input VAT and expanded withholding tax, approved by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supplier_payment_allocations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Allocation of a supplier payment to the invoices it settles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to suppliers, posted through rule ap.payment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5" w:name="__RefHeading___Toc19011_2870252334"/>
      <w:bookmarkEnd w:id="75"/>
      <w:r>
        <w:rPr>
          <w:rFonts w:eastAsia="Segoe UI" w:cs="Segoe UI"/>
          <w:b/>
          <w:color w:val="0F4761"/>
          <w:sz w:val="26"/>
        </w:rPr>
        <w:t>8.21  BIR returns and invoicing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Filing record of each BIR return period (0619-E, 1601-EQ, 1604-E, 2551Q): status, reference,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cas_book_prints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printed per period for the CAS registration pack, with page numbers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E-invoice submissions to the BIR Electronic Invoicing System: payload, status, attempts, reply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sales invoice (description, amount, VAT)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sales_invoice_payments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received against a sales invoice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Ease of Paying Taxes Act for commission, fees and override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6" w:name="__RefHeading___Toc19013_2870252334"/>
      <w:bookmarkEnd w:id="76"/>
      <w:r>
        <w:rPr>
          <w:rFonts w:eastAsia="Segoe UI" w:cs="Segoe UI"/>
          <w:b/>
          <w:color w:val="0F4761"/>
          <w:sz w:val="26"/>
        </w:rPr>
        <w:t>8.22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4831"/>
        <w:gridCol w:w="907"/>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Alerts raised by a monitoring rule on a transaction, reviewed by the compliance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aml_cases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case files: CTR to file, STR investigation or review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aml_edd_reviews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of a high-risk client: source of wealth and funds, findings,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aml_list_entries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identifiers of a screening list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aml_list_versions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Loaded versions of a screening list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aml_provider_requests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requests to a commercial screening provider (status,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aml_report_items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included in an AMLC report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files generated in the AMLC reporting layout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customer risk rating made, with the factors that scored and the resulting risk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aml_risk_factors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Scoring table of the customer risk rating (factor, value, score)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monitoring rules with their parameters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aml_screening_hits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Potential matches of a screening and their disposition (true match, false positive)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aml_screening_lists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screened against (UN Security Council, AMLC designations, PEP and internal lists)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screening run of a party (event, provider,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Acknowledgement and resolution deadline reminders of complaints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under RA 11765: complainant, product, deadlines,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compliance_fit_proper</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and proper declarations and checks of officers and staff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expiry reminders sent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issued by the IC or another authority to the firm, its officers and individuals, with expiry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data subject requests (DSR-): type, requester, party, date received, due date, status, assignee, outcome and the exports and anonymisation done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ic_statement_lines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the IC annual statement schedules mapped to GL accounts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deadline reminders of breaches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and security incident register with the NPC 72-hour notification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given, refused or withdrawn by a client or prospect per purpose (processing, marketing, sharing), with channel, notice version and evidence; never deleted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7" w:name="__RefHeading___Toc19015_2870252334"/>
      <w:bookmarkEnd w:id="77"/>
      <w:r>
        <w:rPr>
          <w:rFonts w:eastAsia="Segoe UI" w:cs="Segoe UI"/>
          <w:b/>
          <w:color w:val="0F4761"/>
          <w:sz w:val="26"/>
        </w:rPr>
        <w:t>8.23  Integrations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2"/>
        <w:gridCol w:w="5215"/>
        <w:gridCol w:w="907"/>
      </w:tblGrid>
      <w:tr>
        <w:trPr>
          <w:tblHeader w:val="true"/>
        </w:trPr>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of a bank bulk credit, InstaPay or PESONet upload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line per voucher in a bank payment batch, with the status from the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Batches of payment vouchers paid through one bank account and layout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of cover number series received from an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cover authentications: COC number, vehicle identifiers, authentication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insurer: API connector, broker code, product codes, request and response maps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integration_attempts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send attempt (duration, result, error) for the monitor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connections to third parties: adapter, mode test or live, endpoint, credential variable names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integration_inbox</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received from a third party (webhook) or read from an imported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message to send through a connector: status, attempts, next attempt, last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text templates per event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payee_bank_accounts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of payees credited by bank payment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8" w:name="__RefHeading___Toc19017_2870252334"/>
      <w:bookmarkStart w:id="79" w:name="_Toc233203395"/>
      <w:bookmarkEnd w:id="78"/>
      <w:r>
        <w:rPr>
          <w:rStyle w:val="BookTitle"/>
          <w:bCs w:val="false"/>
          <w:i w:val="false"/>
          <w:iCs w:val="false"/>
          <w:spacing w:val="0"/>
        </w:rPr>
        <w:t>9.  Document Sign-Off</w:t>
      </w:r>
      <w:bookmarkEnd w:id="7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5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