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991_189461843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5993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5995_1894618434">
            <w:r>
              <w:rPr>
                <w:webHidden/>
                <w:rStyle w:val="IndexLink"/>
              </w:rPr>
              <w:t>3. About this rate card</w:t>
              <w:tab/>
              <w:t>5</w:t>
            </w:r>
          </w:hyperlink>
        </w:p>
        <w:p>
          <w:pPr>
            <w:pStyle w:val="TOC1"/>
            <w:tabs>
              <w:tab w:val="clear" w:pos="900"/>
              <w:tab w:val="clear" w:pos="9350"/>
              <w:tab w:val="right" w:pos="9025" w:leader="dot"/>
            </w:tabs>
            <w:rPr/>
          </w:pPr>
          <w:hyperlink w:anchor="__RefHeading___Toc15997_1894618434">
            <w:r>
              <w:rPr>
                <w:webHidden/>
                <w:rStyle w:val="IndexLink"/>
              </w:rPr>
              <w:t>4. Packages at a glance</w:t>
              <w:tab/>
              <w:t>7</w:t>
            </w:r>
          </w:hyperlink>
        </w:p>
        <w:p>
          <w:pPr>
            <w:pStyle w:val="TOC2"/>
            <w:tabs>
              <w:tab w:val="clear" w:pos="900"/>
              <w:tab w:val="clear" w:pos="9350"/>
              <w:tab w:val="right" w:pos="9025" w:leader="dot"/>
            </w:tabs>
            <w:rPr/>
          </w:pPr>
          <w:hyperlink w:anchor="__RefHeading___Toc15999_1894618434">
            <w:r>
              <w:rPr>
                <w:webHidden/>
                <w:rStyle w:val="IndexLink"/>
              </w:rPr>
              <w:t>4.1 How the packages are built</w:t>
              <w:tab/>
              <w:t>7</w:t>
            </w:r>
          </w:hyperlink>
        </w:p>
        <w:p>
          <w:pPr>
            <w:pStyle w:val="TOC2"/>
            <w:tabs>
              <w:tab w:val="clear" w:pos="900"/>
              <w:tab w:val="clear" w:pos="9350"/>
              <w:tab w:val="right" w:pos="9025" w:leader="dot"/>
            </w:tabs>
            <w:rPr/>
          </w:pPr>
          <w:hyperlink w:anchor="__RefHeading___Toc16001_1894618434">
            <w:r>
              <w:rPr>
                <w:webHidden/>
                <w:rStyle w:val="IndexLink"/>
              </w:rPr>
              <w:t>4.2 Small broker: 15 users, 5 lines of business</w:t>
              <w:tab/>
              <w:t>7</w:t>
            </w:r>
          </w:hyperlink>
        </w:p>
        <w:p>
          <w:pPr>
            <w:pStyle w:val="TOC2"/>
            <w:tabs>
              <w:tab w:val="clear" w:pos="900"/>
              <w:tab w:val="clear" w:pos="9350"/>
              <w:tab w:val="right" w:pos="9025" w:leader="dot"/>
            </w:tabs>
            <w:rPr/>
          </w:pPr>
          <w:hyperlink w:anchor="__RefHeading___Toc16003_1894618434">
            <w:r>
              <w:rPr>
                <w:webHidden/>
                <w:rStyle w:val="IndexLink"/>
              </w:rPr>
              <w:t>4.3 Medium broker: 60 users, 8 lines of business</w:t>
              <w:tab/>
              <w:t>7</w:t>
            </w:r>
          </w:hyperlink>
        </w:p>
        <w:p>
          <w:pPr>
            <w:pStyle w:val="TOC2"/>
            <w:tabs>
              <w:tab w:val="clear" w:pos="900"/>
              <w:tab w:val="clear" w:pos="9350"/>
              <w:tab w:val="right" w:pos="9025" w:leader="dot"/>
            </w:tabs>
            <w:rPr/>
          </w:pPr>
          <w:hyperlink w:anchor="__RefHeading___Toc16005_1894618434">
            <w:r>
              <w:rPr>
                <w:webHidden/>
                <w:rStyle w:val="IndexLink"/>
              </w:rPr>
              <w:t>4.4 Large broker: 180 users, 12 lines of business</w:t>
              <w:tab/>
              <w:t>8</w:t>
            </w:r>
          </w:hyperlink>
        </w:p>
        <w:p>
          <w:pPr>
            <w:pStyle w:val="TOC2"/>
            <w:tabs>
              <w:tab w:val="clear" w:pos="900"/>
              <w:tab w:val="clear" w:pos="9350"/>
              <w:tab w:val="right" w:pos="9025" w:leader="dot"/>
            </w:tabs>
            <w:rPr/>
          </w:pPr>
          <w:hyperlink w:anchor="__RefHeading___Toc16007_1894618434">
            <w:r>
              <w:rPr>
                <w:webHidden/>
                <w:rStyle w:val="IndexLink"/>
              </w:rPr>
              <w:t>4.5 Enterprise broker: 400 users, 16 lines of business</w:t>
              <w:tab/>
              <w:t>8</w:t>
            </w:r>
          </w:hyperlink>
        </w:p>
        <w:p>
          <w:pPr>
            <w:pStyle w:val="TOC2"/>
            <w:tabs>
              <w:tab w:val="clear" w:pos="900"/>
              <w:tab w:val="clear" w:pos="9350"/>
              <w:tab w:val="right" w:pos="9025" w:leader="dot"/>
            </w:tabs>
            <w:rPr/>
          </w:pPr>
          <w:hyperlink w:anchor="__RefHeading___Toc16009_1894618434">
            <w:r>
              <w:rPr>
                <w:webHidden/>
                <w:rStyle w:val="IndexLink"/>
              </w:rPr>
              <w:t>4.6 Choosing between the models</w:t>
              <w:tab/>
              <w:t>8</w:t>
            </w:r>
          </w:hyperlink>
        </w:p>
        <w:p>
          <w:pPr>
            <w:pStyle w:val="TOC1"/>
            <w:tabs>
              <w:tab w:val="clear" w:pos="900"/>
              <w:tab w:val="clear" w:pos="9350"/>
              <w:tab w:val="right" w:pos="9025" w:leader="dot"/>
            </w:tabs>
            <w:rPr/>
          </w:pPr>
          <w:hyperlink w:anchor="__RefHeading___Toc16011_1894618434">
            <w:r>
              <w:rPr>
                <w:webHidden/>
                <w:rStyle w:val="IndexLink"/>
              </w:rPr>
              <w:t>5. What every package includes</w:t>
              <w:tab/>
              <w:t>9</w:t>
            </w:r>
          </w:hyperlink>
        </w:p>
        <w:p>
          <w:pPr>
            <w:pStyle w:val="TOC2"/>
            <w:tabs>
              <w:tab w:val="clear" w:pos="900"/>
              <w:tab w:val="clear" w:pos="9350"/>
              <w:tab w:val="right" w:pos="9025" w:leader="dot"/>
            </w:tabs>
            <w:rPr/>
          </w:pPr>
          <w:hyperlink w:anchor="__RefHeading___Toc16013_1894618434">
            <w:r>
              <w:rPr>
                <w:webHidden/>
                <w:rStyle w:val="IndexLink"/>
              </w:rPr>
              <w:t>5.1 Software</w:t>
              <w:tab/>
              <w:t>9</w:t>
            </w:r>
          </w:hyperlink>
        </w:p>
        <w:p>
          <w:pPr>
            <w:pStyle w:val="TOC2"/>
            <w:tabs>
              <w:tab w:val="clear" w:pos="900"/>
              <w:tab w:val="clear" w:pos="9350"/>
              <w:tab w:val="right" w:pos="9025" w:leader="dot"/>
            </w:tabs>
            <w:rPr/>
          </w:pPr>
          <w:hyperlink w:anchor="__RefHeading___Toc16015_1894618434">
            <w:r>
              <w:rPr>
                <w:webHidden/>
                <w:rStyle w:val="IndexLink"/>
              </w:rPr>
              <w:t>5.2 Implementation</w:t>
              <w:tab/>
              <w:t>9</w:t>
            </w:r>
          </w:hyperlink>
        </w:p>
        <w:p>
          <w:pPr>
            <w:pStyle w:val="TOC2"/>
            <w:tabs>
              <w:tab w:val="clear" w:pos="900"/>
              <w:tab w:val="clear" w:pos="9350"/>
              <w:tab w:val="right" w:pos="9025" w:leader="dot"/>
            </w:tabs>
            <w:rPr/>
          </w:pPr>
          <w:hyperlink w:anchor="__RefHeading___Toc16017_1894618434">
            <w:r>
              <w:rPr>
                <w:webHidden/>
                <w:rStyle w:val="IndexLink"/>
              </w:rPr>
              <w:t>5.3 Support</w:t>
              <w:tab/>
              <w:t>10</w:t>
            </w:r>
          </w:hyperlink>
        </w:p>
        <w:p>
          <w:pPr>
            <w:pStyle w:val="TOC2"/>
            <w:tabs>
              <w:tab w:val="clear" w:pos="900"/>
              <w:tab w:val="clear" w:pos="9350"/>
              <w:tab w:val="right" w:pos="9025" w:leader="dot"/>
            </w:tabs>
            <w:rPr/>
          </w:pPr>
          <w:hyperlink w:anchor="__RefHeading___Toc16019_1894618434">
            <w:r>
              <w:rPr>
                <w:webHidden/>
                <w:rStyle w:val="IndexLink"/>
              </w:rPr>
              <w:t>5.4 Hosting (when iorta TechNXT hosts)</w:t>
              <w:tab/>
              <w:t>10</w:t>
            </w:r>
          </w:hyperlink>
        </w:p>
        <w:p>
          <w:pPr>
            <w:pStyle w:val="TOC1"/>
            <w:tabs>
              <w:tab w:val="clear" w:pos="900"/>
              <w:tab w:val="clear" w:pos="9350"/>
              <w:tab w:val="right" w:pos="9025" w:leader="dot"/>
            </w:tabs>
            <w:rPr/>
          </w:pPr>
          <w:hyperlink w:anchor="__RefHeading___Toc16021_1894618434">
            <w:r>
              <w:rPr>
                <w:webHidden/>
                <w:rStyle w:val="IndexLink"/>
              </w:rPr>
              <w:t>6. Licence models</w:t>
              <w:tab/>
              <w:t>11</w:t>
            </w:r>
          </w:hyperlink>
        </w:p>
        <w:p>
          <w:pPr>
            <w:pStyle w:val="TOC2"/>
            <w:tabs>
              <w:tab w:val="clear" w:pos="900"/>
              <w:tab w:val="clear" w:pos="9350"/>
              <w:tab w:val="right" w:pos="9025" w:leader="dot"/>
            </w:tabs>
            <w:rPr/>
          </w:pPr>
          <w:hyperlink w:anchor="__RefHeading___Toc16023_1894618434">
            <w:r>
              <w:rPr>
                <w:webHidden/>
                <w:rStyle w:val="IndexLink"/>
              </w:rPr>
              <w:t>6.1 Users and slabs</w:t>
              <w:tab/>
              <w:t>11</w:t>
            </w:r>
          </w:hyperlink>
        </w:p>
        <w:p>
          <w:pPr>
            <w:pStyle w:val="TOC2"/>
            <w:tabs>
              <w:tab w:val="clear" w:pos="900"/>
              <w:tab w:val="clear" w:pos="9350"/>
              <w:tab w:val="right" w:pos="9025" w:leader="dot"/>
            </w:tabs>
            <w:rPr/>
          </w:pPr>
          <w:hyperlink w:anchor="__RefHeading___Toc16025_1894618434">
            <w:r>
              <w:rPr>
                <w:webHidden/>
                <w:rStyle w:val="IndexLink"/>
              </w:rPr>
              <w:t>6.2 Perpetual licence with AMC</w:t>
              <w:tab/>
              <w:t>11</w:t>
            </w:r>
          </w:hyperlink>
        </w:p>
        <w:p>
          <w:pPr>
            <w:pStyle w:val="TOC2"/>
            <w:tabs>
              <w:tab w:val="clear" w:pos="900"/>
              <w:tab w:val="clear" w:pos="9350"/>
              <w:tab w:val="right" w:pos="9025" w:leader="dot"/>
            </w:tabs>
            <w:rPr/>
          </w:pPr>
          <w:hyperlink w:anchor="__RefHeading___Toc16027_1894618434">
            <w:r>
              <w:rPr>
                <w:webHidden/>
                <w:rStyle w:val="IndexLink"/>
              </w:rPr>
              <w:t>6.3 Subscription</w:t>
              <w:tab/>
              <w:t>11</w:t>
            </w:r>
          </w:hyperlink>
        </w:p>
        <w:p>
          <w:pPr>
            <w:pStyle w:val="TOC1"/>
            <w:tabs>
              <w:tab w:val="clear" w:pos="900"/>
              <w:tab w:val="clear" w:pos="9350"/>
              <w:tab w:val="right" w:pos="9025" w:leader="dot"/>
            </w:tabs>
            <w:rPr/>
          </w:pPr>
          <w:hyperlink w:anchor="__RefHeading___Toc16029_1894618434">
            <w:r>
              <w:rPr>
                <w:webHidden/>
                <w:rStyle w:val="IndexLink"/>
              </w:rPr>
              <w:t>7. Implementation fee</w:t>
              <w:tab/>
              <w:t>12</w:t>
            </w:r>
          </w:hyperlink>
        </w:p>
        <w:p>
          <w:pPr>
            <w:pStyle w:val="TOC1"/>
            <w:tabs>
              <w:tab w:val="clear" w:pos="900"/>
              <w:tab w:val="clear" w:pos="9350"/>
              <w:tab w:val="right" w:pos="9025" w:leader="dot"/>
            </w:tabs>
            <w:rPr/>
          </w:pPr>
          <w:hyperlink w:anchor="__RefHeading___Toc16031_1894618434">
            <w:r>
              <w:rPr>
                <w:webHidden/>
                <w:rStyle w:val="IndexLink"/>
              </w:rPr>
              <w:t>8. Hosting</w:t>
              <w:tab/>
              <w:t>13</w:t>
            </w:r>
          </w:hyperlink>
        </w:p>
        <w:p>
          <w:pPr>
            <w:pStyle w:val="TOC2"/>
            <w:tabs>
              <w:tab w:val="clear" w:pos="900"/>
              <w:tab w:val="clear" w:pos="9350"/>
              <w:tab w:val="right" w:pos="9025" w:leader="dot"/>
            </w:tabs>
            <w:rPr/>
          </w:pPr>
          <w:hyperlink w:anchor="__RefHeading___Toc16033_1894618434">
            <w:r>
              <w:rPr>
                <w:webHidden/>
                <w:rStyle w:val="IndexLink"/>
              </w:rPr>
              <w:t>8.1 Environments by broker size</w:t>
              <w:tab/>
              <w:t>13</w:t>
            </w:r>
          </w:hyperlink>
        </w:p>
        <w:p>
          <w:pPr>
            <w:pStyle w:val="TOC2"/>
            <w:tabs>
              <w:tab w:val="clear" w:pos="900"/>
              <w:tab w:val="clear" w:pos="9350"/>
              <w:tab w:val="right" w:pos="9025" w:leader="dot"/>
            </w:tabs>
            <w:rPr/>
          </w:pPr>
          <w:hyperlink w:anchor="__RefHeading___Toc16035_1894618434">
            <w:r>
              <w:rPr>
                <w:webHidden/>
                <w:rStyle w:val="IndexLink"/>
              </w:rPr>
              <w:t>8.2 Standing environments, per month</w:t>
              <w:tab/>
              <w:t>13</w:t>
            </w:r>
          </w:hyperlink>
        </w:p>
        <w:p>
          <w:pPr>
            <w:pStyle w:val="TOC2"/>
            <w:tabs>
              <w:tab w:val="clear" w:pos="900"/>
              <w:tab w:val="clear" w:pos="9350"/>
              <w:tab w:val="right" w:pos="9025" w:leader="dot"/>
            </w:tabs>
            <w:rPr/>
          </w:pPr>
          <w:hyperlink w:anchor="__RefHeading___Toc16037_1894618434">
            <w:r>
              <w:rPr>
                <w:webHidden/>
                <w:rStyle w:val="IndexLink"/>
              </w:rPr>
              <w:t>8.3 Pre-Prod, per month of use</w:t>
              <w:tab/>
              <w:t>13</w:t>
            </w:r>
          </w:hyperlink>
        </w:p>
        <w:p>
          <w:pPr>
            <w:pStyle w:val="TOC2"/>
            <w:tabs>
              <w:tab w:val="clear" w:pos="900"/>
              <w:tab w:val="clear" w:pos="9350"/>
              <w:tab w:val="right" w:pos="9025" w:leader="dot"/>
            </w:tabs>
            <w:rPr/>
          </w:pPr>
          <w:hyperlink w:anchor="__RefHeading___Toc16039_1894618434">
            <w:r>
              <w:rPr>
                <w:webHidden/>
                <w:rStyle w:val="IndexLink"/>
              </w:rPr>
              <w:t>8.4 Hosting per year on AWS, for budgeting</w:t>
              <w:tab/>
              <w:t>13</w:t>
            </w:r>
          </w:hyperlink>
        </w:p>
        <w:p>
          <w:pPr>
            <w:pStyle w:val="TOC1"/>
            <w:tabs>
              <w:tab w:val="clear" w:pos="900"/>
              <w:tab w:val="clear" w:pos="9350"/>
              <w:tab w:val="right" w:pos="9025" w:leader="dot"/>
            </w:tabs>
            <w:rPr/>
          </w:pPr>
          <w:hyperlink w:anchor="__RefHeading___Toc16041_1894618434">
            <w:r>
              <w:rPr>
                <w:webHidden/>
                <w:rStyle w:val="IndexLink"/>
              </w:rPr>
              <w:t>9. Support and maintenance</w:t>
              <w:tab/>
              <w:t>15</w:t>
            </w:r>
          </w:hyperlink>
        </w:p>
        <w:p>
          <w:pPr>
            <w:pStyle w:val="TOC2"/>
            <w:tabs>
              <w:tab w:val="clear" w:pos="900"/>
              <w:tab w:val="clear" w:pos="9350"/>
              <w:tab w:val="right" w:pos="9025" w:leader="dot"/>
            </w:tabs>
            <w:rPr/>
          </w:pPr>
          <w:hyperlink w:anchor="__RefHeading___Toc16043_1894618434">
            <w:r>
              <w:rPr>
                <w:webHidden/>
                <w:rStyle w:val="IndexLink"/>
              </w:rPr>
              <w:t>9.1 Standard support</w:t>
              <w:tab/>
              <w:t>15</w:t>
            </w:r>
          </w:hyperlink>
        </w:p>
        <w:p>
          <w:pPr>
            <w:pStyle w:val="TOC2"/>
            <w:tabs>
              <w:tab w:val="clear" w:pos="900"/>
              <w:tab w:val="clear" w:pos="9350"/>
              <w:tab w:val="right" w:pos="9025" w:leader="dot"/>
            </w:tabs>
            <w:rPr/>
          </w:pPr>
          <w:hyperlink w:anchor="__RefHeading___Toc16045_1894618434">
            <w:r>
              <w:rPr>
                <w:webHidden/>
                <w:rStyle w:val="IndexLink"/>
              </w:rPr>
              <w:t>9.2 24x7 Severity 1 support (optional)</w:t>
              <w:tab/>
              <w:t>15</w:t>
            </w:r>
          </w:hyperlink>
        </w:p>
        <w:p>
          <w:pPr>
            <w:pStyle w:val="TOC1"/>
            <w:tabs>
              <w:tab w:val="clear" w:pos="900"/>
              <w:tab w:val="clear" w:pos="9350"/>
              <w:tab w:val="right" w:pos="9025" w:leader="dot"/>
            </w:tabs>
            <w:rPr/>
          </w:pPr>
          <w:hyperlink w:anchor="__RefHeading___Toc16047_1894618434">
            <w:r>
              <w:rPr>
                <w:webHidden/>
                <w:rStyle w:val="IndexLink"/>
              </w:rPr>
              <w:t>10. Optional services</w:t>
              <w:tab/>
              <w:t>16</w:t>
            </w:r>
          </w:hyperlink>
        </w:p>
        <w:p>
          <w:pPr>
            <w:pStyle w:val="TOC2"/>
            <w:tabs>
              <w:tab w:val="clear" w:pos="900"/>
              <w:tab w:val="clear" w:pos="9350"/>
              <w:tab w:val="right" w:pos="9025" w:leader="dot"/>
            </w:tabs>
            <w:rPr/>
          </w:pPr>
          <w:hyperlink w:anchor="__RefHeading___Toc16049_1894618434">
            <w:r>
              <w:rPr>
                <w:webHidden/>
                <w:rStyle w:val="IndexLink"/>
              </w:rPr>
              <w:t>10.1 Optional modules and partner services</w:t>
              <w:tab/>
              <w:t>16</w:t>
            </w:r>
          </w:hyperlink>
        </w:p>
        <w:p>
          <w:pPr>
            <w:pStyle w:val="TOC1"/>
            <w:tabs>
              <w:tab w:val="clear" w:pos="900"/>
              <w:tab w:val="clear" w:pos="9350"/>
              <w:tab w:val="right" w:pos="9025" w:leader="dot"/>
            </w:tabs>
            <w:rPr/>
          </w:pPr>
          <w:hyperlink w:anchor="__RefHeading___Toc16051_1894618434">
            <w:r>
              <w:rPr>
                <w:webHidden/>
                <w:rStyle w:val="IndexLink"/>
              </w:rPr>
              <w:t>11. Change requests</w:t>
              <w:tab/>
              <w:t>18</w:t>
            </w:r>
          </w:hyperlink>
        </w:p>
        <w:p>
          <w:pPr>
            <w:pStyle w:val="TOC2"/>
            <w:tabs>
              <w:tab w:val="clear" w:pos="900"/>
              <w:tab w:val="clear" w:pos="9350"/>
              <w:tab w:val="right" w:pos="9025" w:leader="dot"/>
            </w:tabs>
            <w:rPr/>
          </w:pPr>
          <w:hyperlink w:anchor="__RefHeading___Toc16053_1894618434">
            <w:r>
              <w:rPr>
                <w:webHidden/>
                <w:rStyle w:val="IndexLink"/>
              </w:rPr>
              <w:t>11.1 Day rates</w:t>
              <w:tab/>
              <w:t>18</w:t>
            </w:r>
          </w:hyperlink>
        </w:p>
        <w:p>
          <w:pPr>
            <w:pStyle w:val="TOC2"/>
            <w:tabs>
              <w:tab w:val="clear" w:pos="900"/>
              <w:tab w:val="clear" w:pos="9350"/>
              <w:tab w:val="right" w:pos="9025" w:leader="dot"/>
            </w:tabs>
            <w:rPr/>
          </w:pPr>
          <w:hyperlink w:anchor="__RefHeading___Toc16055_1894618434">
            <w:r>
              <w:rPr>
                <w:webHidden/>
                <w:rStyle w:val="IndexLink"/>
              </w:rPr>
              <w:t>11.2 How a change is priced</w:t>
              <w:tab/>
              <w:t>18</w:t>
            </w:r>
          </w:hyperlink>
        </w:p>
        <w:p>
          <w:pPr>
            <w:pStyle w:val="TOC1"/>
            <w:tabs>
              <w:tab w:val="clear" w:pos="900"/>
              <w:tab w:val="clear" w:pos="9350"/>
              <w:tab w:val="right" w:pos="9025" w:leader="dot"/>
            </w:tabs>
            <w:rPr/>
          </w:pPr>
          <w:hyperlink w:anchor="__RefHeading___Toc16057_1894618434">
            <w:r>
              <w:rPr>
                <w:webHidden/>
                <w:rStyle w:val="IndexLink"/>
              </w:rPr>
              <w:t>12. Payment terms</w:t>
              <w:tab/>
              <w:t>19</w:t>
            </w:r>
          </w:hyperlink>
        </w:p>
        <w:p>
          <w:pPr>
            <w:pStyle w:val="TOC1"/>
            <w:tabs>
              <w:tab w:val="clear" w:pos="900"/>
              <w:tab w:val="clear" w:pos="9350"/>
              <w:tab w:val="right" w:pos="9025" w:leader="dot"/>
            </w:tabs>
            <w:rPr/>
          </w:pPr>
          <w:hyperlink w:anchor="__RefHeading___Toc16059_1894618434">
            <w:r>
              <w:rPr>
                <w:webHidden/>
                <w:rStyle w:val="IndexLink"/>
              </w:rPr>
              <w:t>13. Taxes</w:t>
              <w:tab/>
              <w:t>20</w:t>
            </w:r>
          </w:hyperlink>
        </w:p>
        <w:p>
          <w:pPr>
            <w:pStyle w:val="TOC1"/>
            <w:tabs>
              <w:tab w:val="clear" w:pos="900"/>
              <w:tab w:val="clear" w:pos="9350"/>
              <w:tab w:val="right" w:pos="9025" w:leader="dot"/>
            </w:tabs>
            <w:rPr/>
          </w:pPr>
          <w:hyperlink w:anchor="__RefHeading___Toc16061_1894618434">
            <w:r>
              <w:rPr>
                <w:webHidden/>
                <w:rStyle w:val="IndexLink"/>
              </w:rPr>
              <w:t>14. Validity and conditions</w:t>
              <w:tab/>
              <w:t>21</w:t>
            </w:r>
          </w:hyperlink>
        </w:p>
        <w:p>
          <w:pPr>
            <w:pStyle w:val="TOC1"/>
            <w:tabs>
              <w:tab w:val="clear" w:pos="900"/>
              <w:tab w:val="clear" w:pos="9350"/>
              <w:tab w:val="right" w:pos="9025" w:leader="dot"/>
            </w:tabs>
            <w:rPr/>
          </w:pPr>
          <w:hyperlink w:anchor="__RefHeading___Toc16063_1894618434">
            <w:r>
              <w:rPr>
                <w:webHidden/>
                <w:rStyle w:val="IndexLink"/>
              </w:rPr>
              <w:t>15. How to proceed</w:t>
              <w:tab/>
              <w:t>22</w:t>
            </w:r>
          </w:hyperlink>
        </w:p>
        <w:p>
          <w:pPr>
            <w:pStyle w:val="TOC1"/>
            <w:tabs>
              <w:tab w:val="clear" w:pos="900"/>
              <w:tab w:val="clear" w:pos="9350"/>
              <w:tab w:val="right" w:pos="9025" w:leader="dot"/>
            </w:tabs>
            <w:rPr/>
          </w:pPr>
          <w:hyperlink w:anchor="__RefHeading___Toc16065_1894618434">
            <w:r>
              <w:rPr>
                <w:webHidden/>
                <w:rStyle w:val="IndexLink"/>
                <w:i w:val="false"/>
                <w:iCs w:val="false"/>
              </w:rPr>
              <w:t>16.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5991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optional services confirmed by management on 04 October 2026: the activation and connector go-live lines are standard optional services, and the regulator and partner items are added under "Optional modules and partner services"; package totals unchanged. Version 1.1: software list completed with the AML/CFT toolkit, IC compliance registers, BIR pack, integration connectors, dealer programmes and branding, all included; optional lines for their activation and for connector go-live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5993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5995_1894618434"/>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and sales invoices, remittance to insurers, commission, general ledger, bank and insurer reconciliation, BIR forms and returns, anti-money laundering, the Insurance Commission and privacy registers, integrations with SMS gateways, the CTPL provider, insurers and banks, dealer programmes,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04 October 2026. A binding price is the price in a signed Order Form.</w:t>
      </w:r>
      <w:r>
        <w:br w:type="page"/>
      </w:r>
    </w:p>
    <w:p>
      <w:pPr>
        <w:pStyle w:val="Heading1"/>
        <w:rPr/>
      </w:pPr>
      <w:bookmarkStart w:id="7" w:name="__RefHeading___Toc15997_1894618434"/>
      <w:bookmarkEnd w:id="7"/>
      <w:r>
        <w:rPr>
          <w:rFonts w:eastAsia="Segoe UI" w:cs="Segoe UI" w:ascii="Segoe UI" w:hAnsi="Segoe UI"/>
          <w:b/>
          <w:color w:val="0F4761"/>
          <w:sz w:val="32"/>
        </w:rPr>
        <w:t>4.  Packages at a glance</w:t>
      </w:r>
    </w:p>
    <w:p>
      <w:pPr>
        <w:pStyle w:val="Heading2"/>
        <w:rPr/>
      </w:pPr>
      <w:bookmarkStart w:id="8" w:name="__RefHeading___Toc15999_1894618434"/>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of the standing environment set of the size (see Hosting). Year 1 and 5-year totals include the AMC and the yearly support where they apply, with the 5% yearly increase, and the temporary Pre-Prod environment: 2 months in Year 1 for the go-live rehearsal and 1 month a year after for a major release. The 5-year total assumes the contract continues to Year 5.</w:t>
      </w:r>
    </w:p>
    <w:p>
      <w:pPr>
        <w:pStyle w:val="Heading2"/>
        <w:rPr/>
      </w:pPr>
      <w:bookmarkStart w:id="9" w:name="__RefHeading___Toc16001_1894618434"/>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7,018,764.00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111,853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6,466,107.00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103,046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8,026,259.00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127,909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16003_1894618434"/>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18,314,748.00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291,868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16,214,173.00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258,393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19,034,476.00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303,338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16005_1894618434"/>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11,372,000.00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44,756,251.00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713,247</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18,968,000.00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38,863,284.00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619,335</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43,632,352.00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695,336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16007_1894618434"/>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20,850,000.00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86,492,348.00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1,378,364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35,910,000.00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74,191,674.00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1,182,337</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37,524,000.00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81,886,121.00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1,304,958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16009_1894618434"/>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16011_1894618434"/>
      <w:bookmarkEnd w:id="14"/>
      <w:r>
        <w:rPr>
          <w:rFonts w:eastAsia="Segoe UI" w:cs="Segoe UI" w:ascii="Segoe UI" w:hAnsi="Segoe UI"/>
          <w:b/>
          <w:color w:val="0F4761"/>
          <w:sz w:val="32"/>
        </w:rPr>
        <w:t>5.  What every package includes</w:t>
      </w:r>
    </w:p>
    <w:p>
      <w:pPr>
        <w:pStyle w:val="Heading2"/>
        <w:rPr/>
      </w:pPr>
      <w:bookmarkStart w:id="15" w:name="__RefHeading___Toc16013_1894618434"/>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lead assignment, distribution channels, dealer programmes, fleets, marine open covers, campaigns, placement, cover notes, policy issuance and servicing, endorsements and cancellations, claims, renewals, billing, official receipts, collections, post-dated cheques, remittance to insurers, direct bill, commission and referrer sharing, overriding commission from insurers, accounts payable, bank payment files, fixed assets, petty cash, journals, general ledger, bank and insurer reconciliation, month-end and year-end close, BIR forms and returns (2307, 0619-E, 1601-EQ, 1604-E, 2551Q, VAT Summary, SAWT, QAP, SLSP, DAT files), EOPT sales invoices, the EIS connector and the CAS books pack, the AML/CFT toolkit, the IC and NPC compliance registers, reinsurance and facultative placements, incentives, My Work, the Report Builder and BI extract, broker branding and e-signatures.</w:t>
      </w:r>
    </w:p>
    <w:p>
      <w:pPr>
        <w:pStyle w:val="Normal"/>
        <w:numPr>
          <w:ilvl w:val="0"/>
          <w:numId w:val="1"/>
        </w:numPr>
        <w:spacing w:before="0" w:after="60"/>
        <w:rPr/>
      </w:pPr>
      <w:r>
        <w:rPr>
          <w:rFonts w:eastAsia="Segoe UI" w:cs="Segoe UI" w:ascii="Segoe UI" w:hAnsi="Segoe UI"/>
          <w:color w:val="101820"/>
          <w:sz w:val="21"/>
        </w:rPr>
        <w:t>The integration framework with the delivered connectors (SMS and Viber, CTPL authentication and the LTO feed, insurer API, bank payment files), delivered in test mode.</w:t>
      </w:r>
    </w:p>
    <w:p>
      <w:pPr>
        <w:pStyle w:val="Normal"/>
        <w:numPr>
          <w:ilvl w:val="0"/>
          <w:numId w:val="1"/>
        </w:numPr>
        <w:spacing w:before="0" w:after="60"/>
        <w:rPr/>
      </w:pPr>
      <w:r>
        <w:rPr>
          <w:rFonts w:eastAsia="Segoe UI" w:cs="Segoe UI" w:ascii="Segoe UI" w:hAnsi="Segoe UI"/>
          <w:color w:val="101820"/>
          <w:sz w:val="21"/>
        </w:rPr>
        <w:t>The eight delivered roles, maker-checker approvals, the authority matrix, segregation of duties checks, two-step verification, masking of personal identifiers by role and the audit trail.</w:t>
      </w:r>
    </w:p>
    <w:p>
      <w:pPr>
        <w:pStyle w:val="Normal"/>
        <w:numPr>
          <w:ilvl w:val="0"/>
          <w:numId w:val="1"/>
        </w:numPr>
        <w:spacing w:before="0" w:after="60"/>
        <w:rPr/>
      </w:pPr>
      <w:r>
        <w:rPr>
          <w:rFonts w:eastAsia="Segoe UI" w:cs="Segoe UI" w:ascii="Segoe UI" w:hAnsi="Segoe UI"/>
          <w:color w:val="101820"/>
          <w:sz w:val="21"/>
        </w:rPr>
        <w:t>No module is priced as an add-on. The set-up of the regulatory modules and the go-live of each connector with its partner are optional services (below).</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16015_1894618434"/>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16017_1894618434"/>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16019_1894618434"/>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The environment set of the size: Dev, UAT and Production for Small and Medium brokers; Dev, SIT, UAT and Production with high availability for Large and Enterprise brokers.</w:t>
      </w:r>
    </w:p>
    <w:p>
      <w:pPr>
        <w:pStyle w:val="Normal"/>
        <w:numPr>
          <w:ilvl w:val="0"/>
          <w:numId w:val="1"/>
        </w:numPr>
        <w:spacing w:before="0" w:after="60"/>
        <w:rPr/>
      </w:pPr>
      <w:r>
        <w:rPr>
          <w:rFonts w:eastAsia="Segoe UI" w:cs="Segoe UI" w:ascii="Segoe UI" w:hAnsi="Segoe UI"/>
          <w:color w:val="101820"/>
          <w:sz w:val="21"/>
        </w:rPr>
        <w:t>A temporary Pre-Prod environment for the go-live rehearsal and for each major release, billed per month of use.</w:t>
      </w:r>
    </w:p>
    <w:p>
      <w:pPr>
        <w:pStyle w:val="Normal"/>
        <w:numPr>
          <w:ilvl w:val="0"/>
          <w:numId w:val="1"/>
        </w:numPr>
        <w:spacing w:before="0" w:after="60"/>
        <w:rPr/>
      </w:pPr>
      <w:r>
        <w:rPr>
          <w:rFonts w:eastAsia="Segoe UI" w:cs="Segoe UI" w:ascii="Segoe UI" w:hAnsi="Segoe UI"/>
          <w:color w:val="101820"/>
          <w:sz w:val="21"/>
        </w:rPr>
        <w:t>Daily backups, monitoring, patching of the operating system and database, and TLS certificates.</w:t>
      </w:r>
      <w:r>
        <w:br w:type="page"/>
      </w:r>
    </w:p>
    <w:p>
      <w:pPr>
        <w:pStyle w:val="Heading1"/>
        <w:rPr/>
      </w:pPr>
      <w:bookmarkStart w:id="19" w:name="__RefHeading___Toc16021_1894618434"/>
      <w:bookmarkEnd w:id="19"/>
      <w:r>
        <w:rPr>
          <w:rFonts w:eastAsia="Segoe UI" w:cs="Segoe UI" w:ascii="Segoe UI" w:hAnsi="Segoe UI"/>
          <w:b/>
          <w:color w:val="0F4761"/>
          <w:sz w:val="32"/>
        </w:rPr>
        <w:t>6.  Licence models</w:t>
      </w:r>
    </w:p>
    <w:p>
      <w:pPr>
        <w:pStyle w:val="Heading2"/>
        <w:rPr/>
      </w:pPr>
      <w:bookmarkStart w:id="20" w:name="__RefHeading___Toc16023_1894618434"/>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16025_1894618434"/>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16027_1894618434"/>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16029_1894618434"/>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16031_1894618434"/>
      <w:bookmarkEnd w:id="24"/>
      <w:r>
        <w:rPr>
          <w:rFonts w:eastAsia="Segoe UI" w:cs="Segoe UI" w:ascii="Segoe UI" w:hAnsi="Segoe UI"/>
          <w:b/>
          <w:color w:val="0F4761"/>
          <w:sz w:val="32"/>
        </w:rPr>
        <w:t>8.  Hosting</w:t>
      </w:r>
    </w:p>
    <w:p>
      <w:pPr>
        <w:pStyle w:val="Heading2"/>
        <w:rPr/>
      </w:pPr>
      <w:bookmarkStart w:id="25" w:name="__RefHeading___Toc16033_1894618434"/>
      <w:bookmarkEnd w:id="25"/>
      <w:r>
        <w:rPr>
          <w:rFonts w:eastAsia="Segoe UI" w:cs="Segoe UI"/>
          <w:b/>
          <w:color w:val="0F4761"/>
          <w:sz w:val="26"/>
        </w:rPr>
        <w:t>8.1  Environments by broker size</w:t>
      </w:r>
    </w:p>
    <w:p>
      <w:pPr>
        <w:pStyle w:val="Normal"/>
        <w:spacing w:lineRule="auto" w:line="276" w:before="0" w:after="120"/>
        <w:rPr/>
      </w:pPr>
      <w:r>
        <w:rPr>
          <w:rFonts w:eastAsia="Segoe UI" w:cs="Segoe UI" w:ascii="Segoe UI" w:hAnsi="Segoe UI"/>
          <w:color w:val="101820"/>
          <w:sz w:val="21"/>
        </w:rPr>
        <w:t>Hosting is optional and is priced per environment set. The set depends on the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a release moves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and system testing in Dev, promoted to UAT for the broker's testing, then to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then the system integration test in SIT, then UAT, then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size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from a production backup for the go-live rehearsal and for each major release, then removed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Pre-Prod copy used by people who have no access to Production is masked first.</w:t>
      </w:r>
    </w:p>
    <w:p>
      <w:pPr>
        <w:pStyle w:val="Heading2"/>
        <w:rPr/>
      </w:pPr>
      <w:bookmarkStart w:id="26" w:name="__RefHeading___Toc16035_1894618434"/>
      <w:bookmarkEnd w:id="26"/>
      <w:r>
        <w:rPr>
          <w:rFonts w:eastAsia="Segoe UI" w:cs="Segoe UI"/>
          <w:b/>
          <w:color w:val="0F4761"/>
          <w:sz w:val="26"/>
        </w:rPr>
        <w:t>8.2  Standing environments, per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price is the sum of the environments of the set. On AWS: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1530"/>
        <w:gridCol w:w="1531"/>
        <w:gridCol w:w="1532"/>
        <w:gridCol w:w="2721"/>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5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 (PHP)</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(PHP)</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 (PHP)</w:t>
            </w:r>
          </w:p>
        </w:tc>
        <w:tc>
          <w:tcPr>
            <w:tcW w:w="2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(PHP)</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of Large and Enterprise brokers runs with a standby database; Enterprise also keeps a cross-region copy of the backups.</w:t>
      </w:r>
    </w:p>
    <w:p>
      <w:pPr>
        <w:pStyle w:val="Heading2"/>
        <w:rPr/>
      </w:pPr>
      <w:bookmarkStart w:id="27" w:name="__RefHeading___Toc16037_1894618434"/>
      <w:bookmarkEnd w:id="27"/>
      <w:r>
        <w:rPr>
          <w:rFonts w:eastAsia="Segoe UI" w:cs="Segoe UI"/>
          <w:b/>
          <w:color w:val="0F4761"/>
          <w:sz w:val="26"/>
        </w:rPr>
        <w:t>8.3  Pre-Prod, per month of use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1803"/>
        <w:gridCol w:w="1983"/>
        <w:gridCol w:w="3425"/>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w:t>
            </w:r>
          </w:p>
        </w:tc>
        <w:tc>
          <w:tcPr>
            <w:tcW w:w="1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177,000.00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runs at production size, so the rehearsal measures real timings. It is billed only for the months it exists. For budgeting, plan 1 to 2 months around go-live and 1 month for each major release.</w:t>
      </w:r>
    </w:p>
    <w:p>
      <w:pPr>
        <w:pStyle w:val="Heading2"/>
        <w:rPr/>
      </w:pPr>
      <w:bookmarkStart w:id="28" w:name="__RefHeading___Toc16039_1894618434"/>
      <w:bookmarkEnd w:id="28"/>
      <w:r>
        <w:rPr>
          <w:rFonts w:eastAsia="Segoe UI" w:cs="Segoe UI"/>
          <w:b/>
          <w:color w:val="0F4761"/>
          <w:sz w:val="26"/>
        </w:rPr>
        <w:t>8.4  Hosting per year on AWS, for budgeting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940"/>
        <w:gridCol w:w="394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standing set and 2 months of Pre-Prod (PHP)</w:t>
            </w:r>
          </w:p>
        </w:tc>
        <w:tc>
          <w:tcPr>
            <w:tcW w:w="3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later year: standing set and 1 month of Pre-Prod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922,000.00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875,000.00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1,888,000.00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3,410,000.00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3,241,000.00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it provides the same environment set.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Hosting fees do not increase each year. They change only under the pass-through clause of the Hosting and Infrastructure Services Agreement.</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9" w:name="__RefHeading___Toc16041_1894618434"/>
      <w:bookmarkEnd w:id="29"/>
      <w:r>
        <w:rPr>
          <w:rFonts w:eastAsia="Segoe UI" w:cs="Segoe UI" w:ascii="Segoe UI" w:hAnsi="Segoe UI"/>
          <w:b/>
          <w:color w:val="0F4761"/>
          <w:sz w:val="32"/>
        </w:rPr>
        <w:t>9.  Support and maintenance</w:t>
      </w:r>
    </w:p>
    <w:p>
      <w:pPr>
        <w:pStyle w:val="Heading2"/>
        <w:rPr/>
      </w:pPr>
      <w:bookmarkStart w:id="30" w:name="__RefHeading___Toc16043_1894618434"/>
      <w:bookmarkEnd w:id="30"/>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31" w:name="__RefHeading___Toc16045_1894618434"/>
      <w:bookmarkEnd w:id="31"/>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32" w:name="__RefHeading___Toc16047_1894618434"/>
      <w:bookmarkEnd w:id="32"/>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of a kind the delivered connectors do not cover.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p>
    <w:p>
      <w:pPr>
        <w:pStyle w:val="Heading2"/>
        <w:rPr/>
      </w:pPr>
      <w:bookmarkStart w:id="33" w:name="__RefHeading___Toc16049_1894618434"/>
      <w:bookmarkEnd w:id="33"/>
      <w:r>
        <w:rPr>
          <w:rFonts w:eastAsia="Segoe UI" w:cs="Segoe UI"/>
          <w:b/>
          <w:color w:val="0F4761"/>
          <w:sz w:val="26"/>
        </w:rPr>
        <w:t>10.1  Optional modules and partner services</w:t>
      </w:r>
    </w:p>
    <w:p>
      <w:pPr>
        <w:pStyle w:val="Normal"/>
        <w:spacing w:lineRule="auto" w:line="276" w:before="0" w:after="120"/>
        <w:rPr/>
      </w:pPr>
      <w:r>
        <w:rPr>
          <w:rFonts w:eastAsia="Segoe UI" w:cs="Segoe UI" w:ascii="Segoe UI" w:hAnsi="Segoe UI"/>
          <w:color w:val="101820"/>
          <w:sz w:val="21"/>
        </w:rPr>
        <w:t>Every module is included in the software price and in every package. The services below are optional, add-on items: they cover the set-up of a module with the broker's officers and advisers, the go-live of a delivered connector with its partner, and the validation or certification steps that a regulator or a partner requires before first use. Each is priced at its man-days times the blended day rate of PHP 16,100.00, rounded to PHP 10,000.00. The regulator's or partner's own fees (AMLC, IC, BIR, the CTPL provider, insurers, banks, gateways and list providers) are not included; the broker contracts and pays the partner directly.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35"/>
        <w:gridCol w:w="1123"/>
        <w:gridCol w:w="1379"/>
        <w:gridCol w:w="1242"/>
        <w:gridCol w:w="2636"/>
      </w:tblGrid>
      <w:tr>
        <w:trPr>
          <w:tblHeader w:val="true"/>
        </w:trPr>
        <w:tc>
          <w:tcPr>
            <w:tcW w:w="2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Price (PHP)</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USD reference</w:t>
            </w:r>
          </w:p>
        </w:tc>
        <w:tc>
          <w:tcPr>
            <w:tcW w:w="26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Scope</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 go-live with a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80,000.00 per connector</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1,275</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delivered connector (one SMS gateway, the CTPL provider and LTO feed, one insurer's API mapping, one bank's file layout, or the BIR EIS) taken live: configuration, credential check, live test and support of the partner's acceptance</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AML/CFT toolkit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2,072</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Risk factors and rules workshop with the compliance officer, settings, first list loads, provider set-up and a test AMLC file</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IC compliance registers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1,594</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and fit and proper register load, insurer certificates, complaints and breach settings, mapping of the IC statement to the broker's chart</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Activation of the BIR pack</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2,072</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and EOPT invoice settings with the tax adviser, ATC mapping, DAT file dry run, CAS books pack</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Dealer programme set-up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per programme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797</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Channels, rates, subsidy, bank letter and the first upload of one programme</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brand pack</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per pack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sign-in picture, document and e-mail branding, e-signature mapping and the exported pack</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AMLC reporting file validation and portal test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797</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CTR and STR layout, institution and transaction codes confirmed with the AMLC, test file accepted in the AMLC portal</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 annual statement form alignment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797</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accountant's working paper mapped to the IC form set in force for the year</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EOPT invoicing review with the broker's tax adviser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Registered invoice documents, supplementary wording, VAT treatment, ATP or CAS</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CAS registration support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956</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Books, system description and the Permit to Use filing prepared with the broker</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EIS enrolment and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1,275</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enrolment, signing certificate, final field list, production endpoint and certification of the connector</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authentication and LTO interface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956</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of the live requests by the accredited provider, COC series and the LTO interface where the provider does not transmit</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API onboarding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50,000.00 per insurer</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797</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Endpoint, credentials, field mapping and live test with one insurer</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per bank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Layout validated against the bank's specification and a test file accepted by the bank</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or Viber gateway activation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319</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Sender name or short code, live credentials, templates and consent check tested with the gateway</w:t>
            </w:r>
          </w:p>
        </w:tc>
      </w:tr>
      <w:tr>
        <w:trPr/>
        <w:tc>
          <w:tcPr>
            <w:tcW w:w="2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list provider onboarding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 one-time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478</w:t>
            </w:r>
          </w:p>
        </w:tc>
        <w:tc>
          <w:tcPr>
            <w:tcW w:w="26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contract data, API key, adapter test and first screening run</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compliance officer, the accountant and the tax adviser confirm the settings and the treatment; every filing, registration and enrolment with a regulator stays with the broker, in its name.</w:t>
      </w:r>
    </w:p>
    <w:p>
      <w:pPr>
        <w:pStyle w:val="Normal"/>
        <w:numPr>
          <w:ilvl w:val="0"/>
          <w:numId w:val="1"/>
        </w:numPr>
        <w:spacing w:before="0" w:after="60"/>
        <w:rPr/>
      </w:pPr>
      <w:r>
        <w:rPr>
          <w:rFonts w:eastAsia="Segoe UI" w:cs="Segoe UI" w:ascii="Segoe UI" w:hAnsi="Segoe UI"/>
          <w:color w:val="101820"/>
          <w:sz w:val="21"/>
        </w:rPr>
        <w:t>A client brand pack carries the marks of a client of iorta TechNXT and is applied only in that client's environments, under the client's contract with iorta TechNXT, which covers the use of its marks there.</w:t>
      </w:r>
    </w:p>
    <w:p>
      <w:pPr>
        <w:pStyle w:val="Normal"/>
        <w:numPr>
          <w:ilvl w:val="0"/>
          <w:numId w:val="1"/>
        </w:numPr>
        <w:spacing w:before="0" w:after="60"/>
        <w:rPr/>
      </w:pPr>
      <w:r>
        <w:rPr>
          <w:rFonts w:eastAsia="Segoe UI" w:cs="Segoe UI" w:ascii="Segoe UI" w:hAnsi="Segoe UI"/>
          <w:color w:val="101820"/>
          <w:sz w:val="21"/>
        </w:rPr>
        <w:t>These services do not change any package price. They are quoted on the Order Form as separate one-time lines and are invoiced on delivery.</w:t>
      </w:r>
      <w:r>
        <w:br w:type="page"/>
      </w:r>
    </w:p>
    <w:p>
      <w:pPr>
        <w:pStyle w:val="Heading1"/>
        <w:rPr/>
      </w:pPr>
      <w:bookmarkStart w:id="34" w:name="__RefHeading___Toc16051_1894618434"/>
      <w:bookmarkEnd w:id="34"/>
      <w:r>
        <w:rPr>
          <w:rFonts w:eastAsia="Segoe UI" w:cs="Segoe UI" w:ascii="Segoe UI" w:hAnsi="Segoe UI"/>
          <w:b/>
          <w:color w:val="0F4761"/>
          <w:sz w:val="32"/>
        </w:rPr>
        <w:t>11.  Change requests</w:t>
      </w:r>
    </w:p>
    <w:p>
      <w:pPr>
        <w:pStyle w:val="Heading2"/>
        <w:rPr/>
      </w:pPr>
      <w:bookmarkStart w:id="35" w:name="__RefHeading___Toc16053_1894618434"/>
      <w:bookmarkEnd w:id="35"/>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6" w:name="__RefHeading___Toc16055_1894618434"/>
      <w:bookmarkEnd w:id="36"/>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7" w:name="__RefHeading___Toc16057_1894618434"/>
      <w:bookmarkEnd w:id="37"/>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monthly in advance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8" w:name="__RefHeading___Toc16059_1894618434"/>
      <w:bookmarkEnd w:id="38"/>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9" w:name="__RefHeading___Toc16061_1894618434"/>
      <w:bookmarkEnd w:id="39"/>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04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40" w:name="__RefHeading___Toc16063_1894618434"/>
      <w:bookmarkEnd w:id="40"/>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1" w:name="__RefHeading___Toc16065_1894618434"/>
      <w:bookmarkStart w:id="42" w:name="_Toc233203395"/>
      <w:bookmarkEnd w:id="41"/>
      <w:r>
        <w:rPr>
          <w:rStyle w:val="BookTitle"/>
          <w:bCs w:val="false"/>
          <w:i w:val="false"/>
          <w:iCs w:val="false"/>
          <w:spacing w:val="0"/>
        </w:rPr>
        <w:t>16.  Document Sign-Off</w:t>
      </w:r>
      <w:bookmarkEnd w:id="4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2026-10-04T12:59:15Z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