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5.xml" ContentType="application/vnd.openxmlformats-officedocument.wordprocessingml.footer+xml"/>
  <Override PartName="/word/media/image1.png" ContentType="image/png"/>
  <Override PartName="/word/media/image2.png" ContentType="image/png"/>
  <Override PartName="/word/header4.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footer7.xml" ContentType="application/vnd.openxmlformats-officedocument.wordprocessingml.footer+xml"/>
  <Override PartName="/word/header6.xml" ContentType="application/vnd.openxmlformats-officedocument.wordprocessingml.header+xml"/>
  <Override PartName="/word/numbering.xml" ContentType="application/vnd.openxmlformats-officedocument.wordprocessingml.numbering+xml"/>
  <Override PartName="/word/footer6.xml" ContentType="application/vnd.openxmlformats-officedocument.wordprocessingml.footer+xml"/>
  <Override PartName="/word/header5.xml" ContentType="application/vnd.openxmlformats-officedocument.wordprocessingml.header+xml"/>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0"/>
        <w:rPr/>
      </w:pPr>
      <w:r>
        <w:rPr/>
        <w:drawing>
          <wp:inline distT="0" distB="0" distL="0" distR="0">
            <wp:extent cx="2199005" cy="6477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199005" cy="647700"/>
                    </a:xfrm>
                    <a:prstGeom prst="rect">
                      <a:avLst/>
                    </a:prstGeom>
                  </pic:spPr>
                </pic:pic>
              </a:graphicData>
            </a:graphic>
          </wp:inline>
        </w:drawing>
      </w:r>
    </w:p>
    <w:tbl>
      <w:tblPr>
        <w:tblW w:w="9637" w:type="dxa"/>
        <w:jc w:val="center"/>
        <w:tblInd w:w="0" w:type="dxa"/>
        <w:tblLayout w:type="fixed"/>
        <w:tblCellMar>
          <w:top w:w="520" w:type="dxa"/>
          <w:left w:w="450" w:type="dxa"/>
          <w:bottom w:w="520" w:type="dxa"/>
          <w:right w:w="450" w:type="dxa"/>
        </w:tblCellMar>
        <w:tblLook w:val="04a0" w:noHBand="0" w:noVBand="1" w:firstColumn="1" w:lastRow="0" w:lastColumn="0" w:firstRow="1"/>
      </w:tblPr>
      <w:tblGrid>
        <w:gridCol w:w="9637"/>
      </w:tblGrid>
      <w:tr>
        <w:trPr/>
        <w:tc>
          <w:tcPr>
            <w:tcW w:w="9637" w:type="dxa"/>
            <w:tcBorders>
              <w:top w:val="single" w:sz="4" w:space="0" w:color="0065B3"/>
              <w:left w:val="single" w:sz="4" w:space="0" w:color="0065B3"/>
              <w:bottom w:val="single" w:sz="4" w:space="0" w:color="0065B3"/>
              <w:right w:val="single" w:sz="4" w:space="0" w:color="0065B3"/>
            </w:tcBorders>
            <w:shd w:color="auto" w:fill="0065B3" w:val="clear"/>
          </w:tcPr>
          <w:p>
            <w:pPr>
              <w:pStyle w:val="Normal"/>
              <w:spacing w:before="0" w:after="40"/>
              <w:rPr/>
            </w:pPr>
            <w:r>
              <w:rPr>
                <w:rFonts w:eastAsia="Nunito" w:cs="Nunito"/>
                <w:b/>
                <w:color w:val="FFFFFF"/>
                <w:sz w:val="80"/>
              </w:rPr>
              <w:t>BrokerVerse OOTB</w:t>
            </w:r>
          </w:p>
          <w:p>
            <w:pPr>
              <w:pStyle w:val="Normal"/>
              <w:spacing w:before="0" w:after="440"/>
              <w:rPr/>
            </w:pPr>
            <w:r>
              <w:rPr>
                <w:rFonts w:eastAsia="Nunito" w:cs="Nunito"/>
                <w:color w:val="EAF6FD"/>
                <w:sz w:val="26"/>
              </w:rPr>
              <w:t>Insurance broking platform by iorta TechNXT</w:t>
            </w:r>
          </w:p>
          <w:p>
            <w:pPr>
              <w:pStyle w:val="Normal"/>
              <w:spacing w:before="0" w:after="80"/>
              <w:rPr/>
            </w:pPr>
            <w:r>
              <w:rPr>
                <w:rFonts w:eastAsia="Nunito" w:cs="Nunito"/>
                <w:b/>
                <w:color w:val="9FDDF8"/>
                <w:sz w:val="24"/>
              </w:rPr>
              <w:t>Solution Architecture  ·  Document 09 of 11</w:t>
            </w:r>
          </w:p>
          <w:p>
            <w:pPr>
              <w:pStyle w:val="Normal"/>
              <w:widowControl/>
              <w:bidi w:val="0"/>
              <w:spacing w:lineRule="auto" w:line="264" w:before="0" w:after="100"/>
              <w:jc w:val="left"/>
              <w:rPr/>
            </w:pPr>
            <w:r>
              <w:rPr>
                <w:rFonts w:eastAsia="Nunito" w:cs="Nunito"/>
                <w:b/>
                <w:color w:val="FFFFFF"/>
                <w:sz w:val="50"/>
              </w:rPr>
              <w:t>Backup and Recovery</w:t>
            </w:r>
          </w:p>
        </w:tc>
      </w:tr>
    </w:tbl>
    <w:p>
      <w:pPr>
        <w:pStyle w:val="Normal"/>
        <w:spacing w:before="600" w:after="100"/>
        <w:rPr/>
      </w:pPr>
      <w:r>
        <w:rPr/>
      </w:r>
    </w:p>
    <w:tbl>
      <w:tblPr>
        <w:tblW w:w="9637" w:type="dxa"/>
        <w:jc w:val="left"/>
        <w:tblInd w:w="2" w:type="dxa"/>
        <w:tblLayout w:type="fixed"/>
        <w:tblCellMar>
          <w:top w:w="60" w:type="dxa"/>
          <w:left w:w="110" w:type="dxa"/>
          <w:bottom w:w="60" w:type="dxa"/>
          <w:right w:w="110" w:type="dxa"/>
        </w:tblCellMar>
        <w:tblLook w:val="04a0" w:noHBand="0" w:noVBand="1" w:firstColumn="1" w:lastRow="0" w:lastColumn="0" w:firstRow="1"/>
      </w:tblPr>
      <w:tblGrid>
        <w:gridCol w:w="2381"/>
        <w:gridCol w:w="7255"/>
      </w:tblGrid>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Product</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BrokerVerse OOTB</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Document</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09  Backup and Recovery</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Version</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1.2</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Date</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04 October 2026</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Prepared by</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iorta TechNXT</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Classification</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Confidential: for the client, iorta TechNXT and authorised partners</w:t>
            </w:r>
          </w:p>
        </w:tc>
      </w:tr>
    </w:tbl>
    <w:p>
      <w:pPr>
        <w:pStyle w:val="Normal"/>
        <w:spacing w:before="1400" w:after="100"/>
        <w:rPr/>
      </w:pPr>
      <w:r>
        <w:rPr>
          <w:rFonts w:eastAsia="Nunito" w:cs="Nunito"/>
          <w:b/>
          <w:color w:val="5B6776"/>
          <w:sz w:val="20"/>
        </w:rPr>
        <w:t>Prepared by iorta TechNXT</w:t>
      </w:r>
    </w:p>
    <w:p>
      <w:pPr>
        <w:pStyle w:val="Normal"/>
        <w:rPr/>
      </w:pPr>
      <w:r>
        <w:rPr/>
      </w:r>
      <w:r>
        <w:br w:type="page"/>
      </w:r>
    </w:p>
    <w:p>
      <w:pPr>
        <w:pStyle w:val="Normal"/>
        <w:pBdr>
          <w:bottom w:val="single" w:sz="12" w:space="6" w:color="00ACF1"/>
        </w:pBdr>
        <w:spacing w:before="0" w:after="160"/>
        <w:rPr/>
      </w:pPr>
      <w:r>
        <w:rPr>
          <w:rFonts w:eastAsia="Nunito" w:cs="Nunito"/>
          <w:b/>
          <w:color w:val="0065B3"/>
          <w:sz w:val="36"/>
        </w:rPr>
        <w:t>Document control</w:t>
      </w:r>
    </w:p>
    <w:tbl>
      <w:tblPr>
        <w:tblW w:w="9637" w:type="dxa"/>
        <w:jc w:val="left"/>
        <w:tblInd w:w="2" w:type="dxa"/>
        <w:tblLayout w:type="fixed"/>
        <w:tblCellMar>
          <w:top w:w="60" w:type="dxa"/>
          <w:left w:w="110" w:type="dxa"/>
          <w:bottom w:w="60" w:type="dxa"/>
          <w:right w:w="110" w:type="dxa"/>
        </w:tblCellMar>
        <w:tblLook w:val="04a0" w:noHBand="0" w:noVBand="1" w:firstColumn="1" w:lastRow="0" w:lastColumn="0" w:firstRow="1"/>
      </w:tblPr>
      <w:tblGrid>
        <w:gridCol w:w="2381"/>
        <w:gridCol w:w="7255"/>
      </w:tblGrid>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Document</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BrokerVerse OOTB Solution Architecture: 09 Backup and Recovery</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Document ID</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BV-SA-09</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Version</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1.2</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Status</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Issued for review</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Date</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04 October 2026</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Prepared by</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iorta TechNXT</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Source baseline</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BrokerVerse source repository, branch brokerverse-platform (backend/, brokerverse/, deploy/, docker-compose.yml, .github/workflows, docs/)</w:t>
            </w:r>
          </w:p>
        </w:tc>
      </w:tr>
    </w:tbl>
    <w:p>
      <w:pPr>
        <w:pStyle w:val="Normal"/>
        <w:spacing w:before="200" w:after="100"/>
        <w:rPr/>
      </w:pPr>
      <w:r>
        <w:rPr>
          <w:rFonts w:eastAsia="Nunito" w:cs="Nunito"/>
          <w:b/>
          <w:color w:val="0065B3"/>
          <w:sz w:val="24"/>
        </w:rPr>
        <w:t>Version history</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1156"/>
        <w:gridCol w:w="1734"/>
        <w:gridCol w:w="1927"/>
        <w:gridCol w:w="4819"/>
      </w:tblGrid>
      <w:tr>
        <w:trPr>
          <w:tblHeader w:val="true"/>
          <w:cantSplit w:val="true"/>
        </w:trPr>
        <w:tc>
          <w:tcPr>
            <w:tcW w:w="1156"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Version</w:t>
            </w:r>
          </w:p>
        </w:tc>
        <w:tc>
          <w:tcPr>
            <w:tcW w:w="173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Date</w:t>
            </w:r>
          </w:p>
        </w:tc>
        <w:tc>
          <w:tcPr>
            <w:tcW w:w="1927"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Author</w:t>
            </w:r>
          </w:p>
        </w:tc>
        <w:tc>
          <w:tcPr>
            <w:tcW w:w="4819"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Change</w:t>
            </w:r>
          </w:p>
        </w:tc>
      </w:tr>
      <w:tr>
        <w:trPr>
          <w:cantSplit w:val="true"/>
        </w:trPr>
        <w:tc>
          <w:tcPr>
            <w:tcW w:w="115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1.0</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29 September 2026</w:t>
            </w:r>
          </w:p>
        </w:tc>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iorta TechNXT</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Initial issue</w:t>
            </w:r>
          </w:p>
        </w:tc>
      </w:tr>
      <w:tr>
        <w:trPr>
          <w:cantSplit w:val="true"/>
        </w:trPr>
        <w:tc>
          <w:tcPr>
            <w:tcW w:w="11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1.1</w:t>
            </w:r>
          </w:p>
        </w:tc>
        <w:tc>
          <w:tcPr>
            <w:tcW w:w="173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29 September 2026</w:t>
            </w:r>
          </w:p>
        </w:tc>
        <w:tc>
          <w:tcPr>
            <w:tcW w:w="1927"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iorta TechNXT</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Updated to the current system: placement journey, co-insurance, posting rules, period end and BIR tax, bank reconciliation, document numbering, commission rate matrix, single PDF engine, uploads and go-live imports, housekeeping, business time zone, broker roles, deployment on the BrokerVerse URL</w:t>
            </w:r>
          </w:p>
        </w:tc>
      </w:tr>
      <w:tr>
        <w:trPr>
          <w:cantSplit w:val="true"/>
        </w:trPr>
        <w:tc>
          <w:tcPr>
            <w:tcW w:w="115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1.2</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04 October 2026</w:t>
            </w:r>
          </w:p>
        </w:tc>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iorta TechNXT</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New modules (AML/CFT, BIR, payables and fixed assets, distribution, fleet and marine, My Work, go-live workbench), integration framework, encryption and masking of personal data, branding and e-signatures, release pipeline; database at migration 0322 (reference data), new ER diagrams</w:t>
            </w:r>
          </w:p>
        </w:tc>
      </w:tr>
    </w:tbl>
    <w:p>
      <w:pPr>
        <w:pStyle w:val="Normal"/>
        <w:spacing w:before="200" w:after="100"/>
        <w:rPr/>
      </w:pPr>
      <w:r>
        <w:rPr>
          <w:rFonts w:eastAsia="Nunito" w:cs="Nunito"/>
          <w:b/>
          <w:color w:val="0065B3"/>
          <w:sz w:val="24"/>
        </w:rPr>
        <w:t>Review and approval</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3276"/>
        <w:gridCol w:w="2891"/>
        <w:gridCol w:w="1928"/>
        <w:gridCol w:w="1541"/>
      </w:tblGrid>
      <w:tr>
        <w:trPr>
          <w:tblHeader w:val="true"/>
          <w:cantSplit w:val="true"/>
        </w:trPr>
        <w:tc>
          <w:tcPr>
            <w:tcW w:w="3276"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Role</w:t>
            </w:r>
          </w:p>
        </w:tc>
        <w:tc>
          <w:tcPr>
            <w:tcW w:w="289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Name</w:t>
            </w:r>
          </w:p>
        </w:tc>
        <w:tc>
          <w:tcPr>
            <w:tcW w:w="192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Signature</w:t>
            </w:r>
          </w:p>
        </w:tc>
        <w:tc>
          <w:tcPr>
            <w:tcW w:w="154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Date</w:t>
            </w:r>
          </w:p>
        </w:tc>
      </w:tr>
      <w:tr>
        <w:trPr>
          <w:cantSplit w:val="true"/>
        </w:trPr>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Solution architect</w:t>
            </w:r>
          </w:p>
        </w:tc>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
          </w:p>
        </w:tc>
        <w:tc>
          <w:tcPr>
            <w:tcW w:w="1928" w:type="dxa"/>
            <w:tcBorders>
              <w:top w:val="single" w:sz="4" w:space="0" w:color="C9D6E3"/>
              <w:left w:val="single" w:sz="4" w:space="0" w:color="C9D6E3"/>
              <w:bottom w:val="single" w:sz="4" w:space="0" w:color="C9D6E3"/>
              <w:right w:val="single" w:sz="4" w:space="0" w:color="C9D6E3"/>
            </w:tcBorders>
          </w:tcPr>
          <w:p>
            <w:pPr>
              <w:pStyle w:val="TableText"/>
              <w:rPr/>
            </w:pPr>
            <w:r>
              <w:rPr/>
            </w:r>
          </w:p>
        </w:tc>
        <w:tc>
          <w:tcPr>
            <w:tcW w:w="1541" w:type="dxa"/>
            <w:tcBorders>
              <w:top w:val="single" w:sz="4" w:space="0" w:color="C9D6E3"/>
              <w:left w:val="single" w:sz="4" w:space="0" w:color="C9D6E3"/>
              <w:bottom w:val="single" w:sz="4" w:space="0" w:color="C9D6E3"/>
              <w:right w:val="single" w:sz="4" w:space="0" w:color="C9D6E3"/>
            </w:tcBorders>
          </w:tcPr>
          <w:p>
            <w:pPr>
              <w:pStyle w:val="TableText"/>
              <w:rPr/>
            </w:pPr>
            <w:r>
              <w:rPr/>
            </w:r>
          </w:p>
        </w:tc>
      </w:tr>
      <w:tr>
        <w:trPr>
          <w:cantSplit w:val="true"/>
        </w:trPr>
        <w:tc>
          <w:tcPr>
            <w:tcW w:w="327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DevOps / infrastructure lead</w:t>
            </w:r>
          </w:p>
        </w:tc>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c>
          <w:tcPr>
            <w:tcW w:w="192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c>
          <w:tcPr>
            <w:tcW w:w="154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r>
      <w:tr>
        <w:trPr>
          <w:cantSplit w:val="true"/>
        </w:trPr>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Information security</w:t>
            </w:r>
          </w:p>
        </w:tc>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
          </w:p>
        </w:tc>
        <w:tc>
          <w:tcPr>
            <w:tcW w:w="1928" w:type="dxa"/>
            <w:tcBorders>
              <w:top w:val="single" w:sz="4" w:space="0" w:color="C9D6E3"/>
              <w:left w:val="single" w:sz="4" w:space="0" w:color="C9D6E3"/>
              <w:bottom w:val="single" w:sz="4" w:space="0" w:color="C9D6E3"/>
              <w:right w:val="single" w:sz="4" w:space="0" w:color="C9D6E3"/>
            </w:tcBorders>
          </w:tcPr>
          <w:p>
            <w:pPr>
              <w:pStyle w:val="TableText"/>
              <w:rPr/>
            </w:pPr>
            <w:r>
              <w:rPr/>
            </w:r>
          </w:p>
        </w:tc>
        <w:tc>
          <w:tcPr>
            <w:tcW w:w="1541" w:type="dxa"/>
            <w:tcBorders>
              <w:top w:val="single" w:sz="4" w:space="0" w:color="C9D6E3"/>
              <w:left w:val="single" w:sz="4" w:space="0" w:color="C9D6E3"/>
              <w:bottom w:val="single" w:sz="4" w:space="0" w:color="C9D6E3"/>
              <w:right w:val="single" w:sz="4" w:space="0" w:color="C9D6E3"/>
            </w:tcBorders>
          </w:tcPr>
          <w:p>
            <w:pPr>
              <w:pStyle w:val="TableText"/>
              <w:rPr/>
            </w:pPr>
            <w:r>
              <w:rPr/>
            </w:r>
          </w:p>
        </w:tc>
      </w:tr>
      <w:tr>
        <w:trPr>
          <w:cantSplit w:val="true"/>
        </w:trPr>
        <w:tc>
          <w:tcPr>
            <w:tcW w:w="327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Business owner</w:t>
            </w:r>
          </w:p>
        </w:tc>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c>
          <w:tcPr>
            <w:tcW w:w="192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c>
          <w:tcPr>
            <w:tcW w:w="154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r>
    </w:tbl>
    <w:p>
      <w:pPr>
        <w:pStyle w:val="Normal"/>
        <w:spacing w:before="200" w:after="100"/>
        <w:rPr/>
      </w:pPr>
      <w:r>
        <w:rPr>
          <w:rFonts w:eastAsia="Nunito" w:cs="Nunito"/>
          <w:b/>
          <w:color w:val="0065B3"/>
          <w:sz w:val="24"/>
        </w:rPr>
        <w:t>Conventions</w:t>
      </w:r>
    </w:p>
    <w:p>
      <w:pPr>
        <w:pStyle w:val="ListBullet"/>
        <w:numPr>
          <w:ilvl w:val="0"/>
          <w:numId w:val="1"/>
        </w:numPr>
        <w:rPr/>
      </w:pPr>
      <w:r>
        <w:rPr>
          <w:rFonts w:eastAsia="Nunito" w:cs="Nunito"/>
        </w:rPr>
        <w:t xml:space="preserve">Statements of fact are derived from the code, configuration and database of the baseline above (file paths are given relative to the repository). Figures measured on the local test system are labelled </w:t>
      </w:r>
      <w:r>
        <w:rPr>
          <w:rFonts w:eastAsia="Nunito" w:cs="Nunito"/>
          <w:b/>
        </w:rPr>
        <w:t>test data</w:t>
      </w:r>
      <w:r>
        <w:rPr>
          <w:rFonts w:eastAsia="Nunito" w:cs="Nunito"/>
        </w:rPr>
        <w:t xml:space="preserve"> or </w:t>
      </w:r>
      <w:r>
        <w:rPr>
          <w:rFonts w:eastAsia="Nunito" w:cs="Nunito"/>
          <w:b/>
        </w:rPr>
        <w:t>indicative</w:t>
      </w:r>
      <w:r>
        <w:rPr>
          <w:rFonts w:eastAsia="Nunito" w:cs="Nunito"/>
        </w:rPr>
        <w:t>.</w:t>
      </w:r>
    </w:p>
    <w:p>
      <w:pPr>
        <w:pStyle w:val="ListBullet"/>
        <w:numPr>
          <w:ilvl w:val="0"/>
          <w:numId w:val="1"/>
        </w:numPr>
        <w:rPr/>
      </w:pPr>
      <w:r>
        <w:rPr>
          <w:rFonts w:eastAsia="Nunito" w:cs="Nunito"/>
        </w:rPr>
        <w:t xml:space="preserve">Targets, sizes, retention periods and thresholds that are not facts of the code are labelled </w:t>
      </w:r>
      <w:r>
        <w:rPr>
          <w:rFonts w:eastAsia="Nunito" w:cs="Nunito"/>
          <w:b/>
        </w:rPr>
        <w:t>Recommended / to be confirmed by the business and DevOps</w:t>
      </w:r>
      <w:r>
        <w:rPr>
          <w:rFonts w:eastAsia="Nunito" w:cs="Nunito"/>
        </w:rPr>
        <w:t>.</w:t>
      </w:r>
    </w:p>
    <w:p>
      <w:pPr>
        <w:pStyle w:val="ListBullet"/>
        <w:numPr>
          <w:ilvl w:val="0"/>
          <w:numId w:val="1"/>
        </w:numPr>
        <w:rPr/>
      </w:pPr>
      <w:r>
        <w:rPr>
          <w:rFonts w:eastAsia="Nunito" w:cs="Nunito"/>
        </w:rPr>
        <w:t xml:space="preserve">Items marked </w:t>
      </w:r>
      <w:r>
        <w:rPr>
          <w:rFonts w:eastAsia="Nunito" w:cs="Nunito"/>
          <w:b/>
        </w:rPr>
        <w:t>Gap</w:t>
      </w:r>
      <w:r>
        <w:rPr>
          <w:rFonts w:eastAsia="Nunito" w:cs="Nunito"/>
        </w:rPr>
        <w:t xml:space="preserve"> are defects or missing capabilities found while preparing this document.</w:t>
      </w:r>
    </w:p>
    <w:p>
      <w:pPr>
        <w:pStyle w:val="Normal"/>
        <w:rPr/>
      </w:pPr>
      <w:r>
        <w:rPr/>
      </w:r>
      <w:r>
        <w:br w:type="page"/>
      </w:r>
    </w:p>
    <w:p>
      <w:pPr>
        <w:pStyle w:val="Normal"/>
        <w:pBdr>
          <w:bottom w:val="single" w:sz="12" w:space="6" w:color="00ACF1"/>
        </w:pBdr>
        <w:spacing w:before="0" w:after="160"/>
        <w:rPr/>
      </w:pPr>
      <w:r>
        <w:rPr>
          <w:rFonts w:eastAsia="Nunito" w:cs="Nunito"/>
          <w:b/>
          <w:color w:val="0065B3"/>
          <w:sz w:val="36"/>
        </w:rPr>
        <w:t>Contents</w:t>
      </w:r>
    </w:p>
    <w:sdt>
      <w:sdtPr>
        <w:docPartObj>
          <w:docPartGallery w:val="Table of Contents"/>
          <w:docPartUnique w:val="true"/>
        </w:docPartObj>
      </w:sdtPr>
      <w:sdtContent>
        <w:p>
          <w:pPr>
            <w:pStyle w:val="TOC1"/>
            <w:tabs>
              <w:tab w:val="clear" w:pos="9638"/>
              <w:tab w:val="right" w:pos="9637" w:leader="dot"/>
            </w:tabs>
            <w:rPr/>
          </w:pPr>
          <w:r>
            <w:fldChar w:fldCharType="begin"/>
          </w:r>
          <w:r>
            <w:rPr>
              <w:webHidden/>
              <w:rStyle w:val="IndexLink"/>
            </w:rPr>
            <w:instrText xml:space="preserve"> TOC \z \o "1-2" \u \h</w:instrText>
          </w:r>
          <w:r>
            <w:rPr>
              <w:webHidden/>
              <w:rStyle w:val="IndexLink"/>
            </w:rPr>
            <w:fldChar w:fldCharType="separate"/>
          </w:r>
          <w:hyperlink w:anchor="__RefHeading___Toc25075_1872304043">
            <w:r>
              <w:rPr>
                <w:webHidden/>
                <w:rStyle w:val="IndexLink"/>
              </w:rPr>
              <w:t>1 Introduction</w:t>
              <w:tab/>
              <w:t>5</w:t>
            </w:r>
          </w:hyperlink>
        </w:p>
        <w:p>
          <w:pPr>
            <w:pStyle w:val="TOC2"/>
            <w:tabs>
              <w:tab w:val="clear" w:pos="9355"/>
              <w:tab w:val="right" w:pos="9637" w:leader="dot"/>
            </w:tabs>
            <w:rPr/>
          </w:pPr>
          <w:hyperlink w:anchor="__RefHeading___Toc25077_1872304043">
            <w:r>
              <w:rPr>
                <w:webHidden/>
                <w:rStyle w:val="IndexLink"/>
              </w:rPr>
              <w:t>1.1 Purpose and scope</w:t>
              <w:tab/>
              <w:t>5</w:t>
            </w:r>
          </w:hyperlink>
        </w:p>
        <w:p>
          <w:pPr>
            <w:pStyle w:val="TOC1"/>
            <w:tabs>
              <w:tab w:val="clear" w:pos="9638"/>
              <w:tab w:val="right" w:pos="9637" w:leader="dot"/>
            </w:tabs>
            <w:rPr/>
          </w:pPr>
          <w:hyperlink w:anchor="__RefHeading___Toc25079_1872304043">
            <w:r>
              <w:rPr>
                <w:webHidden/>
                <w:rStyle w:val="IndexLink"/>
              </w:rPr>
              <w:t>2 What to back up</w:t>
              <w:tab/>
              <w:t>6</w:t>
            </w:r>
          </w:hyperlink>
        </w:p>
        <w:p>
          <w:pPr>
            <w:pStyle w:val="TOC1"/>
            <w:tabs>
              <w:tab w:val="clear" w:pos="9638"/>
              <w:tab w:val="right" w:pos="9637" w:leader="dot"/>
            </w:tabs>
            <w:rPr/>
          </w:pPr>
          <w:hyperlink w:anchor="__RefHeading___Toc25081_1872304043">
            <w:r>
              <w:rPr>
                <w:webHidden/>
                <w:rStyle w:val="IndexLink"/>
              </w:rPr>
              <w:t>3 Backup design</w:t>
              <w:tab/>
              <w:t>8</w:t>
            </w:r>
          </w:hyperlink>
        </w:p>
        <w:p>
          <w:pPr>
            <w:pStyle w:val="TOC2"/>
            <w:tabs>
              <w:tab w:val="clear" w:pos="9355"/>
              <w:tab w:val="right" w:pos="9637" w:leader="dot"/>
            </w:tabs>
            <w:rPr/>
          </w:pPr>
          <w:hyperlink w:anchor="__RefHeading___Toc25083_1872304043">
            <w:r>
              <w:rPr>
                <w:webHidden/>
                <w:rStyle w:val="IndexLink"/>
              </w:rPr>
              <w:t>3.1 AWS production deployment</w:t>
              <w:tab/>
              <w:t>9</w:t>
            </w:r>
          </w:hyperlink>
        </w:p>
        <w:p>
          <w:pPr>
            <w:pStyle w:val="TOC2"/>
            <w:tabs>
              <w:tab w:val="clear" w:pos="9355"/>
              <w:tab w:val="right" w:pos="9637" w:leader="dot"/>
            </w:tabs>
            <w:rPr/>
          </w:pPr>
          <w:hyperlink w:anchor="__RefHeading___Toc25085_1872304043">
            <w:r>
              <w:rPr>
                <w:webHidden/>
                <w:rStyle w:val="IndexLink"/>
              </w:rPr>
              <w:t>3.2 Docker Compose and single-server installations</w:t>
              <w:tab/>
              <w:t>9</w:t>
            </w:r>
          </w:hyperlink>
        </w:p>
        <w:p>
          <w:pPr>
            <w:pStyle w:val="TOC2"/>
            <w:tabs>
              <w:tab w:val="clear" w:pos="9355"/>
              <w:tab w:val="right" w:pos="9637" w:leader="dot"/>
            </w:tabs>
            <w:rPr/>
          </w:pPr>
          <w:hyperlink w:anchor="__RefHeading___Toc25087_1872304043">
            <w:r>
              <w:rPr>
                <w:webHidden/>
                <w:rStyle w:val="IndexLink"/>
              </w:rPr>
              <w:t>3.3 Consistency between database and files</w:t>
              <w:tab/>
              <w:t>9</w:t>
            </w:r>
          </w:hyperlink>
        </w:p>
        <w:p>
          <w:pPr>
            <w:pStyle w:val="TOC1"/>
            <w:tabs>
              <w:tab w:val="clear" w:pos="9638"/>
              <w:tab w:val="right" w:pos="9637" w:leader="dot"/>
            </w:tabs>
            <w:rPr/>
          </w:pPr>
          <w:hyperlink w:anchor="__RefHeading___Toc25089_1872304043">
            <w:r>
              <w:rPr>
                <w:webHidden/>
                <w:rStyle w:val="IndexLink"/>
              </w:rPr>
              <w:t>4 Restore procedures</w:t>
              <w:tab/>
              <w:t>10</w:t>
            </w:r>
          </w:hyperlink>
        </w:p>
        <w:p>
          <w:pPr>
            <w:pStyle w:val="TOC2"/>
            <w:tabs>
              <w:tab w:val="clear" w:pos="9355"/>
              <w:tab w:val="right" w:pos="9637" w:leader="dot"/>
            </w:tabs>
            <w:rPr/>
          </w:pPr>
          <w:hyperlink w:anchor="__RefHeading___Toc25091_1872304043">
            <w:r>
              <w:rPr>
                <w:webHidden/>
                <w:rStyle w:val="IndexLink"/>
              </w:rPr>
              <w:t>4.1 Database: point-in-time restore (AWS)</w:t>
              <w:tab/>
              <w:t>10</w:t>
            </w:r>
          </w:hyperlink>
        </w:p>
        <w:p>
          <w:pPr>
            <w:pStyle w:val="TOC2"/>
            <w:tabs>
              <w:tab w:val="clear" w:pos="9355"/>
              <w:tab w:val="right" w:pos="9637" w:leader="dot"/>
            </w:tabs>
            <w:rPr/>
          </w:pPr>
          <w:hyperlink w:anchor="__RefHeading___Toc25093_1872304043">
            <w:r>
              <w:rPr>
                <w:webHidden/>
                <w:rStyle w:val="IndexLink"/>
              </w:rPr>
              <w:t>4.2 Database: restore from snapshot or logical dump</w:t>
              <w:tab/>
              <w:t>10</w:t>
            </w:r>
          </w:hyperlink>
        </w:p>
        <w:p>
          <w:pPr>
            <w:pStyle w:val="TOC2"/>
            <w:tabs>
              <w:tab w:val="clear" w:pos="9355"/>
              <w:tab w:val="right" w:pos="9637" w:leader="dot"/>
            </w:tabs>
            <w:rPr/>
          </w:pPr>
          <w:hyperlink w:anchor="__RefHeading___Toc25095_1872304043">
            <w:r>
              <w:rPr>
                <w:webHidden/>
                <w:rStyle w:val="IndexLink"/>
              </w:rPr>
              <w:t>4.3 Files (EFS)</w:t>
              <w:tab/>
              <w:t>10</w:t>
            </w:r>
          </w:hyperlink>
        </w:p>
        <w:p>
          <w:pPr>
            <w:pStyle w:val="TOC2"/>
            <w:tabs>
              <w:tab w:val="clear" w:pos="9355"/>
              <w:tab w:val="right" w:pos="9637" w:leader="dot"/>
            </w:tabs>
            <w:rPr/>
          </w:pPr>
          <w:hyperlink w:anchor="__RefHeading___Toc25097_1872304043">
            <w:r>
              <w:rPr>
                <w:webHidden/>
                <w:rStyle w:val="IndexLink"/>
              </w:rPr>
              <w:t>4.4 Front end</w:t>
              <w:tab/>
              <w:t>11</w:t>
            </w:r>
          </w:hyperlink>
        </w:p>
        <w:p>
          <w:pPr>
            <w:pStyle w:val="TOC2"/>
            <w:tabs>
              <w:tab w:val="clear" w:pos="9355"/>
              <w:tab w:val="right" w:pos="9637" w:leader="dot"/>
            </w:tabs>
            <w:rPr/>
          </w:pPr>
          <w:hyperlink w:anchor="__RefHeading___Toc25099_1872304043">
            <w:r>
              <w:rPr>
                <w:webHidden/>
                <w:rStyle w:val="IndexLink"/>
              </w:rPr>
              <w:t>4.5 Secrets</w:t>
              <w:tab/>
              <w:t>11</w:t>
            </w:r>
          </w:hyperlink>
        </w:p>
        <w:p>
          <w:pPr>
            <w:pStyle w:val="TOC2"/>
            <w:tabs>
              <w:tab w:val="clear" w:pos="9355"/>
              <w:tab w:val="right" w:pos="9637" w:leader="dot"/>
            </w:tabs>
            <w:rPr/>
          </w:pPr>
          <w:hyperlink w:anchor="__RefHeading___Toc25101_1872304043">
            <w:r>
              <w:rPr>
                <w:webHidden/>
                <w:rStyle w:val="IndexLink"/>
              </w:rPr>
              <w:t>4.6 Application release rollback</w:t>
              <w:tab/>
              <w:t>11</w:t>
            </w:r>
          </w:hyperlink>
        </w:p>
        <w:p>
          <w:pPr>
            <w:pStyle w:val="TOC1"/>
            <w:tabs>
              <w:tab w:val="clear" w:pos="9638"/>
              <w:tab w:val="right" w:pos="9637" w:leader="dot"/>
            </w:tabs>
            <w:rPr/>
          </w:pPr>
          <w:hyperlink w:anchor="__RefHeading___Toc25103_1872304043">
            <w:r>
              <w:rPr>
                <w:webHidden/>
                <w:rStyle w:val="IndexLink"/>
              </w:rPr>
              <w:t>5 Restore testing schedule</w:t>
              <w:tab/>
              <w:t>12</w:t>
            </w:r>
          </w:hyperlink>
        </w:p>
        <w:p>
          <w:pPr>
            <w:pStyle w:val="TOC1"/>
            <w:tabs>
              <w:tab w:val="clear" w:pos="9638"/>
              <w:tab w:val="right" w:pos="9637" w:leader="dot"/>
            </w:tabs>
            <w:rPr/>
          </w:pPr>
          <w:hyperlink w:anchor="__RefHeading___Toc25105_1872304043">
            <w:r>
              <w:rPr>
                <w:webHidden/>
                <w:rStyle w:val="IndexLink"/>
              </w:rPr>
              <w:t>6 Related documents</w:t>
              <w:tab/>
              <w:t>13</w:t>
            </w:r>
          </w:hyperlink>
        </w:p>
        <w:p>
          <w:pPr>
            <w:pStyle w:val="TOC1"/>
            <w:tabs>
              <w:tab w:val="clear" w:pos="9638"/>
              <w:tab w:val="right" w:pos="9637" w:leader="dot"/>
            </w:tabs>
            <w:rPr/>
          </w:pPr>
          <w:hyperlink w:anchor="__RefHeading___Toc25107_1872304043">
            <w:r>
              <w:rPr>
                <w:webHidden/>
                <w:rStyle w:val="IndexLink"/>
              </w:rPr>
              <w:t>7 Glossary</w:t>
              <w:tab/>
              <w:t>14</w:t>
            </w:r>
          </w:hyperlink>
          <w:r>
            <w:rPr>
              <w:rStyle w:val="IndexLink"/>
            </w:rPr>
            <w:fldChar w:fldCharType="end"/>
          </w:r>
        </w:p>
      </w:sdtContent>
    </w:sdt>
    <w:p>
      <w:pPr>
        <w:pStyle w:val="Heading1"/>
        <w:pBdr>
          <w:bottom w:val="single" w:sz="12" w:space="6" w:color="00ACF1"/>
        </w:pBdr>
        <w:rPr/>
      </w:pPr>
      <w:r>
        <w:br w:type="page"/>
      </w:r>
      <w:bookmarkStart w:id="0" w:name="__RefHeading___Toc25075_1872304043"/>
      <w:bookmarkEnd w:id="0"/>
      <w:r>
        <w:rPr>
          <w:rFonts w:eastAsia="Nunito" w:cs="Nunito" w:ascii="Nunito" w:hAnsi="Nunito"/>
        </w:rPr>
        <w:t>1  Introduction</w:t>
      </w:r>
    </w:p>
    <w:p>
      <w:pPr>
        <w:pStyle w:val="Heading2"/>
        <w:rPr/>
      </w:pPr>
      <w:bookmarkStart w:id="1" w:name="__RefHeading___Toc25077_1872304043"/>
      <w:bookmarkEnd w:id="1"/>
      <w:r>
        <w:rPr>
          <w:rFonts w:eastAsia="Nunito" w:cs="Nunito" w:ascii="Nunito" w:hAnsi="Nunito"/>
        </w:rPr>
        <w:t>1.1  Purpose and scope</w:t>
      </w:r>
    </w:p>
    <w:p>
      <w:pPr>
        <w:pStyle w:val="Normal"/>
        <w:rPr/>
      </w:pPr>
      <w:r>
        <w:rPr>
          <w:rFonts w:eastAsia="Nunito" w:cs="Nunito"/>
        </w:rPr>
        <w:t>This document defines what must be backed up for BrokerVerse OOTB, how (in the AWS production deployment and in a Docker Compose installation), how long backups are kept, and the step-by-step procedures to restore the database, the files, the front end and the secrets, together with the restore test schedule. The objectives the procedures must meet are in document 08.</w:t>
      </w:r>
    </w:p>
    <w:tbl>
      <w:tblPr>
        <w:tblW w:w="9637" w:type="dxa"/>
        <w:jc w:val="left"/>
        <w:tblInd w:w="42" w:type="dxa"/>
        <w:tblLayout w:type="fixed"/>
        <w:tblCellMar>
          <w:top w:w="80" w:type="dxa"/>
          <w:left w:w="150" w:type="dxa"/>
          <w:bottom w:w="80" w:type="dxa"/>
          <w:right w:w="130" w:type="dxa"/>
        </w:tblCellMar>
        <w:tblLook w:val="04a0" w:noHBand="0" w:noVBand="1" w:firstColumn="1" w:lastRow="0" w:lastColumn="0" w:firstRow="1"/>
      </w:tblPr>
      <w:tblGrid>
        <w:gridCol w:w="9637"/>
      </w:tblGrid>
      <w:tr>
        <w:trPr/>
        <w:tc>
          <w:tcPr>
            <w:tcW w:w="9637" w:type="dxa"/>
            <w:tcBorders>
              <w:left w:val="single" w:sz="24" w:space="0" w:color="E0B23A"/>
            </w:tcBorders>
            <w:shd w:color="auto" w:fill="FFF6DD" w:val="clear"/>
          </w:tcPr>
          <w:p>
            <w:pPr>
              <w:pStyle w:val="Normal"/>
              <w:spacing w:before="0" w:after="40"/>
              <w:rPr/>
            </w:pPr>
            <w:r>
              <w:rPr>
                <w:rFonts w:eastAsia="Nunito" w:cs="Nunito"/>
                <w:b/>
                <w:sz w:val="18"/>
              </w:rPr>
              <w:t>Recommended / to be confirmed by the business and DevOps:</w:t>
            </w:r>
            <w:r>
              <w:rPr>
                <w:rFonts w:eastAsia="Nunito" w:cs="Nunito"/>
                <w:sz w:val="18"/>
              </w:rPr>
              <w:t xml:space="preserve"> The code contains no backup automation. </w:t>
            </w:r>
            <w:r>
              <w:rPr>
                <w:rFonts w:eastAsia="Liberation Mono" w:cs="Liberation Mono" w:ascii="Liberation Mono" w:hAnsi="Liberation Mono"/>
                <w:color w:val="0B3D7A"/>
                <w:sz w:val="16"/>
              </w:rPr>
              <w:t>deploy/README.md</w:t>
            </w:r>
            <w:r>
              <w:rPr>
                <w:rFonts w:eastAsia="Nunito" w:cs="Nunito"/>
                <w:sz w:val="18"/>
              </w:rPr>
              <w:t xml:space="preserve"> requires daily automated database snapshots with at least 30 days' retention, a backup of the upload volume and of </w:t>
            </w:r>
            <w:r>
              <w:rPr>
                <w:rFonts w:eastAsia="Liberation Mono" w:cs="Liberation Mono" w:ascii="Liberation Mono" w:hAnsi="Liberation Mono"/>
                <w:color w:val="0B3D7A"/>
                <w:sz w:val="16"/>
              </w:rPr>
              <w:t>DATA_ENCRYPTION_KEY</w:t>
            </w:r>
            <w:r>
              <w:rPr>
                <w:rFonts w:eastAsia="Nunito" w:cs="Nunito"/>
                <w:sz w:val="18"/>
              </w:rPr>
              <w:t>, and one restore test before go-live. Retention periods, schedules and tools beyond that are recommendations.</w:t>
            </w:r>
          </w:p>
        </w:tc>
      </w:tr>
    </w:tbl>
    <w:p>
      <w:pPr>
        <w:pStyle w:val="Normal"/>
        <w:spacing w:before="0" w:after="0"/>
        <w:rPr/>
      </w:pPr>
      <w:r>
        <w:rPr/>
      </w:r>
      <w:r>
        <w:br w:type="page"/>
      </w:r>
    </w:p>
    <w:p>
      <w:pPr>
        <w:pStyle w:val="Heading1"/>
        <w:pBdr>
          <w:bottom w:val="single" w:sz="12" w:space="6" w:color="00ACF1"/>
        </w:pBdr>
        <w:rPr/>
      </w:pPr>
      <w:bookmarkStart w:id="2" w:name="__RefHeading___Toc25079_1872304043"/>
      <w:bookmarkEnd w:id="2"/>
      <w:r>
        <w:rPr>
          <w:rFonts w:eastAsia="Nunito" w:cs="Nunito" w:ascii="Nunito" w:hAnsi="Nunito"/>
        </w:rPr>
        <w:t>2  What to back up</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120"/>
        <w:gridCol w:w="2891"/>
        <w:gridCol w:w="4626"/>
      </w:tblGrid>
      <w:tr>
        <w:trPr>
          <w:tblHeader w:val="true"/>
          <w:cantSplit w:val="true"/>
        </w:trPr>
        <w:tc>
          <w:tcPr>
            <w:tcW w:w="212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Asset</w:t>
            </w:r>
          </w:p>
        </w:tc>
        <w:tc>
          <w:tcPr>
            <w:tcW w:w="289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Location</w:t>
            </w:r>
          </w:p>
        </w:tc>
        <w:tc>
          <w:tcPr>
            <w:tcW w:w="4626"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Why it matters</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Database</w:t>
            </w:r>
          </w:p>
        </w:tc>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PostgreSQL database </w:t>
            </w:r>
            <w:r>
              <w:rPr>
                <w:rFonts w:eastAsia="Liberation Mono" w:cs="Liberation Mono" w:ascii="Liberation Mono" w:hAnsi="Liberation Mono"/>
                <w:color w:val="0B3D7A"/>
                <w:sz w:val="15"/>
              </w:rPr>
              <w:t>brokerverse</w:t>
            </w:r>
            <w:r>
              <w:rPr>
                <w:rFonts w:eastAsia="Nunito" w:cs="Nunito"/>
                <w:sz w:val="17"/>
              </w:rPr>
              <w:t xml:space="preserve"> (for example Amazon RDS)</w:t>
            </w:r>
          </w:p>
        </w:tc>
        <w:tc>
          <w:tcPr>
            <w:tcW w:w="462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All business, financial, configuration, security and audit data (250 tables; 260 with packages B and G). The only copy of transactions.</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Uploaded and generated files</w:t>
            </w:r>
          </w:p>
        </w:tc>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UPLOAD_DIR</w:t>
            </w:r>
            <w:r>
              <w:rPr>
                <w:rFonts w:eastAsia="Nunito" w:cs="Nunito"/>
                <w:sz w:val="17"/>
              </w:rPr>
              <w:t xml:space="preserve"> (</w:t>
            </w:r>
            <w:r>
              <w:rPr>
                <w:rFonts w:eastAsia="Liberation Mono" w:cs="Liberation Mono" w:ascii="Liberation Mono" w:hAnsi="Liberation Mono"/>
                <w:color w:val="0B3D7A"/>
                <w:sz w:val="15"/>
              </w:rPr>
              <w:t>/app/uploads</w:t>
            </w:r>
            <w:r>
              <w:rPr>
                <w:rFonts w:eastAsia="Nunito" w:cs="Nunito"/>
                <w:sz w:val="17"/>
              </w:rPr>
              <w:t>; EFS in the target)</w:t>
            </w:r>
          </w:p>
        </w:tc>
        <w:tc>
          <w:tcPr>
            <w:tcW w:w="462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Policy documents, IDs, vehicle photos, claim documents, signatures, logos, statements and generated reports. The </w:t>
            </w:r>
            <w:r>
              <w:rPr>
                <w:rFonts w:eastAsia="Liberation Mono" w:cs="Liberation Mono" w:ascii="Liberation Mono" w:hAnsi="Liberation Mono"/>
                <w:color w:val="0B3D7A"/>
                <w:sz w:val="15"/>
              </w:rPr>
              <w:t>documents</w:t>
            </w:r>
            <w:r>
              <w:rPr>
                <w:rFonts w:eastAsia="Nunito" w:cs="Nunito"/>
                <w:sz w:val="17"/>
              </w:rPr>
              <w:t xml:space="preserve"> table holds only the keys, not the content.</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DATA_ENCRYPTION_KEY</w:t>
            </w:r>
          </w:p>
        </w:tc>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Secrets Manager / environment</w:t>
            </w:r>
          </w:p>
        </w:tc>
        <w:tc>
          <w:tcPr>
            <w:tcW w:w="462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Decrypts the two-factor (TOTP) secrets stored in </w:t>
            </w:r>
            <w:r>
              <w:rPr>
                <w:rFonts w:eastAsia="Liberation Mono" w:cs="Liberation Mono" w:ascii="Liberation Mono" w:hAnsi="Liberation Mono"/>
                <w:color w:val="0B3D7A"/>
                <w:sz w:val="15"/>
              </w:rPr>
              <w:t>users</w:t>
            </w:r>
            <w:r>
              <w:rPr>
                <w:rFonts w:eastAsia="Nunito" w:cs="Nunito"/>
                <w:sz w:val="17"/>
              </w:rPr>
              <w:t xml:space="preserve"> and keys the reset-code hashes. A database restored without the same key works, but every user with two-factor sign-in must be reset by an administrator and enrol again.</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PII_ENCRYPTION_KEY</w:t>
            </w:r>
            <w:r>
              <w:rPr>
                <w:rFonts w:eastAsia="Nunito" w:cs="Nunito"/>
                <w:sz w:val="17"/>
              </w:rPr>
              <w:t xml:space="preserve"> (package B)</w:t>
            </w:r>
          </w:p>
        </w:tc>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Secrets Manager / environment</w:t>
            </w:r>
          </w:p>
        </w:tc>
        <w:tc>
          <w:tcPr>
            <w:tcW w:w="462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Decrypts the TIN, government ID and bank account numbers stored encrypted in the database (and in every backup). A backup cannot be read without the key it was written with: keep every key version, including the previous key after a rotation, as long as backups taken with it are kept.</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JWT_SECRET</w:t>
            </w:r>
          </w:p>
        </w:tc>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Secrets Manager / environment</w:t>
            </w:r>
          </w:p>
        </w:tc>
        <w:tc>
          <w:tcPr>
            <w:tcW w:w="462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Signs sessions, signed file links and approval / download tokens. Losing it signs everyone out and invalidates links already sent (for example quotation approval e-mails); no data is lost.</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Other configuration</w:t>
            </w:r>
          </w:p>
        </w:tc>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DATABASE_URL</w:t>
            </w:r>
            <w:r>
              <w:rPr>
                <w:rFonts w:eastAsia="Nunito" w:cs="Nunito"/>
                <w:sz w:val="17"/>
              </w:rPr>
              <w:t xml:space="preserve">, </w:t>
            </w:r>
            <w:r>
              <w:rPr>
                <w:rFonts w:eastAsia="Liberation Mono" w:cs="Liberation Mono" w:ascii="Liberation Mono" w:hAnsi="Liberation Mono"/>
                <w:color w:val="0B3D7A"/>
                <w:sz w:val="15"/>
              </w:rPr>
              <w:t>SMTP_URL</w:t>
            </w:r>
            <w:r>
              <w:rPr>
                <w:rFonts w:eastAsia="Nunito" w:cs="Nunito"/>
                <w:sz w:val="17"/>
              </w:rPr>
              <w:t xml:space="preserve">, </w:t>
            </w:r>
            <w:r>
              <w:rPr>
                <w:rFonts w:eastAsia="Liberation Mono" w:cs="Liberation Mono" w:ascii="Liberation Mono" w:hAnsi="Liberation Mono"/>
                <w:color w:val="0B3D7A"/>
                <w:sz w:val="15"/>
              </w:rPr>
              <w:t>CORS_ORIGINS</w:t>
            </w:r>
            <w:r>
              <w:rPr>
                <w:rFonts w:eastAsia="Nunito" w:cs="Nunito"/>
                <w:sz w:val="17"/>
              </w:rPr>
              <w:t xml:space="preserve">, </w:t>
            </w:r>
            <w:r>
              <w:rPr>
                <w:rFonts w:eastAsia="Liberation Mono" w:cs="Liberation Mono" w:ascii="Liberation Mono" w:hAnsi="Liberation Mono"/>
                <w:color w:val="0B3D7A"/>
                <w:sz w:val="15"/>
              </w:rPr>
              <w:t>PUBLIC_BASE_URL</w:t>
            </w:r>
            <w:r>
              <w:rPr>
                <w:rFonts w:eastAsia="Nunito" w:cs="Nunito"/>
                <w:sz w:val="17"/>
              </w:rPr>
              <w:t xml:space="preserve">, </w:t>
            </w:r>
            <w:r>
              <w:rPr>
                <w:rFonts w:eastAsia="Liberation Mono" w:cs="Liberation Mono" w:ascii="Liberation Mono" w:hAnsi="Liberation Mono"/>
                <w:color w:val="0B3D7A"/>
                <w:sz w:val="15"/>
              </w:rPr>
              <w:t>ADMIN_PASSWORD</w:t>
            </w:r>
            <w:r>
              <w:rPr>
                <w:rFonts w:eastAsia="Nunito" w:cs="Nunito"/>
                <w:sz w:val="17"/>
              </w:rPr>
              <w:t>, task definitions</w:t>
            </w:r>
          </w:p>
        </w:tc>
        <w:tc>
          <w:tcPr>
            <w:tcW w:w="462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Needed to recreate the environment.</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Front-end build</w:t>
            </w:r>
          </w:p>
        </w:tc>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S3 bucket behind CloudFront</w:t>
            </w:r>
          </w:p>
        </w:tc>
        <w:tc>
          <w:tcPr>
            <w:tcW w:w="462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Rebuilt from Git by the pipeline; S3 versioning allows an immediate rollback.</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Code and schema</w:t>
            </w:r>
          </w:p>
        </w:tc>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Git repositories (front end, backend incl. </w:t>
            </w:r>
            <w:r>
              <w:rPr>
                <w:rFonts w:eastAsia="Liberation Mono" w:cs="Liberation Mono" w:ascii="Liberation Mono" w:hAnsi="Liberation Mono"/>
                <w:color w:val="0B3D7A"/>
                <w:sz w:val="15"/>
              </w:rPr>
              <w:t>db/migrations</w:t>
            </w:r>
            <w:r>
              <w:rPr>
                <w:rFonts w:eastAsia="Nunito" w:cs="Nunito"/>
                <w:sz w:val="17"/>
              </w:rPr>
              <w:t xml:space="preserve">, </w:t>
            </w:r>
            <w:r>
              <w:rPr>
                <w:rFonts w:eastAsia="Liberation Mono" w:cs="Liberation Mono" w:ascii="Liberation Mono" w:hAnsi="Liberation Mono"/>
                <w:color w:val="0B3D7A"/>
                <w:sz w:val="15"/>
              </w:rPr>
              <w:t>db/seeds</w:t>
            </w:r>
            <w:r>
              <w:rPr>
                <w:rFonts w:eastAsia="Nunito" w:cs="Nunito"/>
                <w:sz w:val="17"/>
              </w:rPr>
              <w:t xml:space="preserve">, </w:t>
            </w:r>
            <w:r>
              <w:rPr>
                <w:rFonts w:eastAsia="Liberation Mono" w:cs="Liberation Mono" w:ascii="Liberation Mono" w:hAnsi="Liberation Mono"/>
                <w:color w:val="0B3D7A"/>
                <w:sz w:val="15"/>
              </w:rPr>
              <w:t>seeds/settings.json</w:t>
            </w:r>
            <w:r>
              <w:rPr>
                <w:rFonts w:eastAsia="Nunito" w:cs="Nunito"/>
                <w:sz w:val="17"/>
              </w:rPr>
              <w:t xml:space="preserve">, </w:t>
            </w:r>
            <w:r>
              <w:rPr>
                <w:rFonts w:eastAsia="Liberation Mono" w:cs="Liberation Mono" w:ascii="Liberation Mono" w:hAnsi="Liberation Mono"/>
                <w:color w:val="0B3D7A"/>
                <w:sz w:val="15"/>
              </w:rPr>
              <w:t>seeds/jobs.json</w:t>
            </w:r>
            <w:r>
              <w:rPr>
                <w:rFonts w:eastAsia="Nunito" w:cs="Nunito"/>
                <w:sz w:val="17"/>
              </w:rPr>
              <w:t>)</w:t>
            </w:r>
          </w:p>
        </w:tc>
        <w:tc>
          <w:tcPr>
            <w:tcW w:w="462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The schema and reference data are recreated from the code; backups of Git hosting are the responsibility of the repository owner.</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Container images</w:t>
            </w:r>
          </w:p>
        </w:tc>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Amazon ECR</w:t>
            </w:r>
          </w:p>
        </w:tc>
        <w:tc>
          <w:tcPr>
            <w:tcW w:w="462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Allow redeploying exactly the running release; keep at least the last 10 release tags.</w:t>
            </w:r>
          </w:p>
        </w:tc>
      </w:tr>
    </w:tbl>
    <w:p>
      <w:pPr>
        <w:pStyle w:val="Normal"/>
        <w:spacing w:before="0" w:after="40"/>
        <w:rPr/>
      </w:pPr>
      <w:r>
        <w:rPr/>
      </w:r>
    </w:p>
    <w:p>
      <w:pPr>
        <w:pStyle w:val="Normal"/>
        <w:rPr/>
      </w:pPr>
      <w:r>
        <w:rPr>
          <w:rFonts w:eastAsia="Nunito" w:cs="Nunito"/>
        </w:rPr>
        <w:t>Application settings, masters, product templates, users and roles are data in the database (edited in the application), so they are covered by the database backup. The Go-Live Data Workbench exports the configuration as a workbook (Master &gt; Go-Live and Data &gt; Go-Live Data Load, configuration kit with current data) and compares two environments (</w:t>
      </w:r>
      <w:r>
        <w:rPr>
          <w:rFonts w:eastAsia="Liberation Mono" w:cs="Liberation Mono" w:ascii="Liberation Mono" w:hAnsi="Liberation Mono"/>
          <w:color w:val="0B3D7A"/>
          <w:sz w:val="18"/>
        </w:rPr>
        <w:t>backend/scripts/compare-environments.js</w:t>
      </w:r>
      <w:r>
        <w:rPr>
          <w:rFonts w:eastAsia="Nunito" w:cs="Nunito"/>
        </w:rPr>
        <w:t xml:space="preserve">). The release pipeline takes a verified </w:t>
      </w:r>
      <w:r>
        <w:rPr>
          <w:rFonts w:eastAsia="Liberation Mono" w:cs="Liberation Mono" w:ascii="Liberation Mono" w:hAnsi="Liberation Mono"/>
          <w:color w:val="0B3D7A"/>
          <w:sz w:val="18"/>
        </w:rPr>
        <w:t>pg_dump</w:t>
      </w:r>
      <w:r>
        <w:rPr>
          <w:rFonts w:eastAsia="Nunito" w:cs="Nunito"/>
        </w:rPr>
        <w:t xml:space="preserve"> before every deployment to Pre-Prod and Production (</w:t>
      </w:r>
      <w:r>
        <w:rPr>
          <w:rFonts w:eastAsia="Liberation Mono" w:cs="Liberation Mono" w:ascii="Liberation Mono" w:hAnsi="Liberation Mono"/>
          <w:color w:val="0B3D7A"/>
          <w:sz w:val="18"/>
        </w:rPr>
        <w:t>deploy/ec2/release.sh backup</w:t>
      </w:r>
      <w:r>
        <w:rPr>
          <w:rFonts w:eastAsia="Nunito" w:cs="Nunito"/>
        </w:rPr>
        <w:t xml:space="preserve">, newest ten kept on the server, copy to </w:t>
      </w:r>
      <w:r>
        <w:rPr>
          <w:rFonts w:eastAsia="Liberation Mono" w:cs="Liberation Mono" w:ascii="Liberation Mono" w:hAnsi="Liberation Mono"/>
          <w:color w:val="0B3D7A"/>
          <w:sz w:val="18"/>
        </w:rPr>
        <w:t>BACKUP_S3_URI</w:t>
      </w:r>
      <w:r>
        <w:rPr>
          <w:rFonts w:eastAsia="Nunito" w:cs="Nunito"/>
        </w:rPr>
        <w:t>); these are restore points for a release, not the backup plan.</w:t>
      </w:r>
    </w:p>
    <w:tbl>
      <w:tblPr>
        <w:tblW w:w="9637" w:type="dxa"/>
        <w:jc w:val="left"/>
        <w:tblInd w:w="42" w:type="dxa"/>
        <w:tblLayout w:type="fixed"/>
        <w:tblCellMar>
          <w:top w:w="80" w:type="dxa"/>
          <w:left w:w="150" w:type="dxa"/>
          <w:bottom w:w="80" w:type="dxa"/>
          <w:right w:w="130" w:type="dxa"/>
        </w:tblCellMar>
        <w:tblLook w:val="04a0" w:noHBand="0" w:noVBand="1" w:firstColumn="1" w:lastRow="0" w:lastColumn="0" w:firstRow="1"/>
      </w:tblPr>
      <w:tblGrid>
        <w:gridCol w:w="9637"/>
      </w:tblGrid>
      <w:tr>
        <w:trPr/>
        <w:tc>
          <w:tcPr>
            <w:tcW w:w="9637" w:type="dxa"/>
            <w:tcBorders>
              <w:left w:val="single" w:sz="24" w:space="0" w:color="E0B23A"/>
            </w:tcBorders>
            <w:shd w:color="auto" w:fill="FFF6DD" w:val="clear"/>
          </w:tcPr>
          <w:p>
            <w:pPr>
              <w:pStyle w:val="Normal"/>
              <w:spacing w:before="0" w:after="40"/>
              <w:rPr/>
            </w:pPr>
            <w:r>
              <w:rPr>
                <w:rFonts w:eastAsia="Nunito" w:cs="Nunito"/>
                <w:b/>
                <w:sz w:val="18"/>
              </w:rPr>
              <w:t>Recommended / to be confirmed by the business and DevOps:</w:t>
            </w:r>
            <w:r>
              <w:rPr>
                <w:rFonts w:eastAsia="Nunito" w:cs="Nunito"/>
                <w:sz w:val="18"/>
              </w:rPr>
              <w:t xml:space="preserve"> Take a configuration export before every release and before large configuration changes, for audit and for comparison between environments: </w:t>
            </w:r>
            <w:r>
              <w:rPr>
                <w:rFonts w:eastAsia="Liberation Mono" w:cs="Liberation Mono" w:ascii="Liberation Mono" w:hAnsi="Liberation Mono"/>
                <w:color w:val="0B3D7A"/>
                <w:sz w:val="16"/>
              </w:rPr>
              <w:t>pg_dump --data-only --table=app_settings --table=master_types --table=master_records --table=product_templates --table=product_components --table=product_risk_mappings --table=product_risk_sections --table=report_definitions --table=scheduled_jobs --table=roles --table=permissions --table=role_permissions --table=gl_accounts --table=posting_rules --table=posting_rule_lines --table=document_numbering --table=commission_rates --table=tax_codes --table=period_close_checklist --table=bank_statement_formats --table=bank_transaction_types --table=bank_match_rules</w:t>
            </w:r>
            <w:r>
              <w:rPr>
                <w:rFonts w:eastAsia="Nunito" w:cs="Nunito"/>
                <w:sz w:val="18"/>
              </w:rPr>
              <w:t xml:space="preserve"> into the backup bucket.</w:t>
            </w:r>
          </w:p>
        </w:tc>
      </w:tr>
    </w:tbl>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134" w:right="1134" w:gutter="0" w:header="567" w:top="1247" w:footer="567" w:bottom="1134"/>
          <w:pgNumType w:fmt="decimal"/>
          <w:formProt w:val="false"/>
          <w:titlePg/>
          <w:textDirection w:val="lrTb"/>
          <w:docGrid w:type="default" w:linePitch="360" w:charSpace="0"/>
        </w:sectPr>
        <w:pStyle w:val="Normal"/>
        <w:spacing w:before="0" w:after="0"/>
        <w:rPr/>
      </w:pPr>
      <w:r>
        <w:rPr/>
      </w:r>
      <w:r>
        <w:br w:type="page"/>
      </w:r>
    </w:p>
    <w:p>
      <w:pPr>
        <w:pStyle w:val="Heading1"/>
        <w:pBdr>
          <w:bottom w:val="single" w:sz="12" w:space="6" w:color="00ACF1"/>
        </w:pBdr>
        <w:rPr/>
      </w:pPr>
      <w:bookmarkStart w:id="3" w:name="__RefHeading___Toc25081_1872304043"/>
      <w:bookmarkEnd w:id="3"/>
      <w:r>
        <w:rPr>
          <w:rFonts w:eastAsia="Nunito" w:cs="Nunito" w:ascii="Nunito" w:hAnsi="Nunito"/>
        </w:rPr>
        <w:t>3  Backup design</w:t>
      </w:r>
    </w:p>
    <w:p>
      <w:pPr>
        <w:pStyle w:val="Normal"/>
        <w:keepNext w:val="true"/>
        <w:spacing w:before="80" w:after="40"/>
        <w:jc w:val="center"/>
        <w:rPr/>
      </w:pPr>
      <w:r>
        <w:rPr/>
        <w:drawing>
          <wp:inline distT="0" distB="0" distL="0" distR="0">
            <wp:extent cx="8635365" cy="431990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9"/>
                    <a:stretch>
                      <a:fillRect/>
                    </a:stretch>
                  </pic:blipFill>
                  <pic:spPr bwMode="auto">
                    <a:xfrm>
                      <a:off x="0" y="0"/>
                      <a:ext cx="8635365" cy="4319905"/>
                    </a:xfrm>
                    <a:prstGeom prst="rect">
                      <a:avLst/>
                    </a:prstGeom>
                  </pic:spPr>
                </pic:pic>
              </a:graphicData>
            </a:graphic>
          </wp:inline>
        </w:drawing>
      </w:r>
    </w:p>
    <w:p>
      <w:pPr>
        <w:sectPr>
          <w:headerReference w:type="default" r:id="rId10"/>
          <w:headerReference w:type="first" r:id="rId11"/>
          <w:footerReference w:type="default" r:id="rId12"/>
          <w:footerReference w:type="first" r:id="rId13"/>
          <w:type w:val="nextPage"/>
          <w:pgSz w:orient="landscape" w:w="16838" w:h="11906"/>
          <w:pgMar w:left="1134" w:right="1134" w:gutter="0" w:header="567" w:top="1247" w:footer="567" w:bottom="1134"/>
          <w:pgNumType w:fmt="decimal"/>
          <w:formProt w:val="false"/>
          <w:textDirection w:val="lrTb"/>
          <w:docGrid w:type="default" w:linePitch="360" w:charSpace="0"/>
        </w:sectPr>
        <w:pStyle w:val="FigureCaption"/>
        <w:rPr/>
      </w:pPr>
      <w:r>
        <w:rPr>
          <w:rFonts w:eastAsia="Nunito" w:cs="Nunito"/>
          <w:b/>
          <w:i/>
          <w:color w:val="0065B3"/>
          <w:sz w:val="17"/>
        </w:rPr>
        <w:t xml:space="preserve">Figure 1. </w:t>
      </w:r>
      <w:r>
        <w:rPr>
          <w:rFonts w:eastAsia="Nunito" w:cs="Nunito"/>
          <w:color w:val="5B6776"/>
          <w:sz w:val="17"/>
        </w:rPr>
        <w:t>Backup and recovery data flows (recommended)</w:t>
      </w:r>
    </w:p>
    <w:p>
      <w:pPr>
        <w:pStyle w:val="Heading2"/>
        <w:rPr/>
      </w:pPr>
      <w:bookmarkStart w:id="4" w:name="__RefHeading___Toc25083_1872304043"/>
      <w:bookmarkEnd w:id="4"/>
      <w:r>
        <w:rPr>
          <w:rFonts w:eastAsia="Nunito" w:cs="Nunito" w:ascii="Nunito" w:hAnsi="Nunito"/>
        </w:rPr>
        <w:t>3.1  AWS production deployment</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312"/>
        <w:gridCol w:w="3855"/>
        <w:gridCol w:w="3470"/>
      </w:tblGrid>
      <w:tr>
        <w:trPr>
          <w:tblHeader w:val="true"/>
          <w:cantSplit w:val="true"/>
        </w:trPr>
        <w:tc>
          <w:tcPr>
            <w:tcW w:w="231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Backup</w:t>
            </w:r>
          </w:p>
        </w:tc>
        <w:tc>
          <w:tcPr>
            <w:tcW w:w="385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Configuration (Recommended / to be confirmed by the business and DevOps)</w:t>
            </w:r>
          </w:p>
        </w:tc>
        <w:tc>
          <w:tcPr>
            <w:tcW w:w="347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Retention</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RDS automated backups and PITR</w:t>
            </w:r>
          </w:p>
        </w:tc>
        <w:tc>
          <w:tcPr>
            <w:tcW w:w="38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Enabled, backup window 18:00-19:00 UTC (02:00-03:00 Manila), encrypted with KMS, copy tags to snapshots, deletion protection on</w:t>
            </w:r>
          </w:p>
        </w:tc>
        <w:tc>
          <w:tcPr>
            <w:tcW w:w="347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35 days (PITR to any second)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RDS snapshots (AWS Backup plan)</w:t>
            </w:r>
          </w:p>
        </w:tc>
        <w:tc>
          <w:tcPr>
            <w:tcW w:w="38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Daily and monthly snapshots; monthly copied to a second region (for example ap-southeast-2 or ap-northeast-1); vault lock against deletion</w:t>
            </w:r>
          </w:p>
        </w:tc>
        <w:tc>
          <w:tcPr>
            <w:tcW w:w="347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Daily 35 days; monthly 12 months; yearly 10 years for year-end records (to be confirmed with compliance)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Pre-change snapshots</w:t>
            </w:r>
          </w:p>
        </w:tc>
        <w:tc>
          <w:tcPr>
            <w:tcW w:w="38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Manual snapshot before every production release with migrations, before </w:t>
            </w:r>
            <w:r>
              <w:rPr>
                <w:rFonts w:eastAsia="Liberation Mono" w:cs="Liberation Mono" w:ascii="Liberation Mono" w:hAnsi="Liberation Mono"/>
                <w:color w:val="0B3D7A"/>
                <w:sz w:val="15"/>
              </w:rPr>
              <w:t>purge:sample</w:t>
            </w:r>
            <w:r>
              <w:rPr>
                <w:rFonts w:eastAsia="Nunito" w:cs="Nunito"/>
                <w:sz w:val="17"/>
              </w:rPr>
              <w:t>, before the go-live imports (opening balances, open items, policies) and bulk imports, and before each year-end close</w:t>
            </w:r>
          </w:p>
        </w:tc>
        <w:tc>
          <w:tcPr>
            <w:tcW w:w="347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Until the change is accepted (minimum 30 days)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Logical dump</w:t>
            </w:r>
          </w:p>
        </w:tc>
        <w:tc>
          <w:tcPr>
            <w:tcW w:w="38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Monthly </w:t>
            </w:r>
            <w:r>
              <w:rPr>
                <w:rFonts w:eastAsia="Liberation Mono" w:cs="Liberation Mono" w:ascii="Liberation Mono" w:hAnsi="Liberation Mono"/>
                <w:color w:val="0B3D7A"/>
                <w:sz w:val="15"/>
              </w:rPr>
              <w:t>pg_dump -Fc</w:t>
            </w:r>
            <w:r>
              <w:rPr>
                <w:rFonts w:eastAsia="Nunito" w:cs="Nunito"/>
                <w:sz w:val="17"/>
              </w:rPr>
              <w:t xml:space="preserve"> of the database to an S3 bucket with Object Lock (compliance mode), independent of RDS snapshots; also enables restore into any PostgreSQL 16</w:t>
            </w:r>
          </w:p>
        </w:tc>
        <w:tc>
          <w:tcPr>
            <w:tcW w:w="347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12 months (Glacier after 30 days)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EFS (</w:t>
            </w:r>
            <w:r>
              <w:rPr>
                <w:rFonts w:eastAsia="Liberation Mono" w:cs="Liberation Mono" w:ascii="Liberation Mono" w:hAnsi="Liberation Mono"/>
                <w:color w:val="0B3D7A"/>
                <w:sz w:val="15"/>
              </w:rPr>
              <w:t>UPLOAD_DIR</w:t>
            </w:r>
            <w:r>
              <w:rPr>
                <w:rFonts w:eastAsia="Nunito" w:cs="Nunito"/>
                <w:sz w:val="17"/>
              </w:rPr>
              <w:t>)</w:t>
            </w:r>
          </w:p>
        </w:tc>
        <w:tc>
          <w:tcPr>
            <w:tcW w:w="38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AWS Backup daily; copy to the second region weekly</w:t>
            </w:r>
          </w:p>
        </w:tc>
        <w:tc>
          <w:tcPr>
            <w:tcW w:w="347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Daily 35 days; monthly 12 months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S3 front-end bucket</w:t>
            </w:r>
          </w:p>
        </w:tc>
        <w:tc>
          <w:tcPr>
            <w:tcW w:w="38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Versioning on; lifecycle removing non-current versions after 90 days</w:t>
            </w:r>
          </w:p>
        </w:tc>
        <w:tc>
          <w:tcPr>
            <w:tcW w:w="347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90 days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Secrets</w:t>
            </w:r>
          </w:p>
        </w:tc>
        <w:tc>
          <w:tcPr>
            <w:tcW w:w="38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Secrets Manager (versioned, KMS); escrow copy of </w:t>
            </w:r>
            <w:r>
              <w:rPr>
                <w:rFonts w:eastAsia="Liberation Mono" w:cs="Liberation Mono" w:ascii="Liberation Mono" w:hAnsi="Liberation Mono"/>
                <w:color w:val="0B3D7A"/>
                <w:sz w:val="15"/>
              </w:rPr>
              <w:t>DATA_ENCRYPTION_KEY</w:t>
            </w:r>
            <w:r>
              <w:rPr>
                <w:rFonts w:eastAsia="Nunito" w:cs="Nunito"/>
                <w:sz w:val="17"/>
              </w:rPr>
              <w:t xml:space="preserve"> and </w:t>
            </w:r>
            <w:r>
              <w:rPr>
                <w:rFonts w:eastAsia="Liberation Mono" w:cs="Liberation Mono" w:ascii="Liberation Mono" w:hAnsi="Liberation Mono"/>
                <w:color w:val="0B3D7A"/>
                <w:sz w:val="15"/>
              </w:rPr>
              <w:t>JWT_SECRET</w:t>
            </w:r>
            <w:r>
              <w:rPr>
                <w:rFonts w:eastAsia="Nunito" w:cs="Nunito"/>
                <w:sz w:val="17"/>
              </w:rPr>
              <w:t xml:space="preserve"> in a sealed offline store under dual control (for example two custodians)</w:t>
            </w:r>
          </w:p>
        </w:tc>
        <w:tc>
          <w:tcPr>
            <w:tcW w:w="347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Current and previous versions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ECR images</w:t>
            </w:r>
          </w:p>
        </w:tc>
        <w:tc>
          <w:tcPr>
            <w:tcW w:w="38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Lifecycle policy keeping the last 10 release tags; replication to the recovery region</w:t>
            </w:r>
          </w:p>
        </w:tc>
        <w:tc>
          <w:tcPr>
            <w:tcW w:w="347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10 releases</w:t>
            </w:r>
          </w:p>
        </w:tc>
      </w:tr>
    </w:tbl>
    <w:p>
      <w:pPr>
        <w:pStyle w:val="Normal"/>
        <w:spacing w:before="0" w:after="40"/>
        <w:rPr/>
      </w:pPr>
      <w:r>
        <w:rPr/>
      </w:r>
    </w:p>
    <w:p>
      <w:pPr>
        <w:pStyle w:val="Heading2"/>
        <w:rPr/>
      </w:pPr>
      <w:bookmarkStart w:id="5" w:name="__RefHeading___Toc25085_1872304043"/>
      <w:bookmarkEnd w:id="5"/>
      <w:r>
        <w:rPr>
          <w:rFonts w:eastAsia="Nunito" w:cs="Nunito" w:ascii="Nunito" w:hAnsi="Nunito"/>
        </w:rPr>
        <w:t>3.2  Docker Compose and single-server installations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312"/>
        <w:gridCol w:w="7324"/>
      </w:tblGrid>
      <w:tr>
        <w:trPr>
          <w:tblHeader w:val="true"/>
          <w:cantSplit w:val="true"/>
        </w:trPr>
        <w:tc>
          <w:tcPr>
            <w:tcW w:w="231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Backup</w:t>
            </w:r>
          </w:p>
        </w:tc>
        <w:tc>
          <w:tcPr>
            <w:tcW w:w="732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Procedure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Database</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Daily </w:t>
            </w:r>
            <w:r>
              <w:rPr>
                <w:rFonts w:eastAsia="Liberation Mono" w:cs="Liberation Mono" w:ascii="Liberation Mono" w:hAnsi="Liberation Mono"/>
                <w:color w:val="0B3D7A"/>
                <w:sz w:val="15"/>
              </w:rPr>
              <w:t>docker compose exec -T db pg_dump -U brokerverse -Fc brokerverse &gt; brokerverse-$(date +%F).dump</w:t>
            </w:r>
            <w:r>
              <w:rPr>
                <w:rFonts w:eastAsia="Nunito" w:cs="Nunito"/>
                <w:sz w:val="17"/>
              </w:rPr>
              <w:t>, copied off the host (object storage), kept 35 days plus monthly copies. For PITR on a self-managed server use WAL archiving (for example pgBackRest or WAL-G).</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Uploads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Daily archive of the </w:t>
            </w:r>
            <w:r>
              <w:rPr>
                <w:rFonts w:eastAsia="Liberation Mono" w:cs="Liberation Mono" w:ascii="Liberation Mono" w:hAnsi="Liberation Mono"/>
                <w:color w:val="0B3D7A"/>
                <w:sz w:val="15"/>
              </w:rPr>
              <w:t>uploads</w:t>
            </w:r>
            <w:r>
              <w:rPr>
                <w:rFonts w:eastAsia="Nunito" w:cs="Nunito"/>
                <w:sz w:val="17"/>
              </w:rPr>
              <w:t xml:space="preserve"> volume (</w:t>
            </w:r>
            <w:r>
              <w:rPr>
                <w:rFonts w:eastAsia="Liberation Mono" w:cs="Liberation Mono" w:ascii="Liberation Mono" w:hAnsi="Liberation Mono"/>
                <w:color w:val="0B3D7A"/>
                <w:sz w:val="15"/>
              </w:rPr>
              <w:t>docker run --rm -v &lt;project&gt;_uploads:/data -v $PWD:/backup alpine tar czf /backup/uploads-$(date +%F).tgz -C /data .</w:t>
            </w:r>
            <w:r>
              <w:rPr>
                <w:rFonts w:eastAsia="Nunito" w:cs="Nunito"/>
                <w:sz w:val="17"/>
              </w:rPr>
              <w:t>), copied off the host.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Secrets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Keep the environment file with </w:t>
            </w:r>
            <w:r>
              <w:rPr>
                <w:rFonts w:eastAsia="Liberation Mono" w:cs="Liberation Mono" w:ascii="Liberation Mono" w:hAnsi="Liberation Mono"/>
                <w:color w:val="0B3D7A"/>
                <w:sz w:val="15"/>
              </w:rPr>
              <w:t>JWT_SECRET</w:t>
            </w:r>
            <w:r>
              <w:rPr>
                <w:rFonts w:eastAsia="Nunito" w:cs="Nunito"/>
                <w:sz w:val="17"/>
              </w:rPr>
              <w:t xml:space="preserve">, </w:t>
            </w:r>
            <w:r>
              <w:rPr>
                <w:rFonts w:eastAsia="Liberation Mono" w:cs="Liberation Mono" w:ascii="Liberation Mono" w:hAnsi="Liberation Mono"/>
                <w:color w:val="0B3D7A"/>
                <w:sz w:val="15"/>
              </w:rPr>
              <w:t>DATA_ENCRYPTION_KEY</w:t>
            </w:r>
            <w:r>
              <w:rPr>
                <w:rFonts w:eastAsia="Nunito" w:cs="Nunito"/>
                <w:sz w:val="17"/>
              </w:rPr>
              <w:t xml:space="preserve">, </w:t>
            </w:r>
            <w:r>
              <w:rPr>
                <w:rFonts w:eastAsia="Liberation Mono" w:cs="Liberation Mono" w:ascii="Liberation Mono" w:hAnsi="Liberation Mono"/>
                <w:color w:val="0B3D7A"/>
                <w:sz w:val="15"/>
              </w:rPr>
              <w:t>DB_PASSWORD</w:t>
            </w:r>
            <w:r>
              <w:rPr>
                <w:rFonts w:eastAsia="Nunito" w:cs="Nunito"/>
                <w:sz w:val="17"/>
              </w:rPr>
              <w:t xml:space="preserve"> in a password vault, never in the repository.</w:t>
            </w:r>
          </w:p>
        </w:tc>
      </w:tr>
    </w:tbl>
    <w:p>
      <w:pPr>
        <w:pStyle w:val="Normal"/>
        <w:spacing w:before="0" w:after="40"/>
        <w:rPr/>
      </w:pPr>
      <w:r>
        <w:rPr/>
      </w:r>
    </w:p>
    <w:p>
      <w:pPr>
        <w:pStyle w:val="Heading2"/>
        <w:rPr/>
      </w:pPr>
      <w:bookmarkStart w:id="6" w:name="__RefHeading___Toc25087_1872304043"/>
      <w:bookmarkEnd w:id="6"/>
      <w:r>
        <w:rPr>
          <w:rFonts w:eastAsia="Nunito" w:cs="Nunito" w:ascii="Nunito" w:hAnsi="Nunito"/>
        </w:rPr>
        <w:t>3.3  Consistency between database and files</w:t>
      </w:r>
    </w:p>
    <w:p>
      <w:pPr>
        <w:pStyle w:val="Normal"/>
        <w:rPr/>
      </w:pPr>
      <w:r>
        <w:rPr>
          <w:rFonts w:eastAsia="Nunito" w:cs="Nunito"/>
        </w:rPr>
        <w:t>The database and the file store are backed up separately, so a restore can yield records that point to files created after the file backup (missing files) or files without a record (orphans). Keep the EFS backup time close to the database backup window, and after a restore run the reconciliation query in the procedure below. A file referenced by a record but missing is re-uploaded by the business; generated files (reports, statements) are regenerated.</w:t>
      </w:r>
      <w:r>
        <w:br w:type="page"/>
      </w:r>
    </w:p>
    <w:p>
      <w:pPr>
        <w:pStyle w:val="Heading1"/>
        <w:pBdr>
          <w:bottom w:val="single" w:sz="12" w:space="6" w:color="00ACF1"/>
        </w:pBdr>
        <w:rPr/>
      </w:pPr>
      <w:bookmarkStart w:id="7" w:name="__RefHeading___Toc25089_1872304043"/>
      <w:bookmarkEnd w:id="7"/>
      <w:r>
        <w:rPr>
          <w:rFonts w:eastAsia="Nunito" w:cs="Nunito" w:ascii="Nunito" w:hAnsi="Nunito"/>
        </w:rPr>
        <w:t>4  Restore procedures</w:t>
      </w:r>
    </w:p>
    <w:p>
      <w:pPr>
        <w:pStyle w:val="Heading2"/>
        <w:rPr/>
      </w:pPr>
      <w:bookmarkStart w:id="8" w:name="__RefHeading___Toc25091_1872304043"/>
      <w:bookmarkEnd w:id="8"/>
      <w:r>
        <w:rPr>
          <w:rFonts w:eastAsia="Nunito" w:cs="Nunito" w:ascii="Nunito" w:hAnsi="Nunito"/>
        </w:rPr>
        <w:t>4.1  Database: point-in-time restore (AWS)</w:t>
      </w:r>
    </w:p>
    <w:p>
      <w:pPr>
        <w:pStyle w:val="Step"/>
        <w:rPr/>
      </w:pPr>
      <w:r>
        <w:rPr>
          <w:rFonts w:eastAsia="Nunito" w:cs="Nunito"/>
          <w:b/>
          <w:color w:val="00ACF1"/>
        </w:rPr>
        <w:t>1.</w:t>
        <w:tab/>
      </w:r>
      <w:r>
        <w:rPr>
          <w:rFonts w:eastAsia="Nunito" w:cs="Nunito"/>
        </w:rPr>
        <w:t>Declare the incident, stop user traffic or set the application to maintenance (scale the API service to 0 containers or return a maintenance page from CloudFront) to prevent further writes to the damaged database.</w:t>
      </w:r>
    </w:p>
    <w:p>
      <w:pPr>
        <w:pStyle w:val="Step"/>
        <w:rPr/>
      </w:pPr>
      <w:r>
        <w:rPr>
          <w:rFonts w:eastAsia="Nunito" w:cs="Nunito"/>
          <w:b/>
          <w:color w:val="00ACF1"/>
        </w:rPr>
        <w:t>2.</w:t>
        <w:tab/>
      </w:r>
      <w:r>
        <w:rPr>
          <w:rFonts w:eastAsia="Nunito" w:cs="Nunito"/>
        </w:rPr>
        <w:t xml:space="preserve">Determine the recovery time: the last good moment before the incident (from the audit log </w:t>
      </w:r>
      <w:r>
        <w:rPr>
          <w:rFonts w:eastAsia="Liberation Mono" w:cs="Liberation Mono" w:ascii="Liberation Mono" w:hAnsi="Liberation Mono"/>
          <w:color w:val="0B3D7A"/>
          <w:sz w:val="18"/>
        </w:rPr>
        <w:t>audit_log.at</w:t>
      </w:r>
      <w:r>
        <w:rPr>
          <w:rFonts w:eastAsia="Nunito" w:cs="Nunito"/>
        </w:rPr>
        <w:t>, application logs or the user report). Record it in the incident log.</w:t>
      </w:r>
    </w:p>
    <w:p>
      <w:pPr>
        <w:pStyle w:val="Step"/>
        <w:rPr/>
      </w:pPr>
      <w:r>
        <w:rPr>
          <w:rFonts w:eastAsia="Nunito" w:cs="Nunito"/>
          <w:b/>
          <w:color w:val="00ACF1"/>
        </w:rPr>
        <w:t>3.</w:t>
        <w:tab/>
      </w:r>
      <w:r>
        <w:rPr>
          <w:rFonts w:eastAsia="Nunito" w:cs="Nunito"/>
        </w:rPr>
        <w:t>In RDS, "Restore to point in time" of the production instance to a new instance (same class, Multi-AZ, subnet group, security group, parameter group, KMS key) at the recovery time.</w:t>
      </w:r>
    </w:p>
    <w:p>
      <w:pPr>
        <w:pStyle w:val="Step"/>
        <w:rPr/>
      </w:pPr>
      <w:r>
        <w:rPr>
          <w:rFonts w:eastAsia="Nunito" w:cs="Nunito"/>
          <w:b/>
          <w:color w:val="00ACF1"/>
        </w:rPr>
        <w:t>4.</w:t>
        <w:tab/>
      </w:r>
      <w:r>
        <w:rPr>
          <w:rFonts w:eastAsia="Nunito" w:cs="Nunito"/>
        </w:rPr>
        <w:t xml:space="preserve">When the new instance is available, connect with </w:t>
      </w:r>
      <w:r>
        <w:rPr>
          <w:rFonts w:eastAsia="Liberation Mono" w:cs="Liberation Mono" w:ascii="Liberation Mono" w:hAnsi="Liberation Mono"/>
          <w:color w:val="0B3D7A"/>
          <w:sz w:val="18"/>
        </w:rPr>
        <w:t>psql</w:t>
      </w:r>
      <w:r>
        <w:rPr>
          <w:rFonts w:eastAsia="Nunito" w:cs="Nunito"/>
        </w:rPr>
        <w:t xml:space="preserve"> and verify: </w:t>
      </w:r>
      <w:r>
        <w:rPr>
          <w:rFonts w:eastAsia="Liberation Mono" w:cs="Liberation Mono" w:ascii="Liberation Mono" w:hAnsi="Liberation Mono"/>
          <w:color w:val="0B3D7A"/>
          <w:sz w:val="18"/>
        </w:rPr>
        <w:t>SELECT max(at) FROM audit_log;</w:t>
      </w:r>
      <w:r>
        <w:rPr>
          <w:rFonts w:eastAsia="Nunito" w:cs="Nunito"/>
        </w:rPr>
        <w:t xml:space="preserve"> is just before the recovery time; row counts of </w:t>
      </w:r>
      <w:r>
        <w:rPr>
          <w:rFonts w:eastAsia="Liberation Mono" w:cs="Liberation Mono" w:ascii="Liberation Mono" w:hAnsi="Liberation Mono"/>
          <w:color w:val="0B3D7A"/>
          <w:sz w:val="18"/>
        </w:rPr>
        <w:t>policies</w:t>
      </w:r>
      <w:r>
        <w:rPr>
          <w:rFonts w:eastAsia="Nunito" w:cs="Nunito"/>
        </w:rPr>
        <w:t xml:space="preserve">, </w:t>
      </w:r>
      <w:r>
        <w:rPr>
          <w:rFonts w:eastAsia="Liberation Mono" w:cs="Liberation Mono" w:ascii="Liberation Mono" w:hAnsi="Liberation Mono"/>
          <w:color w:val="0B3D7A"/>
          <w:sz w:val="18"/>
        </w:rPr>
        <w:t>receipts</w:t>
      </w:r>
      <w:r>
        <w:rPr>
          <w:rFonts w:eastAsia="Nunito" w:cs="Nunito"/>
        </w:rPr>
        <w:t xml:space="preserve">, </w:t>
      </w:r>
      <w:r>
        <w:rPr>
          <w:rFonts w:eastAsia="Liberation Mono" w:cs="Liberation Mono" w:ascii="Liberation Mono" w:hAnsi="Liberation Mono"/>
          <w:color w:val="0B3D7A"/>
          <w:sz w:val="18"/>
        </w:rPr>
        <w:t>journal_vouchers</w:t>
      </w:r>
      <w:r>
        <w:rPr>
          <w:rFonts w:eastAsia="Nunito" w:cs="Nunito"/>
        </w:rPr>
        <w:t xml:space="preserve"> are plausible; </w:t>
      </w:r>
      <w:r>
        <w:rPr>
          <w:rFonts w:eastAsia="Liberation Mono" w:cs="Liberation Mono" w:ascii="Liberation Mono" w:hAnsi="Liberation Mono"/>
          <w:color w:val="0B3D7A"/>
          <w:sz w:val="18"/>
        </w:rPr>
        <w:t>SELECT count(*) FROM schema_migrations;</w:t>
      </w:r>
      <w:r>
        <w:rPr>
          <w:rFonts w:eastAsia="Nunito" w:cs="Nunito"/>
        </w:rPr>
        <w:t xml:space="preserve"> equals the number of migration files of the deployed release.</w:t>
      </w:r>
    </w:p>
    <w:p>
      <w:pPr>
        <w:pStyle w:val="Step"/>
        <w:rPr/>
      </w:pPr>
      <w:r>
        <w:rPr>
          <w:rFonts w:eastAsia="Nunito" w:cs="Nunito"/>
          <w:b/>
          <w:color w:val="00ACF1"/>
        </w:rPr>
        <w:t>5.</w:t>
        <w:tab/>
      </w:r>
      <w:r>
        <w:rPr>
          <w:rFonts w:eastAsia="Nunito" w:cs="Nunito"/>
        </w:rPr>
        <w:t xml:space="preserve">Update the </w:t>
      </w:r>
      <w:r>
        <w:rPr>
          <w:rFonts w:eastAsia="Liberation Mono" w:cs="Liberation Mono" w:ascii="Liberation Mono" w:hAnsi="Liberation Mono"/>
          <w:color w:val="0B3D7A"/>
          <w:sz w:val="18"/>
        </w:rPr>
        <w:t>DATABASE_URL</w:t>
      </w:r>
      <w:r>
        <w:rPr>
          <w:rFonts w:eastAsia="Nunito" w:cs="Nunito"/>
        </w:rPr>
        <w:t xml:space="preserve"> secret to the new endpoint (or rename the instances so the new one takes the old endpoint name).</w:t>
      </w:r>
    </w:p>
    <w:p>
      <w:pPr>
        <w:pStyle w:val="Step"/>
        <w:rPr/>
      </w:pPr>
      <w:r>
        <w:rPr>
          <w:rFonts w:eastAsia="Nunito" w:cs="Nunito"/>
          <w:b/>
          <w:color w:val="00ACF1"/>
        </w:rPr>
        <w:t>6.</w:t>
        <w:tab/>
      </w:r>
      <w:r>
        <w:rPr>
          <w:rFonts w:eastAsia="Nunito" w:cs="Nunito"/>
        </w:rPr>
        <w:t xml:space="preserve">Start the API service (or restart the containers). Each container checks </w:t>
      </w:r>
      <w:r>
        <w:rPr>
          <w:rFonts w:eastAsia="Liberation Mono" w:cs="Liberation Mono" w:ascii="Liberation Mono" w:hAnsi="Liberation Mono"/>
          <w:color w:val="0B3D7A"/>
          <w:sz w:val="18"/>
        </w:rPr>
        <w:t>GET /api/health</w:t>
      </w:r>
      <w:r>
        <w:rPr>
          <w:rFonts w:eastAsia="Nunito" w:cs="Nunito"/>
        </w:rPr>
        <w:t xml:space="preserve"> = 200 (database reachable, no pending migrations) before it receives traffic.</w:t>
      </w:r>
    </w:p>
    <w:p>
      <w:pPr>
        <w:pStyle w:val="Step"/>
        <w:rPr/>
      </w:pPr>
      <w:r>
        <w:rPr>
          <w:rFonts w:eastAsia="Nunito" w:cs="Nunito"/>
          <w:b/>
          <w:color w:val="00ACF1"/>
        </w:rPr>
        <w:t>7.</w:t>
        <w:tab/>
      </w:r>
      <w:r>
        <w:rPr>
          <w:rFonts w:eastAsia="Nunito" w:cs="Nunito"/>
        </w:rPr>
        <w:t>Smoke test: sign in, open a recent policy and its documents, run the trial balance, check Master &gt; Schedules.</w:t>
      </w:r>
    </w:p>
    <w:p>
      <w:pPr>
        <w:pStyle w:val="Step"/>
        <w:rPr/>
      </w:pPr>
      <w:r>
        <w:rPr>
          <w:rFonts w:eastAsia="Nunito" w:cs="Nunito"/>
          <w:b/>
          <w:color w:val="00ACF1"/>
        </w:rPr>
        <w:t>8.</w:t>
        <w:tab/>
      </w:r>
      <w:r>
        <w:rPr>
          <w:rFonts w:eastAsia="Nunito" w:cs="Nunito"/>
        </w:rPr>
        <w:t>Inform the business of the recovery point; transactions entered after it are re-entered from source documents and the audit trail of the damaged database (keep the damaged instance, renamed, until reconciliation is complete).</w:t>
      </w:r>
    </w:p>
    <w:p>
      <w:pPr>
        <w:pStyle w:val="Step"/>
        <w:rPr/>
      </w:pPr>
      <w:r>
        <w:rPr>
          <w:rFonts w:eastAsia="Nunito" w:cs="Nunito"/>
          <w:b/>
          <w:color w:val="00ACF1"/>
        </w:rPr>
        <w:t>9.</w:t>
        <w:tab/>
      </w:r>
      <w:r>
        <w:rPr>
          <w:rFonts w:eastAsia="Nunito" w:cs="Nunito"/>
        </w:rPr>
        <w:t>Delete the old instance after the retention agreed in the incident review, taking a final snapshot.</w:t>
      </w:r>
    </w:p>
    <w:p>
      <w:pPr>
        <w:pStyle w:val="Heading2"/>
        <w:rPr/>
      </w:pPr>
      <w:bookmarkStart w:id="9" w:name="__RefHeading___Toc25093_1872304043"/>
      <w:bookmarkEnd w:id="9"/>
      <w:r>
        <w:rPr>
          <w:rFonts w:eastAsia="Nunito" w:cs="Nunito" w:ascii="Nunito" w:hAnsi="Nunito"/>
        </w:rPr>
        <w:t>4.2  Database: restore from snapshot or logical dump</w:t>
      </w:r>
    </w:p>
    <w:p>
      <w:pPr>
        <w:pStyle w:val="Step"/>
        <w:rPr/>
      </w:pPr>
      <w:r>
        <w:rPr>
          <w:rFonts w:eastAsia="Nunito" w:cs="Nunito"/>
          <w:b/>
          <w:color w:val="00ACF1"/>
        </w:rPr>
        <w:t>1.</w:t>
        <w:tab/>
      </w:r>
      <w:r>
        <w:rPr>
          <w:rFonts w:eastAsia="Nunito" w:cs="Nunito"/>
        </w:rPr>
        <w:t>Snapshot: "Restore snapshot" to a new instance, then steps 4 to 9 above.</w:t>
      </w:r>
    </w:p>
    <w:p>
      <w:pPr>
        <w:pStyle w:val="Step"/>
        <w:rPr/>
      </w:pPr>
      <w:r>
        <w:rPr>
          <w:rFonts w:eastAsia="Nunito" w:cs="Nunito"/>
          <w:b/>
          <w:color w:val="00ACF1"/>
        </w:rPr>
        <w:t>2.</w:t>
        <w:tab/>
      </w:r>
      <w:r>
        <w:rPr>
          <w:rFonts w:eastAsia="Nunito" w:cs="Nunito"/>
        </w:rPr>
        <w:t xml:space="preserve">Logical dump (other account, region or PostgreSQL server): create an empty database and a login with rights to create tables, then </w:t>
      </w:r>
      <w:r>
        <w:rPr>
          <w:rFonts w:eastAsia="Liberation Mono" w:cs="Liberation Mono" w:ascii="Liberation Mono" w:hAnsi="Liberation Mono"/>
          <w:color w:val="0B3D7A"/>
          <w:sz w:val="18"/>
        </w:rPr>
        <w:t>pg_restore --no-owner --role=&lt;login&gt; -d &lt;database&gt; brokerverse-&lt;date&gt;.dump</w:t>
      </w:r>
      <w:r>
        <w:rPr>
          <w:rFonts w:eastAsia="Nunito" w:cs="Nunito"/>
        </w:rPr>
        <w:t xml:space="preserve">; verify as in step 4; point </w:t>
      </w:r>
      <w:r>
        <w:rPr>
          <w:rFonts w:eastAsia="Liberation Mono" w:cs="Liberation Mono" w:ascii="Liberation Mono" w:hAnsi="Liberation Mono"/>
          <w:color w:val="0B3D7A"/>
          <w:sz w:val="18"/>
        </w:rPr>
        <w:t>DATABASE_URL</w:t>
      </w:r>
      <w:r>
        <w:rPr>
          <w:rFonts w:eastAsia="Nunito" w:cs="Nunito"/>
        </w:rPr>
        <w:t xml:space="preserve"> at it and start the API.</w:t>
      </w:r>
    </w:p>
    <w:p>
      <w:pPr>
        <w:pStyle w:val="Step"/>
        <w:rPr/>
      </w:pPr>
      <w:r>
        <w:rPr>
          <w:rFonts w:eastAsia="Nunito" w:cs="Nunito"/>
          <w:b/>
          <w:color w:val="00ACF1"/>
        </w:rPr>
        <w:t>3.</w:t>
        <w:tab/>
      </w:r>
      <w:r>
        <w:rPr>
          <w:rFonts w:eastAsia="Nunito" w:cs="Nunito"/>
        </w:rPr>
        <w:t>The API applies any migration of a newer release on start; restoring a dump into an older release is not supported (migrations are forward only).</w:t>
      </w:r>
    </w:p>
    <w:p>
      <w:pPr>
        <w:pStyle w:val="Heading2"/>
        <w:rPr/>
      </w:pPr>
      <w:bookmarkStart w:id="10" w:name="__RefHeading___Toc25095_1872304043"/>
      <w:bookmarkEnd w:id="10"/>
      <w:r>
        <w:rPr>
          <w:rFonts w:eastAsia="Nunito" w:cs="Nunito" w:ascii="Nunito" w:hAnsi="Nunito"/>
        </w:rPr>
        <w:t>4.3  Files (EFS)</w:t>
      </w:r>
    </w:p>
    <w:p>
      <w:pPr>
        <w:pStyle w:val="Step"/>
        <w:rPr/>
      </w:pPr>
      <w:r>
        <w:rPr>
          <w:rFonts w:eastAsia="Nunito" w:cs="Nunito"/>
          <w:b/>
          <w:color w:val="00ACF1"/>
        </w:rPr>
        <w:t>1.</w:t>
        <w:tab/>
      </w:r>
      <w:r>
        <w:rPr>
          <w:rFonts w:eastAsia="Nunito" w:cs="Nunito"/>
        </w:rPr>
        <w:t xml:space="preserve">In AWS Backup, choose the EFS recovery point and restore either the whole file system to a new file system, or selected directories (for example </w:t>
      </w:r>
      <w:r>
        <w:rPr>
          <w:rFonts w:eastAsia="Liberation Mono" w:cs="Liberation Mono" w:ascii="Liberation Mono" w:hAnsi="Liberation Mono"/>
          <w:color w:val="0B3D7A"/>
          <w:sz w:val="18"/>
        </w:rPr>
        <w:t>claim/</w:t>
      </w:r>
      <w:r>
        <w:rPr>
          <w:rFonts w:eastAsia="Nunito" w:cs="Nunito"/>
        </w:rPr>
        <w:t xml:space="preserve">, </w:t>
      </w:r>
      <w:r>
        <w:rPr>
          <w:rFonts w:eastAsia="Liberation Mono" w:cs="Liberation Mono" w:ascii="Liberation Mono" w:hAnsi="Liberation Mono"/>
          <w:color w:val="0B3D7A"/>
          <w:sz w:val="18"/>
        </w:rPr>
        <w:t>reports/</w:t>
      </w:r>
      <w:r>
        <w:rPr>
          <w:rFonts w:eastAsia="Nunito" w:cs="Nunito"/>
        </w:rPr>
        <w:t>) to a new directory of the existing file system.</w:t>
      </w:r>
    </w:p>
    <w:p>
      <w:pPr>
        <w:pStyle w:val="Step"/>
        <w:rPr/>
      </w:pPr>
      <w:r>
        <w:rPr>
          <w:rFonts w:eastAsia="Nunito" w:cs="Nunito"/>
          <w:b/>
          <w:color w:val="00ACF1"/>
        </w:rPr>
        <w:t>2.</w:t>
        <w:tab/>
      </w:r>
      <w:r>
        <w:rPr>
          <w:rFonts w:eastAsia="Nunito" w:cs="Nunito"/>
        </w:rPr>
        <w:t xml:space="preserve">For a full restore, update the container definition to mount the new file system at </w:t>
      </w:r>
      <w:r>
        <w:rPr>
          <w:rFonts w:eastAsia="Liberation Mono" w:cs="Liberation Mono" w:ascii="Liberation Mono" w:hAnsi="Liberation Mono"/>
          <w:color w:val="0B3D7A"/>
          <w:sz w:val="18"/>
        </w:rPr>
        <w:t>/app/uploads</w:t>
      </w:r>
      <w:r>
        <w:rPr>
          <w:rFonts w:eastAsia="Nunito" w:cs="Nunito"/>
        </w:rPr>
        <w:t xml:space="preserve"> and redeploy; for a partial restore, move the recovered files into place (paths are the storage keys).</w:t>
      </w:r>
    </w:p>
    <w:p>
      <w:pPr>
        <w:pStyle w:val="Step"/>
        <w:rPr/>
      </w:pPr>
      <w:r>
        <w:rPr>
          <w:rFonts w:eastAsia="Nunito" w:cs="Nunito"/>
          <w:b/>
          <w:color w:val="00ACF1"/>
        </w:rPr>
        <w:t>3.</w:t>
        <w:tab/>
      </w:r>
      <w:r>
        <w:rPr>
          <w:rFonts w:eastAsia="Nunito" w:cs="Nunito"/>
        </w:rPr>
        <w:t xml:space="preserve">Reconcile: list document keys missing on disk with a query such as </w:t>
      </w:r>
      <w:r>
        <w:rPr>
          <w:rFonts w:eastAsia="Liberation Mono" w:cs="Liberation Mono" w:ascii="Liberation Mono" w:hAnsi="Liberation Mono"/>
          <w:color w:val="0B3D7A"/>
          <w:sz w:val="18"/>
        </w:rPr>
        <w:t>SELECT storage_key FROM documents WHERE status = 'uploaded'</w:t>
      </w:r>
      <w:r>
        <w:rPr>
          <w:rFonts w:eastAsia="Nunito" w:cs="Nunito"/>
        </w:rPr>
        <w:t xml:space="preserve"> compared with the file list (</w:t>
      </w:r>
      <w:r>
        <w:rPr>
          <w:rFonts w:eastAsia="Liberation Mono" w:cs="Liberation Mono" w:ascii="Liberation Mono" w:hAnsi="Liberation Mono"/>
          <w:color w:val="0B3D7A"/>
          <w:sz w:val="18"/>
        </w:rPr>
        <w:t>find /app/uploads -type f</w:t>
      </w:r>
      <w:r>
        <w:rPr>
          <w:rFonts w:eastAsia="Nunito" w:cs="Nunito"/>
        </w:rPr>
        <w:t>); report missing files to the business.</w:t>
      </w:r>
    </w:p>
    <w:p>
      <w:pPr>
        <w:pStyle w:val="Heading2"/>
        <w:rPr/>
      </w:pPr>
      <w:bookmarkStart w:id="11" w:name="__RefHeading___Toc25097_1872304043"/>
      <w:bookmarkEnd w:id="11"/>
      <w:r>
        <w:rPr>
          <w:rFonts w:eastAsia="Nunito" w:cs="Nunito" w:ascii="Nunito" w:hAnsi="Nunito"/>
        </w:rPr>
        <w:t>4.4  Front end</w:t>
      </w:r>
    </w:p>
    <w:p>
      <w:pPr>
        <w:pStyle w:val="Step"/>
        <w:rPr/>
      </w:pPr>
      <w:r>
        <w:rPr>
          <w:rFonts w:eastAsia="Nunito" w:cs="Nunito"/>
          <w:b/>
          <w:color w:val="00ACF1"/>
        </w:rPr>
        <w:t>1.</w:t>
        <w:tab/>
      </w:r>
      <w:r>
        <w:rPr>
          <w:rFonts w:eastAsia="Nunito" w:cs="Nunito"/>
        </w:rPr>
        <w:t xml:space="preserve">Re-run the GitHub Actions workflow on the last good commit of </w:t>
      </w:r>
      <w:r>
        <w:rPr>
          <w:rFonts w:eastAsia="Liberation Mono" w:cs="Liberation Mono" w:ascii="Liberation Mono" w:hAnsi="Liberation Mono"/>
          <w:color w:val="0B3D7A"/>
          <w:sz w:val="18"/>
        </w:rPr>
        <w:t>dev</w:t>
      </w:r>
      <w:r>
        <w:rPr>
          <w:rFonts w:eastAsia="Nunito" w:cs="Nunito"/>
        </w:rPr>
        <w:t>, or restore the previous object versions in the S3 bucket.</w:t>
      </w:r>
    </w:p>
    <w:p>
      <w:pPr>
        <w:pStyle w:val="Step"/>
        <w:rPr/>
      </w:pPr>
      <w:r>
        <w:rPr>
          <w:rFonts w:eastAsia="Nunito" w:cs="Nunito"/>
          <w:b/>
          <w:color w:val="00ACF1"/>
        </w:rPr>
        <w:t>2.</w:t>
        <w:tab/>
      </w:r>
      <w:r>
        <w:rPr>
          <w:rFonts w:eastAsia="Nunito" w:cs="Nunito"/>
        </w:rPr>
        <w:t xml:space="preserve">Create a CloudFront invalidation for </w:t>
      </w:r>
      <w:r>
        <w:rPr>
          <w:rFonts w:eastAsia="Liberation Mono" w:cs="Liberation Mono" w:ascii="Liberation Mono" w:hAnsi="Liberation Mono"/>
          <w:color w:val="0B3D7A"/>
          <w:sz w:val="18"/>
        </w:rPr>
        <w:t>/*</w:t>
      </w:r>
      <w:r>
        <w:rPr>
          <w:rFonts w:eastAsia="Nunito" w:cs="Nunito"/>
        </w:rPr>
        <w:t>.</w:t>
      </w:r>
    </w:p>
    <w:p>
      <w:pPr>
        <w:pStyle w:val="Heading2"/>
        <w:rPr/>
      </w:pPr>
      <w:bookmarkStart w:id="12" w:name="__RefHeading___Toc25099_1872304043"/>
      <w:bookmarkEnd w:id="12"/>
      <w:r>
        <w:rPr>
          <w:rFonts w:eastAsia="Nunito" w:cs="Nunito" w:ascii="Nunito" w:hAnsi="Nunito"/>
        </w:rPr>
        <w:t>4.5  Secrets</w:t>
      </w:r>
    </w:p>
    <w:p>
      <w:pPr>
        <w:pStyle w:val="Step"/>
        <w:rPr/>
      </w:pPr>
      <w:r>
        <w:rPr>
          <w:rFonts w:eastAsia="Nunito" w:cs="Nunito"/>
          <w:b/>
          <w:color w:val="00ACF1"/>
        </w:rPr>
        <w:t>1.</w:t>
        <w:tab/>
      </w:r>
      <w:r>
        <w:rPr>
          <w:rFonts w:eastAsia="Nunito" w:cs="Nunito"/>
        </w:rPr>
        <w:t>Restore the previous secret version in Secrets Manager (or recreate it from the escrow copy under dual control).</w:t>
      </w:r>
    </w:p>
    <w:p>
      <w:pPr>
        <w:pStyle w:val="Step"/>
        <w:rPr/>
      </w:pPr>
      <w:r>
        <w:rPr>
          <w:rFonts w:eastAsia="Nunito" w:cs="Nunito"/>
          <w:b/>
          <w:color w:val="00ACF1"/>
        </w:rPr>
        <w:t>2.</w:t>
        <w:tab/>
      </w:r>
      <w:r>
        <w:rPr>
          <w:rFonts w:eastAsia="Nunito" w:cs="Nunito"/>
        </w:rPr>
        <w:t>Restart the API containers so they read the secret.</w:t>
      </w:r>
    </w:p>
    <w:p>
      <w:pPr>
        <w:pStyle w:val="Step"/>
        <w:rPr/>
      </w:pPr>
      <w:r>
        <w:rPr>
          <w:rFonts w:eastAsia="Nunito" w:cs="Nunito"/>
          <w:b/>
          <w:color w:val="00ACF1"/>
        </w:rPr>
        <w:t>3.</w:t>
        <w:tab/>
      </w:r>
      <w:r>
        <w:rPr>
          <w:rFonts w:eastAsia="Nunito" w:cs="Nunito"/>
        </w:rPr>
        <w:t xml:space="preserve">If </w:t>
      </w:r>
      <w:r>
        <w:rPr>
          <w:rFonts w:eastAsia="Liberation Mono" w:cs="Liberation Mono" w:ascii="Liberation Mono" w:hAnsi="Liberation Mono"/>
          <w:color w:val="0B3D7A"/>
          <w:sz w:val="18"/>
        </w:rPr>
        <w:t>PII_ENCRYPTION_KEY</w:t>
      </w:r>
      <w:r>
        <w:rPr>
          <w:rFonts w:eastAsia="Nunito" w:cs="Nunito"/>
        </w:rPr>
        <w:t xml:space="preserve"> is lost, the encrypted identifiers cannot be recovered: restore the key from the escrow copy; never generate a new key for an existing database except through the rotation procedure (</w:t>
      </w:r>
      <w:r>
        <w:rPr>
          <w:rFonts w:eastAsia="Liberation Mono" w:cs="Liberation Mono" w:ascii="Liberation Mono" w:hAnsi="Liberation Mono"/>
          <w:color w:val="0B3D7A"/>
          <w:sz w:val="18"/>
        </w:rPr>
        <w:t>npm run pii:rotate</w:t>
      </w:r>
      <w:r>
        <w:rPr>
          <w:rFonts w:eastAsia="Nunito" w:cs="Nunito"/>
        </w:rPr>
        <w:t xml:space="preserve">, </w:t>
      </w:r>
      <w:r>
        <w:rPr>
          <w:rFonts w:eastAsia="Liberation Mono" w:cs="Liberation Mono" w:ascii="Liberation Mono" w:hAnsi="Liberation Mono"/>
          <w:color w:val="0B3D7A"/>
          <w:sz w:val="18"/>
        </w:rPr>
        <w:t>deploy/REFERENCE.md</w:t>
      </w:r>
      <w:r>
        <w:rPr>
          <w:rFonts w:eastAsia="Nunito" w:cs="Nunito"/>
        </w:rPr>
        <w:t>).</w:t>
      </w:r>
    </w:p>
    <w:p>
      <w:pPr>
        <w:pStyle w:val="Step"/>
        <w:rPr/>
      </w:pPr>
      <w:r>
        <w:rPr>
          <w:rFonts w:eastAsia="Nunito" w:cs="Nunito"/>
          <w:b/>
          <w:color w:val="00ACF1"/>
        </w:rPr>
        <w:t>4.</w:t>
        <w:tab/>
      </w:r>
      <w:r>
        <w:rPr>
          <w:rFonts w:eastAsia="Nunito" w:cs="Nunito"/>
        </w:rPr>
        <w:t xml:space="preserve">If </w:t>
      </w:r>
      <w:r>
        <w:rPr>
          <w:rFonts w:eastAsia="Liberation Mono" w:cs="Liberation Mono" w:ascii="Liberation Mono" w:hAnsi="Liberation Mono"/>
          <w:color w:val="0B3D7A"/>
          <w:sz w:val="18"/>
        </w:rPr>
        <w:t>DATA_ENCRYPTION_KEY</w:t>
      </w:r>
      <w:r>
        <w:rPr>
          <w:rFonts w:eastAsia="Nunito" w:cs="Nunito"/>
        </w:rPr>
        <w:t xml:space="preserve"> is lost permanently: generate a new key; administrators turn two-factor off for the affected users in User Management; the users enrol again. If </w:t>
      </w:r>
      <w:r>
        <w:rPr>
          <w:rFonts w:eastAsia="Liberation Mono" w:cs="Liberation Mono" w:ascii="Liberation Mono" w:hAnsi="Liberation Mono"/>
          <w:color w:val="0B3D7A"/>
          <w:sz w:val="18"/>
        </w:rPr>
        <w:t>JWT_SECRET</w:t>
      </w:r>
      <w:r>
        <w:rPr>
          <w:rFonts w:eastAsia="Nunito" w:cs="Nunito"/>
        </w:rPr>
        <w:t xml:space="preserve"> is changed: users sign in again; quotation approval links and report download links already sent must be re-sent.</w:t>
      </w:r>
    </w:p>
    <w:p>
      <w:pPr>
        <w:pStyle w:val="Heading2"/>
        <w:rPr/>
      </w:pPr>
      <w:bookmarkStart w:id="13" w:name="__RefHeading___Toc25101_1872304043"/>
      <w:bookmarkEnd w:id="13"/>
      <w:r>
        <w:rPr>
          <w:rFonts w:eastAsia="Nunito" w:cs="Nunito" w:ascii="Nunito" w:hAnsi="Nunito"/>
        </w:rPr>
        <w:t>4.6  Application release rollback</w:t>
      </w:r>
    </w:p>
    <w:p>
      <w:pPr>
        <w:pStyle w:val="Step"/>
        <w:rPr/>
      </w:pPr>
      <w:r>
        <w:rPr>
          <w:rFonts w:eastAsia="Nunito" w:cs="Nunito"/>
          <w:b/>
          <w:color w:val="00ACF1"/>
        </w:rPr>
        <w:t>1.</w:t>
        <w:tab/>
      </w:r>
      <w:r>
        <w:rPr>
          <w:rFonts w:eastAsia="Nunito" w:cs="Nunito"/>
        </w:rPr>
        <w:t>Front end: as above. Backend: redeploy the previous image tag.</w:t>
      </w:r>
    </w:p>
    <w:p>
      <w:pPr>
        <w:pStyle w:val="Step"/>
        <w:rPr/>
      </w:pPr>
      <w:r>
        <w:rPr>
          <w:rFonts w:eastAsia="Nunito" w:cs="Nunito"/>
          <w:b/>
          <w:color w:val="00ACF1"/>
        </w:rPr>
        <w:t>2.</w:t>
        <w:tab/>
      </w:r>
      <w:r>
        <w:rPr>
          <w:rFonts w:eastAsia="Nunito" w:cs="Nunito"/>
        </w:rPr>
        <w:t>If the failed release applied migrations, the older image runs on the newer schema only if the migrations were additive (the project convention). Otherwise restore the pre-release snapshot (data entered since the release is lost and must be re-entered).</w:t>
      </w:r>
      <w:r>
        <w:br w:type="page"/>
      </w:r>
    </w:p>
    <w:p>
      <w:pPr>
        <w:pStyle w:val="Heading1"/>
        <w:pBdr>
          <w:bottom w:val="single" w:sz="12" w:space="6" w:color="00ACF1"/>
        </w:pBdr>
        <w:rPr/>
      </w:pPr>
      <w:bookmarkStart w:id="14" w:name="__RefHeading___Toc25103_1872304043"/>
      <w:bookmarkEnd w:id="14"/>
      <w:r>
        <w:rPr>
          <w:rFonts w:eastAsia="Nunito" w:cs="Nunito" w:ascii="Nunito" w:hAnsi="Nunito"/>
        </w:rPr>
        <w:t>5  Restore testing schedule</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3083"/>
        <w:gridCol w:w="2120"/>
        <w:gridCol w:w="4434"/>
      </w:tblGrid>
      <w:tr>
        <w:trPr>
          <w:tblHeader w:val="true"/>
          <w:cantSplit w:val="true"/>
        </w:trPr>
        <w:tc>
          <w:tcPr>
            <w:tcW w:w="3083"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Test</w:t>
            </w:r>
          </w:p>
        </w:tc>
        <w:tc>
          <w:tcPr>
            <w:tcW w:w="212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Frequency (recommended)</w:t>
            </w:r>
          </w:p>
        </w:tc>
        <w:tc>
          <w:tcPr>
            <w:tcW w:w="443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Success criteria</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RDS PITR to a new instance, API started against it in an isolated UAT environment, smoke test</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Before go-live, then quarterly</w:t>
            </w:r>
          </w:p>
        </w:tc>
        <w:tc>
          <w:tcPr>
            <w:tcW w:w="44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Restore completed within the RTO; recovery point within the RPO; smoke test passed</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Logical dump restore into a clean PostgreSQL 16</w:t>
            </w:r>
          </w:p>
        </w:tc>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Twice a year</w:t>
            </w:r>
          </w:p>
        </w:tc>
        <w:tc>
          <w:tcPr>
            <w:tcW w:w="443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pg_restore</w:t>
            </w:r>
            <w:r>
              <w:rPr>
                <w:rFonts w:eastAsia="Nunito" w:cs="Nunito"/>
                <w:sz w:val="17"/>
              </w:rPr>
              <w:t xml:space="preserve"> without errors; row counts equal to the source at dump time</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EFS directory restore and document reconciliation</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Quarterly</w:t>
            </w:r>
          </w:p>
        </w:tc>
        <w:tc>
          <w:tcPr>
            <w:tcW w:w="44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Sample of documents opens in the application</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Secret escrow check (open the sealed copy under dual control, compare hash with Secrets Manager)</w:t>
            </w:r>
          </w:p>
        </w:tc>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Yearly</w:t>
            </w:r>
          </w:p>
        </w:tc>
        <w:tc>
          <w:tcPr>
            <w:tcW w:w="443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Hashes match</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Full disaster recovery exercise in the recovery region</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Yearly (tabletop) / every two years (full)</w:t>
            </w:r>
          </w:p>
        </w:tc>
        <w:tc>
          <w:tcPr>
            <w:tcW w:w="44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Achieved RTO / RPO recorded against document 08</w:t>
            </w:r>
          </w:p>
        </w:tc>
      </w:tr>
    </w:tbl>
    <w:p>
      <w:pPr>
        <w:pStyle w:val="Normal"/>
        <w:spacing w:before="0" w:after="40"/>
        <w:rPr/>
      </w:pPr>
      <w:r>
        <w:rPr/>
      </w:r>
    </w:p>
    <w:p>
      <w:pPr>
        <w:pStyle w:val="Normal"/>
        <w:rPr/>
      </w:pPr>
      <w:r>
        <w:rPr>
          <w:rFonts w:eastAsia="Nunito" w:cs="Nunito"/>
        </w:rPr>
        <w:t>Each test is recorded (date, operator, backup used, recovery point, duration, issues) and reviewed by the DevOps lead; failures are raised as incidents.</w:t>
      </w:r>
      <w:r>
        <w:br w:type="page"/>
      </w:r>
    </w:p>
    <w:p>
      <w:pPr>
        <w:pStyle w:val="Heading1"/>
        <w:pBdr>
          <w:bottom w:val="single" w:sz="12" w:space="6" w:color="00ACF1"/>
        </w:pBdr>
        <w:rPr/>
      </w:pPr>
      <w:bookmarkStart w:id="15" w:name="__RefHeading___Toc25105_1872304043"/>
      <w:bookmarkEnd w:id="15"/>
      <w:r>
        <w:rPr>
          <w:rFonts w:eastAsia="Nunito" w:cs="Nunito" w:ascii="Nunito" w:hAnsi="Nunito"/>
        </w:rPr>
        <w:t>6  Related documents</w:t>
      </w:r>
    </w:p>
    <w:p>
      <w:pPr>
        <w:pStyle w:val="Normal"/>
        <w:rPr/>
      </w:pPr>
      <w:r>
        <w:rPr>
          <w:rFonts w:eastAsia="Nunito" w:cs="Nunito"/>
        </w:rPr>
        <w:t xml:space="preserve">This document is one of eleven that together form the BrokerVerse OOTB Solution Architecture. They are maintained and issued together (source and build: </w:t>
      </w:r>
      <w:r>
        <w:rPr>
          <w:rFonts w:eastAsia="Liberation Mono" w:cs="Liberation Mono" w:ascii="Liberation Mono" w:hAnsi="Liberation Mono"/>
          <w:color w:val="0B3D7A"/>
          <w:sz w:val="18"/>
        </w:rPr>
        <w:t>docs/architecture/README.md</w:t>
      </w:r>
      <w:r>
        <w:rPr>
          <w:rFonts w:eastAsia="Nunito" w:cs="Nunito"/>
        </w:rPr>
        <w:t>).</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962"/>
        <w:gridCol w:w="4819"/>
        <w:gridCol w:w="3856"/>
      </w:tblGrid>
      <w:tr>
        <w:trPr>
          <w:tblHeader w:val="true"/>
          <w:cantSplit w:val="true"/>
        </w:trPr>
        <w:tc>
          <w:tcPr>
            <w:tcW w:w="96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No.</w:t>
            </w:r>
          </w:p>
        </w:tc>
        <w:tc>
          <w:tcPr>
            <w:tcW w:w="4819"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Document</w:t>
            </w:r>
          </w:p>
        </w:tc>
        <w:tc>
          <w:tcPr>
            <w:tcW w:w="3856"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File</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01</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Solution Component Diagram and Application Architecture</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01_BrokerVerse_Solution_Component_Diagram_Application_Architecture.pdf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02</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Database Design</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02_BrokerVerse_Database_Design.pdf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03</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Database Inventory</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03_BrokerVerse_Database_Inventory.pdf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04</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Technology Stack</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04_BrokerVerse_Technology_Stack.pdf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05</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Shared Service Components</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05_BrokerVerse_Shared_Service_Components.pdf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06</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Capacity and Performance</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06_BrokerVerse_Capacity_and_Performance.pdf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07</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High Availability and Resiliency</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07_BrokerVerse_High_Availability_and_Resiliency.pdf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08</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RTO and RPO</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08_BrokerVerse_RTO_and_RPO.pdf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09</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Backup and Recovery (this document)</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09_BrokerVerse_Backup_and_Recovery.pdf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10</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Data Archival, Housekeeping and Restoration</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10_BrokerVerse_Data_Archival_Housekeeping_and_Restoration.pdf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11</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Monitoring</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11_BrokerVerse_Monitoring.pdf</w:t>
            </w:r>
          </w:p>
        </w:tc>
      </w:tr>
    </w:tbl>
    <w:p>
      <w:pPr>
        <w:pStyle w:val="Normal"/>
        <w:spacing w:before="0" w:after="40"/>
        <w:rPr/>
      </w:pPr>
      <w:r>
        <w:rPr/>
      </w:r>
      <w:r>
        <w:br w:type="page"/>
      </w:r>
    </w:p>
    <w:p>
      <w:pPr>
        <w:pStyle w:val="Heading1"/>
        <w:pBdr>
          <w:bottom w:val="single" w:sz="12" w:space="6" w:color="00ACF1"/>
        </w:pBdr>
        <w:rPr/>
      </w:pPr>
      <w:bookmarkStart w:id="16" w:name="__RefHeading___Toc25107_1872304043"/>
      <w:bookmarkEnd w:id="16"/>
      <w:r>
        <w:rPr>
          <w:rFonts w:eastAsia="Nunito" w:cs="Nunito" w:ascii="Nunito" w:hAnsi="Nunito"/>
        </w:rPr>
        <w:t>7  Glossary</w:t>
      </w:r>
    </w:p>
    <w:p>
      <w:pPr>
        <w:pStyle w:val="Normal"/>
        <w:rPr/>
      </w:pPr>
      <w:r>
        <w:rPr>
          <w:rFonts w:eastAsia="Nunito" w:cs="Nunito"/>
        </w:rPr>
        <w:t>Terms and abbreviations used in this document.</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312"/>
        <w:gridCol w:w="7324"/>
      </w:tblGrid>
      <w:tr>
        <w:trPr>
          <w:tblHeader w:val="true"/>
          <w:cantSplit w:val="true"/>
        </w:trPr>
        <w:tc>
          <w:tcPr>
            <w:tcW w:w="231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Term</w:t>
            </w:r>
          </w:p>
        </w:tc>
        <w:tc>
          <w:tcPr>
            <w:tcW w:w="732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Meaning</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API</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Application programming interface; here the BrokerVerse REST API under /api served by the Node.js backend.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Audit log / audit trail</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Table audit_log: who changed which record, when, from which IP, with the before and after values.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AZ</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Availability Zone: an isolated data-centre group inside an AWS region.</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CloudFront</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AWS content delivery network that serves the single-page application and can route /api to the backend.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CORS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Cross-Origin Resource Sharing: browser rule set that the API restricts to the configured web origins (CORS_ORIGINS).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ECR</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Elastic Container Registry (AWS): stores the backend container images.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EFS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Elastic File System (AWS): shared, multi-AZ network file system proposed for the upload directory.</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Housekeeping</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Daily job that deletes operational rows (job runs, sent e-mails, sign-in history, expired tokens, read notifications) after the retention days in System Settings.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JWT</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JSON Web Token: signed token carrying the user id, roles, permissions and token version.</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Migration</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Numbered SQL file in backend/src/db/migrations applied once, in order, on API start.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Multi-AZ</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Deployment with a synchronous standby in a second Availability Zone and automatic failover (RDS).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PITR</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Point-in-time recovery: restoring a database to any second inside the backup retention window.</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RDS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Amazon Relational Database Service, the managed PostgreSQL target.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RPO</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Recovery point objective: the maximum acceptable data loss, measured in time.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RTO</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Recovery time objective: the maximum acceptable time to restore service.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S3</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Amazon Simple Storage Service: object storage hosting the SPA build (and proposed archive store).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SMTP</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Simple Mail Transfer Protocol; the API sends e-mail through the server in SMTP_URL.</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TOTP / 2FA</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Time-based one-time password (RFC 6238) used for two-factor authentication.</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UAT</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User acceptance testing environment.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WAL</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Write-ahead log: PostgreSQL change log used for replication and point-in-time recovery.</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Year-end close</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Run (YEC-) that posts the closing entries in period 13, carries the balances into the next year and locks the year.</w:t>
            </w:r>
          </w:p>
        </w:tc>
      </w:tr>
    </w:tbl>
    <w:p>
      <w:pPr>
        <w:pStyle w:val="Normal"/>
        <w:spacing w:before="0" w:after="40"/>
        <w:rPr/>
      </w:pPr>
      <w:r>
        <w:rPr/>
      </w:r>
    </w:p>
    <w:sectPr>
      <w:headerReference w:type="default" r:id="rId14"/>
      <w:headerReference w:type="first" r:id="rId15"/>
      <w:footerReference w:type="default" r:id="rId16"/>
      <w:footerReference w:type="first" r:id="rId17"/>
      <w:type w:val="nextPage"/>
      <w:pgSz w:w="11906" w:h="16838"/>
      <w:pgMar w:left="1134" w:right="1134" w:gutter="0" w:header="567" w:top="1247" w:footer="567"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Nunito">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Liberation Mono">
    <w:altName w:val="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9638" w:leader="none"/>
      </w:tabs>
      <w:rPr/>
    </w:pPr>
    <w:r>
      <w:rPr>
        <w:rFonts w:eastAsia="Nunito" w:cs="Nunito"/>
        <w:color w:val="5B6776"/>
        <w:sz w:val="16"/>
      </w:rPr>
      <w:t>04 October 2026  ·  Prepared by iorta TechNXT  ·  Confidential</w:t>
      <w:tab/>
      <w:t xml:space="preserve">Page </w:t>
    </w:r>
    <w:r>
      <w:rPr/>
      <w:fldChar w:fldCharType="begin"/>
    </w:r>
    <w:r>
      <w:rPr/>
      <w:instrText xml:space="preserve"> PAGE </w:instrText>
    </w:r>
    <w:r>
      <w:rPr/>
      <w:fldChar w:fldCharType="separate"/>
    </w:r>
    <w:r>
      <w:rPr/>
      <w:t>7</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14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14570" w:leader="none"/>
      </w:tabs>
      <w:rPr/>
    </w:pPr>
    <w:r>
      <w:rPr>
        <w:rFonts w:eastAsia="Nunito" w:cs="Nunito"/>
        <w:color w:val="5B6776"/>
        <w:sz w:val="16"/>
      </w:rPr>
      <w:t>04 October 2026  ·  Prepared by iorta TechNXT  ·  Confidential</w:t>
      <w:tab/>
      <w:t xml:space="preserve">Page </w:t>
    </w:r>
    <w:r>
      <w:rPr/>
      <w:fldChar w:fldCharType="begin"/>
    </w:r>
    <w:r>
      <w:rPr/>
      <w:instrText xml:space="preserve"> PAGE </w:instrText>
    </w:r>
    <w:r>
      <w:rPr/>
      <w:fldChar w:fldCharType="separate"/>
    </w:r>
    <w:r>
      <w:rPr/>
      <w:t>8</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14</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9638" w:leader="none"/>
      </w:tabs>
      <w:rPr/>
    </w:pPr>
    <w:r>
      <w:rPr>
        <w:rFonts w:eastAsia="Nunito" w:cs="Nunito"/>
        <w:color w:val="5B6776"/>
        <w:sz w:val="16"/>
      </w:rPr>
      <w:t>04 October 2026  ·  Prepared by iorta TechNXT  ·  Confidential</w:t>
      <w:tab/>
      <w:t xml:space="preserve">Page </w:t>
    </w:r>
    <w:r>
      <w:rPr/>
      <w:fldChar w:fldCharType="begin"/>
    </w:r>
    <w:r>
      <w:rPr/>
      <w:instrText xml:space="preserve"> PAGE </w:instrText>
    </w:r>
    <w:r>
      <w:rPr/>
      <w:fldChar w:fldCharType="separate"/>
    </w:r>
    <w:r>
      <w:rPr/>
      <w:t>14</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14</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9638" w:leader="none"/>
      </w:tabs>
      <w:rPr/>
    </w:pPr>
    <w:r>
      <w:rPr>
        <w:rFonts w:eastAsia="Nunito" w:cs="Nunito"/>
        <w:b/>
        <w:color w:val="0065B3"/>
        <w:sz w:val="16"/>
      </w:rPr>
      <w:t>BrokerVerse OOTB  |  09 Backup and Recovery</w:t>
    </w:r>
    <w:r>
      <w:rPr>
        <w:rFonts w:eastAsia="Nunito" w:cs="Nunito"/>
        <w:color w:val="5B6776"/>
        <w:sz w:val="16"/>
      </w:rPr>
      <w:tab/>
      <w:t>Solution Architecture  ·  Version 1.2</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14570" w:leader="none"/>
      </w:tabs>
      <w:rPr/>
    </w:pPr>
    <w:r>
      <w:rPr>
        <w:rFonts w:eastAsia="Nunito" w:cs="Nunito"/>
        <w:b/>
        <w:color w:val="0065B3"/>
        <w:sz w:val="16"/>
      </w:rPr>
      <w:t>BrokerVerse OOTB  |  09 Backup and Recovery</w:t>
    </w:r>
    <w:r>
      <w:rPr>
        <w:rFonts w:eastAsia="Nunito" w:cs="Nunito"/>
        <w:color w:val="5B6776"/>
        <w:sz w:val="16"/>
      </w:rPr>
      <w:tab/>
      <w:t>Solution Architecture  ·  Version 1.2</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9638" w:leader="none"/>
      </w:tabs>
      <w:rPr/>
    </w:pPr>
    <w:r>
      <w:rPr>
        <w:rFonts w:eastAsia="Nunito" w:cs="Nunito"/>
        <w:b/>
        <w:color w:val="0065B3"/>
        <w:sz w:val="16"/>
      </w:rPr>
      <w:t>BrokerVerse OOTB  |  09 Backup and Recovery</w:t>
    </w:r>
    <w:r>
      <w:rPr>
        <w:rFonts w:eastAsia="Nunito" w:cs="Nunito"/>
        <w:color w:val="5B6776"/>
        <w:sz w:val="16"/>
      </w:rPr>
      <w:tab/>
      <w:t>Solution Architecture  ·  Version 1.2</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4" w:before="0" w:after="100"/>
      <w:jc w:val="left"/>
    </w:pPr>
    <w:rPr>
      <w:rFonts w:ascii="Nunito" w:hAnsi="Nunito" w:eastAsia="Nunito" w:cs="Nunito"/>
      <w:color w:val="1F2937"/>
      <w:kern w:val="0"/>
      <w:sz w:val="20"/>
      <w:szCs w:val="22"/>
      <w:lang w:val="en-PH" w:eastAsia="en-US" w:bidi="ar-SA"/>
    </w:rPr>
  </w:style>
  <w:style w:type="paragraph" w:styleId="Heading1">
    <w:name w:val="Heading 1"/>
    <w:basedOn w:val="Normal"/>
    <w:next w:val="Normal"/>
    <w:link w:val="Heading1Char"/>
    <w:uiPriority w:val="9"/>
    <w:qFormat/>
    <w:rsid w:val="00fc693f"/>
    <w:pPr>
      <w:keepNext w:val="true"/>
      <w:keepLines/>
      <w:spacing w:before="0" w:after="160"/>
      <w:outlineLvl w:val="0"/>
    </w:pPr>
    <w:rPr>
      <w:rFonts w:ascii="Calibri" w:hAnsi="Calibri" w:eastAsia="ＭＳ ゴシック" w:cs="" w:asciiTheme="majorHAnsi" w:cstheme="majorBidi" w:eastAsiaTheme="majorEastAsia" w:hAnsiTheme="majorHAnsi"/>
      <w:b/>
      <w:bCs/>
      <w:i w:val="false"/>
      <w:color w:val="0065B3"/>
      <w:sz w:val="36"/>
      <w:szCs w:val="28"/>
    </w:rPr>
  </w:style>
  <w:style w:type="paragraph" w:styleId="Heading2">
    <w:name w:val="Heading 2"/>
    <w:basedOn w:val="Normal"/>
    <w:next w:val="Normal"/>
    <w:link w:val="Heading2Char"/>
    <w:uiPriority w:val="9"/>
    <w:unhideWhenUsed/>
    <w:qFormat/>
    <w:rsid w:val="00fc693f"/>
    <w:pPr>
      <w:keepNext w:val="true"/>
      <w:keepLines/>
      <w:spacing w:before="240" w:after="80"/>
      <w:outlineLvl w:val="1"/>
    </w:pPr>
    <w:rPr>
      <w:rFonts w:ascii="Calibri" w:hAnsi="Calibri" w:eastAsia="ＭＳ ゴシック" w:cs="" w:asciiTheme="majorHAnsi" w:cstheme="majorBidi" w:eastAsiaTheme="majorEastAsia" w:hAnsiTheme="majorHAnsi"/>
      <w:b/>
      <w:bCs/>
      <w:i w:val="false"/>
      <w:color w:val="0065B3"/>
      <w:sz w:val="27"/>
      <w:szCs w:val="26"/>
    </w:rPr>
  </w:style>
  <w:style w:type="paragraph" w:styleId="Heading3">
    <w:name w:val="Heading 3"/>
    <w:basedOn w:val="Normal"/>
    <w:next w:val="Normal"/>
    <w:link w:val="Heading3Char"/>
    <w:uiPriority w:val="9"/>
    <w:unhideWhenUsed/>
    <w:qFormat/>
    <w:rsid w:val="00fc693f"/>
    <w:pPr>
      <w:keepNext w:val="true"/>
      <w:keepLines/>
      <w:spacing w:before="160" w:after="60"/>
      <w:outlineLvl w:val="2"/>
    </w:pPr>
    <w:rPr>
      <w:rFonts w:ascii="Calibri" w:hAnsi="Calibri" w:eastAsia="ＭＳ ゴシック" w:cs="" w:asciiTheme="majorHAnsi" w:cstheme="majorBidi" w:eastAsiaTheme="majorEastAsia" w:hAnsiTheme="majorHAnsi"/>
      <w:b/>
      <w:bCs/>
      <w:i w:val="false"/>
      <w:color w:val="00ACF1"/>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left="720"/>
      <w:contextualSpacing/>
    </w:pPr>
    <w:rPr/>
  </w:style>
  <w:style w:type="paragraph" w:styleId="List3">
    <w:name w:val="List 3"/>
    <w:basedOn w:val="Normal"/>
    <w:uiPriority w:val="99"/>
    <w:unhideWhenUsed/>
    <w:qFormat/>
    <w:rsid w:val="00326f90"/>
    <w:pPr>
      <w:spacing w:before="0" w:after="100"/>
      <w:ind w:hanging="360" w:left="1080"/>
      <w:contextualSpacing/>
    </w:pPr>
    <w:rPr/>
  </w:style>
  <w:style w:type="paragraph" w:styleId="ListBullet">
    <w:name w:val="List Bullet"/>
    <w:basedOn w:val="Normal"/>
    <w:uiPriority w:val="99"/>
    <w:unhideWhenUsed/>
    <w:rsid w:val="00326f90"/>
    <w:pPr>
      <w:numPr>
        <w:ilvl w:val="0"/>
        <w:numId w:val="1"/>
      </w:numPr>
      <w:spacing w:before="0" w:after="40"/>
      <w:contextualSpacing/>
    </w:pPr>
    <w:rPr>
      <w:rFonts w:ascii="Nunito" w:hAnsi="Nunito" w:eastAsia="Nunito" w:cs="Nunito"/>
      <w:color w:val="1F2937"/>
      <w:sz w:val="20"/>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FigureCaption" w:customStyle="1">
    <w:name w:val="Figure Caption"/>
    <w:basedOn w:val="Normal"/>
    <w:qFormat/>
    <w:pPr>
      <w:spacing w:before="0" w:after="160"/>
      <w:jc w:val="center"/>
    </w:pPr>
    <w:rPr>
      <w:rFonts w:ascii="Nunito" w:hAnsi="Nunito" w:eastAsia="Nunito" w:cs="Nunito"/>
      <w:i/>
      <w:color w:val="5B6776"/>
      <w:sz w:val="17"/>
    </w:rPr>
  </w:style>
  <w:style w:type="paragraph" w:styleId="Step" w:customStyle="1">
    <w:name w:val="Step"/>
    <w:basedOn w:val="Normal"/>
    <w:qFormat/>
    <w:pPr>
      <w:tabs>
        <w:tab w:val="clear" w:pos="720"/>
        <w:tab w:val="left" w:pos="397" w:leader="none"/>
      </w:tabs>
      <w:spacing w:before="0" w:after="60"/>
      <w:ind w:hanging="397" w:left="397"/>
    </w:pPr>
    <w:rPr/>
  </w:style>
  <w:style w:type="paragraph" w:styleId="TableText" w:customStyle="1">
    <w:name w:val="Table Text"/>
    <w:basedOn w:val="Normal"/>
    <w:qFormat/>
    <w:pPr>
      <w:spacing w:lineRule="auto" w:line="240" w:before="0" w:after="0"/>
    </w:pPr>
    <w:rPr>
      <w:rFonts w:ascii="Nunito" w:hAnsi="Nunito" w:eastAsia="Nunito" w:cs="Nunito"/>
      <w:color w:val="1F2937"/>
      <w:sz w:val="17"/>
    </w:rPr>
  </w:style>
  <w:style w:type="paragraph" w:styleId="TOC1">
    <w:name w:val="TOC 1"/>
    <w:basedOn w:val="Index"/>
    <w:pPr>
      <w:tabs>
        <w:tab w:val="clear" w:pos="720"/>
        <w:tab w:val="right" w:pos="9638" w:leader="dot"/>
      </w:tabs>
      <w:ind w:hanging="0" w:left="0"/>
    </w:pPr>
    <w:rPr/>
  </w:style>
  <w:style w:type="paragraph" w:styleId="TOC2">
    <w:name w:val="TOC 2"/>
    <w:basedOn w:val="Index"/>
    <w:pPr>
      <w:tabs>
        <w:tab w:val="clear" w:pos="720"/>
        <w:tab w:val="right" w:pos="9355" w:leader="dot"/>
      </w:tabs>
      <w:ind w:hanging="0" w:lef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2.png"/><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header" Target="header6.xml"/><Relationship Id="rId15" Type="http://schemas.openxmlformats.org/officeDocument/2006/relationships/header" Target="header7.xml"/><Relationship Id="rId16" Type="http://schemas.openxmlformats.org/officeDocument/2006/relationships/footer" Target="footer6.xml"/><Relationship Id="rId17" Type="http://schemas.openxmlformats.org/officeDocument/2006/relationships/footer" Target="footer7.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14</Pages>
  <Words>2656</Words>
  <Characters>15591</Characters>
  <CharactersWithSpaces>17964</CharactersWithSpaces>
  <Paragraphs>300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iorta TechNXT</dc:creator>
  <dc:description>generated by python-docx</dc:description>
  <cp:keywords>BrokerVerse OOTB solution architecture Backup and Recovery</cp:keywords>
  <dc:language>en-US</dc:language>
  <cp:lastModifiedBy/>
  <dcterms:modified xsi:type="dcterms:W3CDTF">2026-10-04T09:19:45Z</dcterms:modified>
  <cp:revision>2</cp:revision>
  <dc:subject>Solution Architecture</dc:subject>
  <dc:title>BrokerVerse OOTB Solution Architecture: 09 Backup and Recovery</dc:title>
</cp:coreProperties>
</file>

<file path=docProps/custom.xml><?xml version="1.0" encoding="utf-8"?>
<Properties xmlns="http://schemas.openxmlformats.org/officeDocument/2006/custom-properties" xmlns:vt="http://schemas.openxmlformats.org/officeDocument/2006/docPropsVTypes"/>
</file>