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Environment Strategy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Environment Strategy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Production Rollout Plan</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Production Rollout Plan</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405_114997019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8407_114997019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8409_1149970192">
            <w:r>
              <w:rPr>
                <w:webHidden/>
                <w:rStyle w:val="IndexLink"/>
              </w:rPr>
              <w:t>3. Introduction</w:t>
              <w:tab/>
              <w:t>5</w:t>
            </w:r>
          </w:hyperlink>
        </w:p>
        <w:p>
          <w:pPr>
            <w:pStyle w:val="TOC2"/>
            <w:tabs>
              <w:tab w:val="clear" w:pos="900"/>
              <w:tab w:val="clear" w:pos="9350"/>
              <w:tab w:val="right" w:pos="9025" w:leader="dot"/>
            </w:tabs>
            <w:rPr/>
          </w:pPr>
          <w:hyperlink w:anchor="__RefHeading___Toc8411_1149970192">
            <w:r>
              <w:rPr>
                <w:webHidden/>
                <w:rStyle w:val="IndexLink"/>
              </w:rPr>
              <w:t>3.1 Purpose</w:t>
              <w:tab/>
              <w:t>5</w:t>
            </w:r>
          </w:hyperlink>
        </w:p>
        <w:p>
          <w:pPr>
            <w:pStyle w:val="TOC2"/>
            <w:tabs>
              <w:tab w:val="clear" w:pos="900"/>
              <w:tab w:val="clear" w:pos="9350"/>
              <w:tab w:val="right" w:pos="9025" w:leader="dot"/>
            </w:tabs>
            <w:rPr/>
          </w:pPr>
          <w:hyperlink w:anchor="__RefHeading___Toc8413_1149970192">
            <w:r>
              <w:rPr>
                <w:webHidden/>
                <w:rStyle w:val="IndexLink"/>
              </w:rPr>
              <w:t>3.2 Sources and labels</w:t>
              <w:tab/>
              <w:t>5</w:t>
            </w:r>
          </w:hyperlink>
        </w:p>
        <w:p>
          <w:pPr>
            <w:pStyle w:val="TOC2"/>
            <w:tabs>
              <w:tab w:val="clear" w:pos="900"/>
              <w:tab w:val="clear" w:pos="9350"/>
              <w:tab w:val="right" w:pos="9025" w:leader="dot"/>
            </w:tabs>
            <w:rPr/>
          </w:pPr>
          <w:hyperlink w:anchor="__RefHeading___Toc8415_1149970192">
            <w:r>
              <w:rPr>
                <w:webHidden/>
                <w:rStyle w:val="IndexLink"/>
              </w:rPr>
              <w:t>3.3 Related documents</w:t>
              <w:tab/>
              <w:t>6</w:t>
            </w:r>
          </w:hyperlink>
        </w:p>
        <w:p>
          <w:pPr>
            <w:pStyle w:val="TOC1"/>
            <w:tabs>
              <w:tab w:val="clear" w:pos="900"/>
              <w:tab w:val="clear" w:pos="9350"/>
              <w:tab w:val="right" w:pos="9025" w:leader="dot"/>
            </w:tabs>
            <w:rPr/>
          </w:pPr>
          <w:hyperlink w:anchor="__RefHeading___Toc8417_1149970192">
            <w:r>
              <w:rPr>
                <w:webHidden/>
                <w:rStyle w:val="IndexLink"/>
              </w:rPr>
              <w:t>4. Environments</w:t>
              <w:tab/>
              <w:t>7</w:t>
            </w:r>
          </w:hyperlink>
        </w:p>
        <w:p>
          <w:pPr>
            <w:pStyle w:val="TOC2"/>
            <w:tabs>
              <w:tab w:val="clear" w:pos="900"/>
              <w:tab w:val="clear" w:pos="9350"/>
              <w:tab w:val="right" w:pos="9025" w:leader="dot"/>
            </w:tabs>
            <w:rPr/>
          </w:pPr>
          <w:hyperlink w:anchor="__RefHeading___Toc8419_1149970192">
            <w:r>
              <w:rPr>
                <w:webHidden/>
                <w:rStyle w:val="IndexLink"/>
              </w:rPr>
              <w:t>4.1 The five environment roles</w:t>
              <w:tab/>
              <w:t>7</w:t>
            </w:r>
          </w:hyperlink>
        </w:p>
        <w:p>
          <w:pPr>
            <w:pStyle w:val="TOC2"/>
            <w:tabs>
              <w:tab w:val="clear" w:pos="900"/>
              <w:tab w:val="clear" w:pos="9350"/>
              <w:tab w:val="right" w:pos="9025" w:leader="dot"/>
            </w:tabs>
            <w:rPr/>
          </w:pPr>
          <w:hyperlink w:anchor="__RefHeading___Toc8421_1149970192">
            <w:r>
              <w:rPr>
                <w:webHidden/>
                <w:rStyle w:val="IndexLink"/>
              </w:rPr>
              <w:t>4.2 Environment sets by broker size</w:t>
              <w:tab/>
              <w:t>7</w:t>
            </w:r>
          </w:hyperlink>
        </w:p>
        <w:p>
          <w:pPr>
            <w:pStyle w:val="TOC2"/>
            <w:tabs>
              <w:tab w:val="clear" w:pos="900"/>
              <w:tab w:val="clear" w:pos="9350"/>
              <w:tab w:val="right" w:pos="9025" w:leader="dot"/>
            </w:tabs>
            <w:rPr/>
          </w:pPr>
          <w:hyperlink w:anchor="__RefHeading___Toc8423_1149970192">
            <w:r>
              <w:rPr>
                <w:webHidden/>
                <w:rStyle w:val="IndexLink"/>
              </w:rPr>
              <w:t>4.3 Pre-Prod lifecycle</w:t>
              <w:tab/>
              <w:t>8</w:t>
            </w:r>
          </w:hyperlink>
        </w:p>
        <w:p>
          <w:pPr>
            <w:pStyle w:val="TOC2"/>
            <w:tabs>
              <w:tab w:val="clear" w:pos="900"/>
              <w:tab w:val="clear" w:pos="9350"/>
              <w:tab w:val="right" w:pos="9025" w:leader="dot"/>
            </w:tabs>
            <w:rPr/>
          </w:pPr>
          <w:hyperlink w:anchor="__RefHeading___Toc8425_1149970192">
            <w:r>
              <w:rPr>
                <w:webHidden/>
                <w:rStyle w:val="IndexLink"/>
              </w:rPr>
              <w:t>4.4 Hosting by option</w:t>
              <w:tab/>
              <w:t>8</w:t>
            </w:r>
          </w:hyperlink>
        </w:p>
        <w:p>
          <w:pPr>
            <w:pStyle w:val="TOC2"/>
            <w:tabs>
              <w:tab w:val="clear" w:pos="900"/>
              <w:tab w:val="clear" w:pos="9350"/>
              <w:tab w:val="right" w:pos="9025" w:leader="dot"/>
            </w:tabs>
            <w:rPr/>
          </w:pPr>
          <w:hyperlink w:anchor="__RefHeading___Toc8427_1149970192">
            <w:r>
              <w:rPr>
                <w:webHidden/>
                <w:rStyle w:val="IndexLink"/>
              </w:rPr>
              <w:t>4.5 Sizing and hosting cost</w:t>
              <w:tab/>
              <w:t>9</w:t>
            </w:r>
          </w:hyperlink>
        </w:p>
        <w:p>
          <w:pPr>
            <w:pStyle w:val="TOC2"/>
            <w:tabs>
              <w:tab w:val="clear" w:pos="900"/>
              <w:tab w:val="clear" w:pos="9350"/>
              <w:tab w:val="right" w:pos="9025" w:leader="dot"/>
            </w:tabs>
            <w:rPr/>
          </w:pPr>
          <w:hyperlink w:anchor="__RefHeading___Toc8429_1149970192">
            <w:r>
              <w:rPr>
                <w:webHidden/>
                <w:rStyle w:val="IndexLink"/>
              </w:rPr>
              <w:t>4.6 Access control</w:t>
              <w:tab/>
              <w:t>10</w:t>
            </w:r>
          </w:hyperlink>
        </w:p>
        <w:p>
          <w:pPr>
            <w:pStyle w:val="TOC2"/>
            <w:tabs>
              <w:tab w:val="clear" w:pos="900"/>
              <w:tab w:val="clear" w:pos="9350"/>
              <w:tab w:val="right" w:pos="9025" w:leader="dot"/>
            </w:tabs>
            <w:rPr/>
          </w:pPr>
          <w:hyperlink w:anchor="__RefHeading___Toc8431_1149970192">
            <w:r>
              <w:rPr>
                <w:webHidden/>
                <w:rStyle w:val="IndexLink"/>
              </w:rPr>
              <w:t>4.7 Refresh policy</w:t>
              <w:tab/>
              <w:t>10</w:t>
            </w:r>
          </w:hyperlink>
        </w:p>
        <w:p>
          <w:pPr>
            <w:pStyle w:val="TOC2"/>
            <w:tabs>
              <w:tab w:val="clear" w:pos="900"/>
              <w:tab w:val="clear" w:pos="9350"/>
              <w:tab w:val="right" w:pos="9025" w:leader="dot"/>
            </w:tabs>
            <w:rPr/>
          </w:pPr>
          <w:hyperlink w:anchor="__RefHeading___Toc8433_1149970192">
            <w:r>
              <w:rPr>
                <w:webHidden/>
                <w:rStyle w:val="IndexLink"/>
              </w:rPr>
              <w:t>4.8 Pre-Prod: what must be identical to Production</w:t>
              <w:tab/>
              <w:t>11</w:t>
            </w:r>
          </w:hyperlink>
        </w:p>
        <w:p>
          <w:pPr>
            <w:pStyle w:val="TOC2"/>
            <w:tabs>
              <w:tab w:val="clear" w:pos="900"/>
              <w:tab w:val="clear" w:pos="9350"/>
              <w:tab w:val="right" w:pos="9025" w:leader="dot"/>
            </w:tabs>
            <w:rPr/>
          </w:pPr>
          <w:hyperlink w:anchor="__RefHeading___Toc8435_1149970192">
            <w:r>
              <w:rPr>
                <w:webHidden/>
                <w:rStyle w:val="IndexLink"/>
              </w:rPr>
              <w:t>4.9 Data masking</w:t>
              <w:tab/>
              <w:t>12</w:t>
            </w:r>
          </w:hyperlink>
        </w:p>
        <w:p>
          <w:pPr>
            <w:pStyle w:val="TOC1"/>
            <w:tabs>
              <w:tab w:val="clear" w:pos="900"/>
              <w:tab w:val="clear" w:pos="9350"/>
              <w:tab w:val="right" w:pos="9025" w:leader="dot"/>
            </w:tabs>
            <w:rPr/>
          </w:pPr>
          <w:hyperlink w:anchor="__RefHeading___Toc8437_1149970192">
            <w:r>
              <w:rPr>
                <w:webHidden/>
                <w:rStyle w:val="IndexLink"/>
              </w:rPr>
              <w:t>5. Moving code and database scripts</w:t>
              <w:tab/>
              <w:t>13</w:t>
            </w:r>
          </w:hyperlink>
        </w:p>
        <w:p>
          <w:pPr>
            <w:pStyle w:val="TOC2"/>
            <w:tabs>
              <w:tab w:val="clear" w:pos="900"/>
              <w:tab w:val="clear" w:pos="9350"/>
              <w:tab w:val="right" w:pos="9025" w:leader="dot"/>
            </w:tabs>
            <w:rPr/>
          </w:pPr>
          <w:hyperlink w:anchor="__RefHeading___Toc8439_1149970192">
            <w:r>
              <w:rPr>
                <w:webHidden/>
                <w:rStyle w:val="IndexLink"/>
              </w:rPr>
              <w:t>5.1 Git branching and release tagging</w:t>
              <w:tab/>
              <w:t>13</w:t>
            </w:r>
          </w:hyperlink>
        </w:p>
        <w:p>
          <w:pPr>
            <w:pStyle w:val="TOC2"/>
            <w:tabs>
              <w:tab w:val="clear" w:pos="900"/>
              <w:tab w:val="clear" w:pos="9350"/>
              <w:tab w:val="right" w:pos="9025" w:leader="dot"/>
            </w:tabs>
            <w:rPr/>
          </w:pPr>
          <w:hyperlink w:anchor="__RefHeading___Toc8441_1149970192">
            <w:r>
              <w:rPr>
                <w:webHidden/>
                <w:rStyle w:val="IndexLink"/>
              </w:rPr>
              <w:t>5.2 What CI checks</w:t>
              <w:tab/>
              <w:t>13</w:t>
            </w:r>
          </w:hyperlink>
        </w:p>
        <w:p>
          <w:pPr>
            <w:pStyle w:val="TOC2"/>
            <w:tabs>
              <w:tab w:val="clear" w:pos="900"/>
              <w:tab w:val="clear" w:pos="9350"/>
              <w:tab w:val="right" w:pos="9025" w:leader="dot"/>
            </w:tabs>
            <w:rPr/>
          </w:pPr>
          <w:hyperlink w:anchor="__RefHeading___Toc8443_1149970192">
            <w:r>
              <w:rPr>
                <w:webHidden/>
                <w:rStyle w:val="IndexLink"/>
              </w:rPr>
              <w:t>5.3 Release pipeline and approval gates</w:t>
              <w:tab/>
              <w:t>13</w:t>
            </w:r>
          </w:hyperlink>
        </w:p>
        <w:p>
          <w:pPr>
            <w:pStyle w:val="TOC2"/>
            <w:tabs>
              <w:tab w:val="clear" w:pos="900"/>
              <w:tab w:val="clear" w:pos="9350"/>
              <w:tab w:val="right" w:pos="9025" w:leader="dot"/>
            </w:tabs>
            <w:rPr/>
          </w:pPr>
          <w:hyperlink w:anchor="__RefHeading___Toc8445_1149970192">
            <w:r>
              <w:rPr>
                <w:webHidden/>
                <w:rStyle w:val="IndexLink"/>
              </w:rPr>
              <w:t>5.4 Build once, promote the same artefact</w:t>
              <w:tab/>
              <w:t>13</w:t>
            </w:r>
          </w:hyperlink>
        </w:p>
        <w:p>
          <w:pPr>
            <w:pStyle w:val="TOC2"/>
            <w:tabs>
              <w:tab w:val="clear" w:pos="900"/>
              <w:tab w:val="clear" w:pos="9350"/>
              <w:tab w:val="right" w:pos="9025" w:leader="dot"/>
            </w:tabs>
            <w:rPr/>
          </w:pPr>
          <w:hyperlink w:anchor="__RefHeading___Toc8447_1149970192">
            <w:r>
              <w:rPr>
                <w:webHidden/>
                <w:rStyle w:val="IndexLink"/>
              </w:rPr>
              <w:t>5.5 Front-end build and runtime configuration</w:t>
              <w:tab/>
              <w:t>14</w:t>
            </w:r>
          </w:hyperlink>
        </w:p>
        <w:p>
          <w:pPr>
            <w:pStyle w:val="TOC2"/>
            <w:tabs>
              <w:tab w:val="clear" w:pos="900"/>
              <w:tab w:val="clear" w:pos="9350"/>
              <w:tab w:val="right" w:pos="9025" w:leader="dot"/>
            </w:tabs>
            <w:rPr/>
          </w:pPr>
          <w:hyperlink w:anchor="__RefHeading___Toc8449_1149970192">
            <w:r>
              <w:rPr>
                <w:webHidden/>
                <w:rStyle w:val="IndexLink"/>
              </w:rPr>
              <w:t>5.6 Schema migrations</w:t>
              <w:tab/>
              <w:t>14</w:t>
            </w:r>
          </w:hyperlink>
        </w:p>
        <w:p>
          <w:pPr>
            <w:pStyle w:val="TOC2"/>
            <w:tabs>
              <w:tab w:val="clear" w:pos="900"/>
              <w:tab w:val="clear" w:pos="9350"/>
              <w:tab w:val="right" w:pos="9025" w:leader="dot"/>
            </w:tabs>
            <w:rPr/>
          </w:pPr>
          <w:hyperlink w:anchor="__RefHeading___Toc8451_1149970192">
            <w:r>
              <w:rPr>
                <w:webHidden/>
                <w:rStyle w:val="IndexLink"/>
              </w:rPr>
              <w:t>5.7 Reference seeds</w:t>
              <w:tab/>
              <w:t>15</w:t>
            </w:r>
          </w:hyperlink>
        </w:p>
        <w:p>
          <w:pPr>
            <w:pStyle w:val="TOC2"/>
            <w:tabs>
              <w:tab w:val="clear" w:pos="900"/>
              <w:tab w:val="clear" w:pos="9350"/>
              <w:tab w:val="right" w:pos="9025" w:leader="dot"/>
            </w:tabs>
            <w:rPr/>
          </w:pPr>
          <w:hyperlink w:anchor="__RefHeading___Toc8453_1149970192">
            <w:r>
              <w:rPr>
                <w:webHidden/>
                <w:rStyle w:val="IndexLink"/>
              </w:rPr>
              <w:t>5.8 Environment variables and secrets</w:t>
              <w:tab/>
              <w:t>15</w:t>
            </w:r>
          </w:hyperlink>
        </w:p>
        <w:p>
          <w:pPr>
            <w:pStyle w:val="TOC2"/>
            <w:tabs>
              <w:tab w:val="clear" w:pos="900"/>
              <w:tab w:val="clear" w:pos="9350"/>
              <w:tab w:val="right" w:pos="9025" w:leader="dot"/>
            </w:tabs>
            <w:rPr/>
          </w:pPr>
          <w:hyperlink w:anchor="__RefHeading___Toc8455_1149970192">
            <w:r>
              <w:rPr>
                <w:webHidden/>
                <w:rStyle w:val="IndexLink"/>
              </w:rPr>
              <w:t>5.9 Promotion steps</w:t>
              <w:tab/>
              <w:t>16</w:t>
            </w:r>
          </w:hyperlink>
        </w:p>
        <w:p>
          <w:pPr>
            <w:pStyle w:val="TOC2"/>
            <w:tabs>
              <w:tab w:val="clear" w:pos="900"/>
              <w:tab w:val="clear" w:pos="9350"/>
              <w:tab w:val="right" w:pos="9025" w:leader="dot"/>
            </w:tabs>
            <w:rPr/>
          </w:pPr>
          <w:hyperlink w:anchor="__RefHeading___Toc8457_1149970192">
            <w:r>
              <w:rPr>
                <w:webHidden/>
                <w:rStyle w:val="IndexLink"/>
              </w:rPr>
              <w:t>5.10 Change and release management</w:t>
              <w:tab/>
              <w:t>17</w:t>
            </w:r>
          </w:hyperlink>
        </w:p>
        <w:p>
          <w:pPr>
            <w:pStyle w:val="TOC2"/>
            <w:tabs>
              <w:tab w:val="clear" w:pos="900"/>
              <w:tab w:val="clear" w:pos="9350"/>
              <w:tab w:val="right" w:pos="9025" w:leader="dot"/>
            </w:tabs>
            <w:rPr/>
          </w:pPr>
          <w:hyperlink w:anchor="__RefHeading___Toc8459_1149970192">
            <w:r>
              <w:rPr>
                <w:webHidden/>
                <w:rStyle w:val="IndexLink"/>
              </w:rPr>
              <w:t>5.11 Rollback</w:t>
              <w:tab/>
              <w:t>17</w:t>
            </w:r>
          </w:hyperlink>
        </w:p>
        <w:p>
          <w:pPr>
            <w:pStyle w:val="TOC1"/>
            <w:tabs>
              <w:tab w:val="clear" w:pos="900"/>
              <w:tab w:val="clear" w:pos="9350"/>
              <w:tab w:val="right" w:pos="9025" w:leader="dot"/>
            </w:tabs>
            <w:rPr/>
          </w:pPr>
          <w:hyperlink w:anchor="__RefHeading___Toc8461_1149970192">
            <w:r>
              <w:rPr>
                <w:webHidden/>
                <w:rStyle w:val="IndexLink"/>
              </w:rPr>
              <w:t>6. Moving configuration</w:t>
              <w:tab/>
              <w:t>18</w:t>
            </w:r>
          </w:hyperlink>
        </w:p>
        <w:p>
          <w:pPr>
            <w:pStyle w:val="TOC2"/>
            <w:tabs>
              <w:tab w:val="clear" w:pos="900"/>
              <w:tab w:val="clear" w:pos="9350"/>
              <w:tab w:val="right" w:pos="9025" w:leader="dot"/>
            </w:tabs>
            <w:rPr/>
          </w:pPr>
          <w:hyperlink w:anchor="__RefHeading___Toc8463_1149970192">
            <w:r>
              <w:rPr>
                <w:webHidden/>
                <w:rStyle w:val="IndexLink"/>
              </w:rPr>
              <w:t>6.1 The configuration workbook</w:t>
              <w:tab/>
              <w:t>18</w:t>
            </w:r>
          </w:hyperlink>
        </w:p>
        <w:p>
          <w:pPr>
            <w:pStyle w:val="TOC2"/>
            <w:tabs>
              <w:tab w:val="clear" w:pos="900"/>
              <w:tab w:val="clear" w:pos="9350"/>
              <w:tab w:val="right" w:pos="9025" w:leader="dot"/>
            </w:tabs>
            <w:rPr/>
          </w:pPr>
          <w:hyperlink w:anchor="__RefHeading___Toc8465_1149970192">
            <w:r>
              <w:rPr>
                <w:webHidden/>
                <w:rStyle w:val="IndexLink"/>
              </w:rPr>
              <w:t>6.2 Promotion procedure</w:t>
              <w:tab/>
              <w:t>18</w:t>
            </w:r>
          </w:hyperlink>
        </w:p>
        <w:p>
          <w:pPr>
            <w:pStyle w:val="TOC2"/>
            <w:tabs>
              <w:tab w:val="clear" w:pos="900"/>
              <w:tab w:val="clear" w:pos="9350"/>
              <w:tab w:val="right" w:pos="9025" w:leader="dot"/>
            </w:tabs>
            <w:rPr/>
          </w:pPr>
          <w:hyperlink w:anchor="__RefHeading___Toc8467_1149970192">
            <w:r>
              <w:rPr>
                <w:webHidden/>
                <w:rStyle w:val="IndexLink"/>
              </w:rPr>
              <w:t>6.3 Not in the workbook</w:t>
              <w:tab/>
              <w:t>19</w:t>
            </w:r>
          </w:hyperlink>
        </w:p>
        <w:p>
          <w:pPr>
            <w:pStyle w:val="TOC2"/>
            <w:tabs>
              <w:tab w:val="clear" w:pos="900"/>
              <w:tab w:val="clear" w:pos="9350"/>
              <w:tab w:val="right" w:pos="9025" w:leader="dot"/>
            </w:tabs>
            <w:rPr/>
          </w:pPr>
          <w:hyperlink w:anchor="__RefHeading___Toc8469_1149970192">
            <w:r>
              <w:rPr>
                <w:webHidden/>
                <w:rStyle w:val="IndexLink"/>
              </w:rPr>
              <w:t>6.4 Configuration freeze</w:t>
              <w:tab/>
              <w:t>20</w:t>
            </w:r>
          </w:hyperlink>
        </w:p>
        <w:p>
          <w:pPr>
            <w:pStyle w:val="TOC2"/>
            <w:tabs>
              <w:tab w:val="clear" w:pos="900"/>
              <w:tab w:val="clear" w:pos="9350"/>
              <w:tab w:val="right" w:pos="9025" w:leader="dot"/>
            </w:tabs>
            <w:rPr/>
          </w:pPr>
          <w:hyperlink w:anchor="__RefHeading___Toc8471_1149970192">
            <w:r>
              <w:rPr>
                <w:webHidden/>
                <w:rStyle w:val="IndexLink"/>
              </w:rPr>
              <w:t>6.5 Comparing environments</w:t>
              <w:tab/>
              <w:t>20</w:t>
            </w:r>
          </w:hyperlink>
        </w:p>
        <w:p>
          <w:pPr>
            <w:pStyle w:val="TOC2"/>
            <w:tabs>
              <w:tab w:val="clear" w:pos="900"/>
              <w:tab w:val="clear" w:pos="9350"/>
              <w:tab w:val="right" w:pos="9025" w:leader="dot"/>
            </w:tabs>
            <w:rPr/>
          </w:pPr>
          <w:hyperlink w:anchor="__RefHeading___Toc8473_1149970192">
            <w:r>
              <w:rPr>
                <w:webHidden/>
                <w:rStyle w:val="IndexLink"/>
              </w:rPr>
              <w:t>6.6 Comparison report</w:t>
              <w:tab/>
              <w:t>20</w:t>
            </w:r>
          </w:hyperlink>
        </w:p>
        <w:p>
          <w:pPr>
            <w:pStyle w:val="TOC1"/>
            <w:tabs>
              <w:tab w:val="clear" w:pos="900"/>
              <w:tab w:val="clear" w:pos="9350"/>
              <w:tab w:val="right" w:pos="9025" w:leader="dot"/>
            </w:tabs>
            <w:rPr/>
          </w:pPr>
          <w:hyperlink w:anchor="__RefHeading___Toc8475_1149970192">
            <w:r>
              <w:rPr>
                <w:webHidden/>
                <w:rStyle w:val="IndexLink"/>
              </w:rPr>
              <w:t>7. Client data flow</w:t>
              <w:tab/>
              <w:t>21</w:t>
            </w:r>
          </w:hyperlink>
        </w:p>
        <w:p>
          <w:pPr>
            <w:pStyle w:val="TOC2"/>
            <w:tabs>
              <w:tab w:val="clear" w:pos="900"/>
              <w:tab w:val="clear" w:pos="9350"/>
              <w:tab w:val="right" w:pos="9025" w:leader="dot"/>
            </w:tabs>
            <w:rPr/>
          </w:pPr>
          <w:hyperlink w:anchor="__RefHeading___Toc8477_1149970192">
            <w:r>
              <w:rPr>
                <w:webHidden/>
                <w:rStyle w:val="IndexLink"/>
              </w:rPr>
              <w:t>7.1 The two workbooks the broker fills</w:t>
              <w:tab/>
              <w:t>21</w:t>
            </w:r>
          </w:hyperlink>
        </w:p>
        <w:p>
          <w:pPr>
            <w:pStyle w:val="TOC2"/>
            <w:tabs>
              <w:tab w:val="clear" w:pos="900"/>
              <w:tab w:val="clear" w:pos="9350"/>
              <w:tab w:val="right" w:pos="9025" w:leader="dot"/>
            </w:tabs>
            <w:rPr/>
          </w:pPr>
          <w:hyperlink w:anchor="__RefHeading___Toc8479_1149970192">
            <w:r>
              <w:rPr>
                <w:webHidden/>
                <w:rStyle w:val="IndexLink"/>
              </w:rPr>
              <w:t>7.2 Mock loads and the final load</w:t>
              <w:tab/>
              <w:t>21</w:t>
            </w:r>
          </w:hyperlink>
        </w:p>
        <w:p>
          <w:pPr>
            <w:pStyle w:val="TOC2"/>
            <w:tabs>
              <w:tab w:val="clear" w:pos="900"/>
              <w:tab w:val="clear" w:pos="9350"/>
              <w:tab w:val="right" w:pos="9025" w:leader="dot"/>
            </w:tabs>
            <w:rPr/>
          </w:pPr>
          <w:hyperlink w:anchor="__RefHeading___Toc8481_1149970192">
            <w:r>
              <w:rPr>
                <w:webHidden/>
                <w:rStyle w:val="IndexLink"/>
              </w:rPr>
              <w:t>7.3 Keeping migrated and new business apart and in step</w:t>
              <w:tab/>
              <w:t>22</w:t>
            </w:r>
          </w:hyperlink>
        </w:p>
        <w:p>
          <w:pPr>
            <w:pStyle w:val="TOC1"/>
            <w:tabs>
              <w:tab w:val="clear" w:pos="900"/>
              <w:tab w:val="clear" w:pos="9350"/>
              <w:tab w:val="right" w:pos="9025" w:leader="dot"/>
            </w:tabs>
            <w:rPr/>
          </w:pPr>
          <w:hyperlink w:anchor="__RefHeading___Toc8483_1149970192">
            <w:r>
              <w:rPr>
                <w:webHidden/>
                <w:rStyle w:val="IndexLink"/>
              </w:rPr>
              <w:t>8. Smoke test and go-live</w:t>
              <w:tab/>
              <w:t>24</w:t>
            </w:r>
          </w:hyperlink>
        </w:p>
        <w:p>
          <w:pPr>
            <w:pStyle w:val="TOC2"/>
            <w:tabs>
              <w:tab w:val="clear" w:pos="900"/>
              <w:tab w:val="clear" w:pos="9350"/>
              <w:tab w:val="right" w:pos="9025" w:leader="dot"/>
            </w:tabs>
            <w:rPr/>
          </w:pPr>
          <w:hyperlink w:anchor="__RefHeading___Toc8485_1149970192">
            <w:r>
              <w:rPr>
                <w:webHidden/>
                <w:rStyle w:val="IndexLink"/>
              </w:rPr>
              <w:t>8.1 Order of events</w:t>
              <w:tab/>
              <w:t>24</w:t>
            </w:r>
          </w:hyperlink>
        </w:p>
        <w:p>
          <w:pPr>
            <w:pStyle w:val="TOC2"/>
            <w:tabs>
              <w:tab w:val="clear" w:pos="900"/>
              <w:tab w:val="clear" w:pos="9350"/>
              <w:tab w:val="right" w:pos="9025" w:leader="dot"/>
            </w:tabs>
            <w:rPr/>
          </w:pPr>
          <w:hyperlink w:anchor="__RefHeading___Toc8487_1149970192">
            <w:r>
              <w:rPr>
                <w:webHidden/>
                <w:rStyle w:val="IndexLink"/>
              </w:rPr>
              <w:t>8.2 Hypercare</w:t>
              <w:tab/>
              <w:t>24</w:t>
            </w:r>
          </w:hyperlink>
        </w:p>
        <w:p>
          <w:pPr>
            <w:pStyle w:val="TOC1"/>
            <w:tabs>
              <w:tab w:val="clear" w:pos="900"/>
              <w:tab w:val="clear" w:pos="9350"/>
              <w:tab w:val="right" w:pos="9025" w:leader="dot"/>
            </w:tabs>
            <w:rPr/>
          </w:pPr>
          <w:hyperlink w:anchor="__RefHeading___Toc8489_1149970192">
            <w:r>
              <w:rPr>
                <w:webHidden/>
                <w:rStyle w:val="IndexLink"/>
              </w:rPr>
              <w:t>9. Cutover runbook</w:t>
              <w:tab/>
              <w:t>26</w:t>
            </w:r>
          </w:hyperlink>
        </w:p>
        <w:p>
          <w:pPr>
            <w:pStyle w:val="TOC2"/>
            <w:tabs>
              <w:tab w:val="clear" w:pos="900"/>
              <w:tab w:val="clear" w:pos="9350"/>
              <w:tab w:val="right" w:pos="9025" w:leader="dot"/>
            </w:tabs>
            <w:rPr/>
          </w:pPr>
          <w:hyperlink w:anchor="__RefHeading___Toc8491_1149970192">
            <w:r>
              <w:rPr>
                <w:webHidden/>
                <w:rStyle w:val="IndexLink"/>
              </w:rPr>
              <w:t>9.1 Conventions</w:t>
              <w:tab/>
              <w:t>26</w:t>
            </w:r>
          </w:hyperlink>
        </w:p>
        <w:p>
          <w:pPr>
            <w:pStyle w:val="TOC2"/>
            <w:tabs>
              <w:tab w:val="clear" w:pos="900"/>
              <w:tab w:val="clear" w:pos="9350"/>
              <w:tab w:val="right" w:pos="9025" w:leader="dot"/>
            </w:tabs>
            <w:rPr/>
          </w:pPr>
          <w:hyperlink w:anchor="__RefHeading___Toc8493_1149970192">
            <w:r>
              <w:rPr>
                <w:webHidden/>
                <w:rStyle w:val="IndexLink"/>
              </w:rPr>
              <w:t>9.2 T-30 to T-1</w:t>
              <w:tab/>
              <w:t>26</w:t>
            </w:r>
          </w:hyperlink>
        </w:p>
        <w:p>
          <w:pPr>
            <w:pStyle w:val="TOC2"/>
            <w:tabs>
              <w:tab w:val="clear" w:pos="900"/>
              <w:tab w:val="clear" w:pos="9350"/>
              <w:tab w:val="right" w:pos="9025" w:leader="dot"/>
            </w:tabs>
            <w:rPr/>
          </w:pPr>
          <w:hyperlink w:anchor="__RefHeading___Toc8495_1149970192">
            <w:r>
              <w:rPr>
                <w:webHidden/>
                <w:rStyle w:val="IndexLink"/>
              </w:rPr>
              <w:t>9.3 T to T+30</w:t>
              <w:tab/>
              <w:t>28</w:t>
            </w:r>
          </w:hyperlink>
        </w:p>
        <w:p>
          <w:pPr>
            <w:pStyle w:val="TOC1"/>
            <w:tabs>
              <w:tab w:val="clear" w:pos="900"/>
              <w:tab w:val="clear" w:pos="9350"/>
              <w:tab w:val="right" w:pos="9025" w:leader="dot"/>
            </w:tabs>
            <w:rPr/>
          </w:pPr>
          <w:hyperlink w:anchor="__RefHeading___Toc8497_1149970192">
            <w:r>
              <w:rPr>
                <w:webHidden/>
                <w:rStyle w:val="IndexLink"/>
              </w:rPr>
              <w:t>10. RACI and checklists</w:t>
              <w:tab/>
              <w:t>30</w:t>
            </w:r>
          </w:hyperlink>
        </w:p>
        <w:p>
          <w:pPr>
            <w:pStyle w:val="TOC2"/>
            <w:tabs>
              <w:tab w:val="clear" w:pos="900"/>
              <w:tab w:val="clear" w:pos="9350"/>
              <w:tab w:val="right" w:pos="9025" w:leader="dot"/>
            </w:tabs>
            <w:rPr/>
          </w:pPr>
          <w:hyperlink w:anchor="__RefHeading___Toc8499_1149970192">
            <w:r>
              <w:rPr>
                <w:webHidden/>
                <w:rStyle w:val="IndexLink"/>
              </w:rPr>
              <w:t>10.1 RACI for environment and release activities</w:t>
              <w:tab/>
              <w:t>30</w:t>
            </w:r>
          </w:hyperlink>
        </w:p>
        <w:p>
          <w:pPr>
            <w:pStyle w:val="TOC2"/>
            <w:tabs>
              <w:tab w:val="clear" w:pos="900"/>
              <w:tab w:val="clear" w:pos="9350"/>
              <w:tab w:val="right" w:pos="9025" w:leader="dot"/>
            </w:tabs>
            <w:rPr/>
          </w:pPr>
          <w:hyperlink w:anchor="__RefHeading___Toc8501_1149970192">
            <w:r>
              <w:rPr>
                <w:webHidden/>
                <w:rStyle w:val="IndexLink"/>
              </w:rPr>
              <w:t>10.2 Checklist: system integration test (Dev or SIT)</w:t>
              <w:tab/>
              <w:t>30</w:t>
            </w:r>
          </w:hyperlink>
        </w:p>
        <w:p>
          <w:pPr>
            <w:pStyle w:val="TOC2"/>
            <w:tabs>
              <w:tab w:val="clear" w:pos="900"/>
              <w:tab w:val="clear" w:pos="9350"/>
              <w:tab w:val="right" w:pos="9025" w:leader="dot"/>
            </w:tabs>
            <w:rPr/>
          </w:pPr>
          <w:hyperlink w:anchor="__RefHeading___Toc8503_1149970192">
            <w:r>
              <w:rPr>
                <w:webHidden/>
                <w:rStyle w:val="IndexLink"/>
              </w:rPr>
              <w:t>10.3 Checklist: Dev or SIT to UAT</w:t>
              <w:tab/>
              <w:t>31</w:t>
            </w:r>
          </w:hyperlink>
        </w:p>
        <w:p>
          <w:pPr>
            <w:pStyle w:val="TOC2"/>
            <w:tabs>
              <w:tab w:val="clear" w:pos="900"/>
              <w:tab w:val="clear" w:pos="9350"/>
              <w:tab w:val="right" w:pos="9025" w:leader="dot"/>
            </w:tabs>
            <w:rPr/>
          </w:pPr>
          <w:hyperlink w:anchor="__RefHeading___Toc8505_1149970192">
            <w:r>
              <w:rPr>
                <w:webHidden/>
                <w:rStyle w:val="IndexLink"/>
              </w:rPr>
              <w:t>10.4 Checklist: UAT to Production and the Pre-Prod rehearsal</w:t>
              <w:tab/>
              <w:t>31</w:t>
            </w:r>
          </w:hyperlink>
        </w:p>
        <w:p>
          <w:pPr>
            <w:pStyle w:val="TOC2"/>
            <w:tabs>
              <w:tab w:val="clear" w:pos="900"/>
              <w:tab w:val="clear" w:pos="9350"/>
              <w:tab w:val="right" w:pos="9025" w:leader="dot"/>
            </w:tabs>
            <w:rPr/>
          </w:pPr>
          <w:hyperlink w:anchor="__RefHeading___Toc8507_1149970192">
            <w:r>
              <w:rPr>
                <w:webHidden/>
                <w:rStyle w:val="IndexLink"/>
              </w:rPr>
              <w:t>10.5 Checklist: go-live in Production</w:t>
              <w:tab/>
              <w:t>31</w:t>
            </w:r>
          </w:hyperlink>
        </w:p>
        <w:p>
          <w:pPr>
            <w:pStyle w:val="TOC2"/>
            <w:tabs>
              <w:tab w:val="clear" w:pos="900"/>
              <w:tab w:val="clear" w:pos="9350"/>
              <w:tab w:val="right" w:pos="9025" w:leader="dot"/>
            </w:tabs>
            <w:rPr/>
          </w:pPr>
          <w:hyperlink w:anchor="__RefHeading___Toc8509_1149970192">
            <w:r>
              <w:rPr>
                <w:webHidden/>
                <w:rStyle w:val="IndexLink"/>
              </w:rPr>
              <w:t>10.6 Checklist: release after go-live</w:t>
              <w:tab/>
              <w:t>31</w:t>
            </w:r>
          </w:hyperlink>
        </w:p>
        <w:p>
          <w:pPr>
            <w:pStyle w:val="TOC1"/>
            <w:tabs>
              <w:tab w:val="clear" w:pos="900"/>
              <w:tab w:val="clear" w:pos="9350"/>
              <w:tab w:val="right" w:pos="9025" w:leader="dot"/>
            </w:tabs>
            <w:rPr/>
          </w:pPr>
          <w:hyperlink w:anchor="__RefHeading___Toc8511_1149970192">
            <w:r>
              <w:rPr>
                <w:webHidden/>
                <w:rStyle w:val="IndexLink"/>
              </w:rPr>
              <w:t>11. Decisions and sections to complete</w:t>
              <w:tab/>
              <w:t>33</w:t>
            </w:r>
          </w:hyperlink>
        </w:p>
        <w:p>
          <w:pPr>
            <w:pStyle w:val="TOC1"/>
            <w:tabs>
              <w:tab w:val="clear" w:pos="900"/>
              <w:tab w:val="clear" w:pos="9350"/>
              <w:tab w:val="right" w:pos="9025" w:leader="dot"/>
            </w:tabs>
            <w:rPr/>
          </w:pPr>
          <w:hyperlink w:anchor="__RefHeading___Toc8513_1149970192">
            <w:r>
              <w:rPr>
                <w:webHidden/>
                <w:rStyle w:val="IndexLink"/>
                <w:i w:val="false"/>
                <w:iCs w:val="false"/>
              </w:rPr>
              <w:t>12. Document Sign-Off</w:t>
            </w:r>
            <w:r>
              <w:rPr>
                <w:rStyle w:val="IndexLink"/>
              </w:rPr>
              <w:tab/>
              <w:t>34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405_114997019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407_114997019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restore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P1, P2</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Incident priorities 1 and 2</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409_1149970192"/>
      <w:bookmarkEnd w:id="6"/>
      <w:r>
        <w:rPr>
          <w:rFonts w:eastAsia="Segoe UI" w:cs="Segoe UI" w:ascii="Segoe UI" w:hAnsi="Segoe UI"/>
          <w:b/>
          <w:color w:val="0F4761"/>
          <w:sz w:val="32"/>
        </w:rPr>
        <w:t>3.  Introduction</w:t>
      </w:r>
    </w:p>
    <w:p>
      <w:pPr>
        <w:pStyle w:val="Heading2"/>
        <w:rPr/>
      </w:pPr>
      <w:bookmarkStart w:id="7" w:name="__RefHeading___Toc8411_1149970192"/>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answers the product owner's questions on how BrokerVerse OOTB is run across environments and taken into production for a broker:</w:t>
      </w:r>
    </w:p>
    <w:p>
      <w:pPr>
        <w:pStyle w:val="Normal"/>
        <w:numPr>
          <w:ilvl w:val="0"/>
          <w:numId w:val="1"/>
        </w:numPr>
        <w:spacing w:before="0" w:after="60"/>
        <w:rPr/>
      </w:pPr>
      <w:r>
        <w:rPr>
          <w:rFonts w:eastAsia="Segoe UI" w:cs="Segoe UI" w:ascii="Segoe UI" w:hAnsi="Segoe UI"/>
          <w:color w:val="101820"/>
          <w:sz w:val="21"/>
        </w:rPr>
        <w:t>which environments exist, what each is for, who uses it, which data it holds, how it is hosted and sized, who may access it and how it is refreshed;</w:t>
      </w:r>
    </w:p>
    <w:p>
      <w:pPr>
        <w:pStyle w:val="Normal"/>
        <w:numPr>
          <w:ilvl w:val="0"/>
          <w:numId w:val="1"/>
        </w:numPr>
        <w:spacing w:before="0" w:after="60"/>
        <w:rPr/>
      </w:pPr>
      <w:r>
        <w:rPr>
          <w:rFonts w:eastAsia="Segoe UI" w:cs="Segoe UI" w:ascii="Segoe UI" w:hAnsi="Segoe UI"/>
          <w:color w:val="101820"/>
          <w:sz w:val="21"/>
        </w:rPr>
        <w:t>how code and database scripts move from one environment to the next, with the checks, sign-offs and rollback at each step;</w:t>
      </w:r>
    </w:p>
    <w:p>
      <w:pPr>
        <w:pStyle w:val="Normal"/>
        <w:numPr>
          <w:ilvl w:val="0"/>
          <w:numId w:val="1"/>
        </w:numPr>
        <w:spacing w:before="0" w:after="60"/>
        <w:rPr/>
      </w:pPr>
      <w:r>
        <w:rPr>
          <w:rFonts w:eastAsia="Segoe UI" w:cs="Segoe UI" w:ascii="Segoe UI" w:hAnsi="Segoe UI"/>
          <w:color w:val="101820"/>
          <w:sz w:val="21"/>
        </w:rPr>
        <w:t>how configuration moves between environments with the Go-Live Data Workbench, and what has to be entered or scripted separately;</w:t>
      </w:r>
    </w:p>
    <w:p>
      <w:pPr>
        <w:pStyle w:val="Normal"/>
        <w:numPr>
          <w:ilvl w:val="0"/>
          <w:numId w:val="1"/>
        </w:numPr>
        <w:spacing w:before="0" w:after="60"/>
        <w:rPr/>
      </w:pPr>
      <w:r>
        <w:rPr>
          <w:rFonts w:eastAsia="Segoe UI" w:cs="Segoe UI" w:ascii="Segoe UI" w:hAnsi="Segoe UI"/>
          <w:color w:val="101820"/>
          <w:sz w:val="21"/>
        </w:rPr>
        <w:t>how the broker's own data flows in, how migrated business and new business are kept apart and in step;</w:t>
      </w:r>
    </w:p>
    <w:p>
      <w:pPr>
        <w:pStyle w:val="Normal"/>
        <w:numPr>
          <w:ilvl w:val="0"/>
          <w:numId w:val="1"/>
        </w:numPr>
        <w:spacing w:before="0" w:after="60"/>
        <w:rPr/>
      </w:pPr>
      <w:r>
        <w:rPr>
          <w:rFonts w:eastAsia="Segoe UI" w:cs="Segoe UI" w:ascii="Segoe UI" w:hAnsi="Segoe UI"/>
          <w:color w:val="101820"/>
          <w:sz w:val="21"/>
        </w:rPr>
        <w:t>how the smoke test, the transaction reset, the final migration and the go-live lock fit together;</w:t>
      </w:r>
    </w:p>
    <w:p>
      <w:pPr>
        <w:pStyle w:val="Normal"/>
        <w:numPr>
          <w:ilvl w:val="0"/>
          <w:numId w:val="1"/>
        </w:numPr>
        <w:spacing w:before="0" w:after="60"/>
        <w:rPr/>
      </w:pPr>
      <w:r>
        <w:rPr>
          <w:rFonts w:eastAsia="Segoe UI" w:cs="Segoe UI" w:ascii="Segoe UI" w:hAnsi="Segoe UI"/>
          <w:color w:val="101820"/>
          <w:sz w:val="21"/>
        </w:rPr>
        <w:t>the cutover runbook from 30 days before to 30 days after go-live, the RACI and the checklists for each promotion.</w:t>
      </w:r>
    </w:p>
    <w:p>
      <w:pPr>
        <w:pStyle w:val="Heading2"/>
        <w:rPr/>
      </w:pPr>
      <w:bookmarkStart w:id="8" w:name="__RefHeading___Toc8413_1149970192"/>
      <w:bookmarkEnd w:id="8"/>
      <w:r>
        <w:rPr>
          <w:rFonts w:eastAsia="Segoe UI" w:cs="Segoe UI"/>
          <w:b/>
          <w:color w:val="0F4761"/>
          <w:sz w:val="26"/>
        </w:rPr>
        <w:t>3.2  Sources and labels</w:t>
      </w:r>
    </w:p>
    <w:p>
      <w:pPr>
        <w:pStyle w:val="Normal"/>
        <w:spacing w:lineRule="auto" w:line="276" w:before="0" w:after="120"/>
        <w:rPr/>
      </w:pPr>
      <w:r>
        <w:rPr>
          <w:rFonts w:eastAsia="Segoe UI" w:cs="Segoe UI" w:ascii="Segoe UI" w:hAnsi="Segoe UI"/>
          <w:color w:val="101820"/>
          <w:sz w:val="21"/>
        </w:rPr>
        <w:t>Facts come from the code and the deployment files of the repository (</w:t>
      </w:r>
      <w:r>
        <w:rPr>
          <w:rFonts w:eastAsia="Consolas" w:cs="Consolas" w:ascii="Consolas" w:hAnsi="Consolas"/>
          <w:color w:val="101820"/>
          <w:sz w:val="19"/>
        </w:rPr>
        <w:t>IortaTexhNXT-DEV/BDOI-OOTB</w:t>
      </w:r>
      <w:r>
        <w:rPr>
          <w:rFonts w:eastAsia="Segoe UI" w:cs="Segoe UI" w:ascii="Segoe UI" w:hAnsi="Segoe UI"/>
          <w:color w:val="101820"/>
          <w:sz w:val="21"/>
        </w:rPr>
        <w:t xml:space="preserve">,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release tag </w:t>
      </w:r>
      <w:r>
        <w:rPr>
          <w:rFonts w:eastAsia="Consolas" w:cs="Consolas" w:ascii="Consolas" w:hAnsi="Consolas"/>
          <w:color w:val="101820"/>
          <w:sz w:val="19"/>
        </w:rPr>
        <w:t>v1.0.0</w:t>
      </w:r>
      <w:r>
        <w:rPr>
          <w:rFonts w:eastAsia="Segoe UI" w:cs="Segoe UI" w:ascii="Segoe UI" w:hAnsi="Segoe UI"/>
          <w:color w:val="101820"/>
          <w:sz w:val="21"/>
        </w:rPr>
        <w:t xml:space="preserve">): </w:t>
      </w:r>
      <w:r>
        <w:rPr>
          <w:rFonts w:eastAsia="Consolas" w:cs="Consolas" w:ascii="Consolas" w:hAnsi="Consolas"/>
          <w:color w:val="101820"/>
          <w:sz w:val="19"/>
        </w:rPr>
        <w:t>deploy/README.md</w:t>
      </w:r>
      <w:r>
        <w:rPr>
          <w:rFonts w:eastAsia="Segoe UI" w:cs="Segoe UI" w:ascii="Segoe UI" w:hAnsi="Segoe UI"/>
          <w:color w:val="101820"/>
          <w:sz w:val="21"/>
        </w:rPr>
        <w:t xml:space="preserve">, </w:t>
      </w:r>
      <w:r>
        <w:rPr>
          <w:rFonts w:eastAsia="Consolas" w:cs="Consolas" w:ascii="Consolas" w:hAnsi="Consolas"/>
          <w:color w:val="101820"/>
          <w:sz w:val="19"/>
        </w:rPr>
        <w:t>deploy/REFERENCE.md</w:t>
      </w:r>
      <w:r>
        <w:rPr>
          <w:rFonts w:eastAsia="Segoe UI" w:cs="Segoe UI" w:ascii="Segoe UI" w:hAnsi="Segoe UI"/>
          <w:color w:val="101820"/>
          <w:sz w:val="21"/>
        </w:rPr>
        <w:t xml:space="preserve">, </w:t>
      </w:r>
      <w:r>
        <w:rPr>
          <w:rFonts w:eastAsia="Consolas" w:cs="Consolas" w:ascii="Consolas" w:hAnsi="Consolas"/>
          <w:color w:val="101820"/>
          <w:sz w:val="19"/>
        </w:rPr>
        <w:t>deploy/RAILWAY.md</w:t>
      </w:r>
      <w:r>
        <w:rPr>
          <w:rFonts w:eastAsia="Segoe UI" w:cs="Segoe UI" w:ascii="Segoe UI" w:hAnsi="Segoe UI"/>
          <w:color w:val="101820"/>
          <w:sz w:val="21"/>
        </w:rPr>
        <w:t xml:space="preserve">, </w:t>
      </w:r>
      <w:r>
        <w:rPr>
          <w:rFonts w:eastAsia="Consolas" w:cs="Consolas" w:ascii="Consolas" w:hAnsi="Consolas"/>
          <w:color w:val="101820"/>
          <w:sz w:val="19"/>
        </w:rPr>
        <w:t>deploy/ec2/</w:t>
      </w:r>
      <w:r>
        <w:rPr>
          <w:rFonts w:eastAsia="Segoe UI" w:cs="Segoe UI" w:ascii="Segoe UI" w:hAnsi="Segoe UI"/>
          <w:color w:val="101820"/>
          <w:sz w:val="21"/>
        </w:rPr>
        <w:t xml:space="preserve">, </w:t>
      </w:r>
      <w:r>
        <w:rPr>
          <w:rFonts w:eastAsia="Consolas" w:cs="Consolas" w:ascii="Consolas" w:hAnsi="Consolas"/>
          <w:color w:val="101820"/>
          <w:sz w:val="19"/>
        </w:rPr>
        <w:t>.github/workflows/</w:t>
      </w:r>
      <w:r>
        <w:rPr>
          <w:rFonts w:eastAsia="Segoe UI" w:cs="Segoe UI" w:ascii="Segoe UI" w:hAnsi="Segoe UI"/>
          <w:color w:val="101820"/>
          <w:sz w:val="21"/>
        </w:rPr>
        <w:t xml:space="preserve">, </w:t>
      </w:r>
      <w:r>
        <w:rPr>
          <w:rFonts w:eastAsia="Consolas" w:cs="Consolas" w:ascii="Consolas" w:hAnsi="Consolas"/>
          <w:color w:val="101820"/>
          <w:sz w:val="19"/>
        </w:rPr>
        <w:t>backend/src/db/</w:t>
      </w:r>
      <w:r>
        <w:rPr>
          <w:rFonts w:eastAsia="Segoe UI" w:cs="Segoe UI" w:ascii="Segoe UI" w:hAnsi="Segoe UI"/>
          <w:color w:val="101820"/>
          <w:sz w:val="21"/>
        </w:rPr>
        <w:t xml:space="preserve"> (migrations and seeds), </w:t>
      </w:r>
      <w:r>
        <w:rPr>
          <w:rFonts w:eastAsia="Consolas" w:cs="Consolas" w:ascii="Consolas" w:hAnsi="Consolas"/>
          <w:color w:val="101820"/>
          <w:sz w:val="19"/>
        </w:rPr>
        <w:t>backend/scripts/</w:t>
      </w:r>
      <w:r>
        <w:rPr>
          <w:rFonts w:eastAsia="Segoe UI" w:cs="Segoe UI" w:ascii="Segoe UI" w:hAnsi="Segoe UI"/>
          <w:color w:val="101820"/>
          <w:sz w:val="21"/>
        </w:rPr>
        <w:t xml:space="preserve"> and </w:t>
      </w:r>
      <w:r>
        <w:rPr>
          <w:rFonts w:eastAsia="Consolas" w:cs="Consolas" w:ascii="Consolas" w:hAnsi="Consolas"/>
          <w:color w:val="101820"/>
          <w:sz w:val="19"/>
        </w:rPr>
        <w:t>backend/src/modules/data-load</w:t>
      </w:r>
      <w:r>
        <w:rPr>
          <w:rFonts w:eastAsia="Segoe UI" w:cs="Segoe UI" w:ascii="Segoe UI" w:hAnsi="Segoe UI"/>
          <w:color w:val="101820"/>
          <w:sz w:val="21"/>
        </w:rPr>
        <w:t xml:space="preserve"> (the Go-Live Data Workbench). Text marked </w:t>
      </w:r>
      <w:r>
        <w:rPr>
          <w:rFonts w:eastAsia="Segoe UI" w:cs="Segoe UI" w:ascii="Segoe UI" w:hAnsi="Segoe UI"/>
          <w:b/>
          <w:color w:val="101820"/>
          <w:sz w:val="21"/>
        </w:rPr>
        <w:t>Recommended</w:t>
      </w:r>
      <w:r>
        <w:rPr>
          <w:rFonts w:eastAsia="Segoe UI" w:cs="Segoe UI" w:ascii="Segoe UI" w:hAnsi="Segoe UI"/>
          <w:color w:val="101820"/>
          <w:sz w:val="21"/>
        </w:rPr>
        <w:t xml:space="preserve"> is iorta TechNXT practice, not something the code enforces. Text marked </w:t>
      </w:r>
      <w:r>
        <w:rPr>
          <w:rFonts w:eastAsia="Segoe UI" w:cs="Segoe UI" w:ascii="Segoe UI" w:hAnsi="Segoe UI"/>
          <w:b/>
          <w:color w:val="101820"/>
          <w:sz w:val="21"/>
        </w:rPr>
        <w:t>Decision</w:t>
      </w:r>
      <w:r>
        <w:rPr>
          <w:rFonts w:eastAsia="Segoe UI" w:cs="Segoe UI" w:ascii="Segoe UI" w:hAnsi="Segoe UI"/>
          <w:color w:val="101820"/>
          <w:sz w:val="21"/>
        </w:rPr>
        <w:t xml:space="preserve"> is a product owner decision of 04 October 2026: the environment set by broker size, the temporary Pre-Prod, hosting per environment, one front-end build for all environments, a release pipeline with approval gates, a comparison report between environments and a data masking tool. Sections marked </w:t>
      </w:r>
      <w:r>
        <w:rPr>
          <w:rFonts w:eastAsia="Segoe UI" w:cs="Segoe UI" w:ascii="Segoe UI" w:hAnsi="Segoe UI"/>
          <w:b/>
          <w:color w:val="101820"/>
          <w:sz w:val="21"/>
        </w:rPr>
        <w:t>Section to be completed with the release</w:t>
      </w:r>
      <w:r>
        <w:rPr>
          <w:rFonts w:eastAsia="Segoe UI" w:cs="Segoe UI" w:ascii="Segoe UI" w:hAnsi="Segoe UI"/>
          <w:color w:val="101820"/>
          <w:sz w:val="21"/>
        </w:rPr>
        <w:t xml:space="preserve"> describe deliveries still being built and are completed when they are released.</w:t>
      </w:r>
    </w:p>
    <w:p>
      <w:pPr>
        <w:pStyle w:val="Heading2"/>
        <w:rPr/>
      </w:pPr>
      <w:bookmarkStart w:id="9" w:name="__RefHeading___Toc8415_1149970192"/>
      <w:bookmarkEnd w:id="9"/>
      <w:r>
        <w:rPr>
          <w:rFonts w:eastAsia="Segoe UI" w:cs="Segoe UI"/>
          <w:b/>
          <w:color w:val="0F4761"/>
          <w:sz w:val="26"/>
        </w:rPr>
        <w:t>3.3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with this document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 and Cutover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objects, control figures, mock loads, cutover checklist, go/no-go criteria, rollback of the data</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Approach and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Phases, timelines by broker size, project RACI, deliverables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and Go-Live Acceptance Certificates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1 (UAT Sign-off) and Form 2 (Go-live Acceptance) signed at the checkpoints of chapter 9</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hypercare and handover to support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Support Approach and Standards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types, CAB, release management, patching, regression testing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Template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copy per release or patch, attached to the CAB record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Continuity and Disaster Recovery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restore procedures, recovery objectives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Infrastructure, Security and Privacy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options A, B and C, sizing, CI/CD, secrets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Commercials and pricing workbook (</w:t>
            </w:r>
            <w:r>
              <w:rPr>
                <w:rFonts w:eastAsia="Consolas" w:cs="Consolas" w:ascii="Consolas" w:hAnsi="Consolas"/>
                <w:color w:val="101820"/>
                <w:kern w:val="0"/>
                <w:sz w:val="16"/>
                <w:szCs w:val="24"/>
                <w:lang w:val="en-US" w:eastAsia="ja-JP" w:bidi="ar-SA"/>
              </w:rPr>
              <w:t>BrokerVerse_Commercials_and_Pricing.xlsx</w:t>
            </w:r>
            <w:r>
              <w:rPr>
                <w:rFonts w:eastAsia="Segoe UI" w:cs="Segoe UI" w:ascii="Segoe UI" w:hAnsi="Segoe UI"/>
                <w:color w:val="101820"/>
                <w:kern w:val="0"/>
                <w:sz w:val="18"/>
                <w:szCs w:val="24"/>
                <w:lang w:val="en-US" w:eastAsia="ja-JP" w:bidi="ar-SA"/>
              </w:rPr>
              <w:t>) and Rate Card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price of each environment by broker size and provider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docs/onboarding/GO_LIVE_DATA_WORKBENCH.md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Workbench: workbooks, validation, load, reconciliation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docs/onboarding/SMOKE_TEST_AND_RESET.md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transaction reset and go-live lock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docs/onboarding/GO_LIVE_DATA_SETUP.md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Step-by-step business set-up of a new installation</w:t>
            </w:r>
          </w:p>
        </w:tc>
      </w:tr>
    </w:tbl>
    <w:p>
      <w:pPr>
        <w:pStyle w:val="Heading1"/>
        <w:rPr/>
      </w:pPr>
      <w:r>
        <w:br w:type="page"/>
      </w:r>
      <w:bookmarkStart w:id="10" w:name="__RefHeading___Toc8417_1149970192"/>
      <w:bookmarkEnd w:id="10"/>
      <w:r>
        <w:rPr>
          <w:rFonts w:eastAsia="Segoe UI" w:cs="Segoe UI" w:ascii="Segoe UI" w:hAnsi="Segoe UI"/>
          <w:b/>
          <w:color w:val="0F4761"/>
          <w:sz w:val="32"/>
        </w:rPr>
        <w:t>4.  Environments</w:t>
      </w:r>
    </w:p>
    <w:p>
      <w:pPr>
        <w:pStyle w:val="Heading2"/>
        <w:rPr/>
      </w:pPr>
      <w:bookmarkStart w:id="11" w:name="__RefHeading___Toc8419_1149970192"/>
      <w:bookmarkEnd w:id="11"/>
      <w:r>
        <w:rPr>
          <w:rFonts w:eastAsia="Segoe UI" w:cs="Segoe UI"/>
          <w:b/>
          <w:color w:val="0F4761"/>
          <w:sz w:val="26"/>
        </w:rPr>
        <w:t>4.1  The five environment roles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0"/>
        <w:gridCol w:w="1713"/>
        <w:gridCol w:w="1590"/>
        <w:gridCol w:w="1590"/>
        <w:gridCol w:w="1590"/>
        <w:gridCol w:w="1589"/>
      </w:tblGrid>
      <w:tr>
        <w:trPr>
          <w:tblHeader w:val="true"/>
        </w:trPr>
        <w:tc>
          <w:tcPr>
            <w:tcW w:w="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Dev</w:t>
            </w:r>
          </w:p>
        </w:tc>
        <w:tc>
          <w:tcPr>
            <w:tcW w:w="1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SIT</w:t>
            </w:r>
          </w:p>
        </w:tc>
        <w:tc>
          <w:tcPr>
            <w:tcW w:w="1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UAT</w:t>
            </w:r>
          </w:p>
        </w:tc>
        <w:tc>
          <w:tcPr>
            <w:tcW w:w="1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w:t>
            </w:r>
          </w:p>
        </w:tc>
        <w:tc>
          <w:tcPr>
            <w:tcW w:w="15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Production</w:t>
            </w:r>
          </w:p>
        </w:tc>
      </w:tr>
      <w:tr>
        <w:trPr/>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Purpose</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Development and integration of changes; first run of every migration; for small and medium brokers also the configuration build and the system integration test</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brokers only: end-to-end test of a release with all roles; configuration build; mock loads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Business acceptance by the broker's key users; training; mock loads (all mock loads for small and medium brokers)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Temporary: dress rehearsal of the cutover; production smoke test; rehearsal of each major release after go-live</w:t>
            </w:r>
          </w:p>
        </w:tc>
        <w:tc>
          <w:tcPr>
            <w:tcW w:w="1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Live operations</w:t>
            </w:r>
          </w:p>
        </w:tc>
      </w:tr>
      <w:tr>
        <w:trPr/>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Main users</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developers and consultants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consultants and testers; migration lead</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key users, trainers, broker System Administrator; iorta TechNXT consultants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and migration lead; broker System Administrator, Accounting Manager and key users for the smoke test</w:t>
            </w:r>
          </w:p>
        </w:tc>
        <w:tc>
          <w:tcPr>
            <w:tcW w:w="1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All broker users; iorta TechNXT support by ticket</w:t>
            </w:r>
          </w:p>
        </w:tc>
      </w:tr>
      <w:tr>
        <w:trPr/>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 data (</w:t>
            </w:r>
            <w:r>
              <w:rPr>
                <w:rFonts w:eastAsia="Consolas" w:cs="Consolas" w:ascii="Consolas" w:hAnsi="Consolas"/>
                <w:color w:val="101820"/>
                <w:kern w:val="0"/>
                <w:sz w:val="14"/>
                <w:szCs w:val="24"/>
                <w:lang w:val="en-US" w:eastAsia="ja-JP" w:bidi="ar-SA"/>
              </w:rPr>
              <w:t>SEED_SAMPLE_DATA=true</w:t>
            </w:r>
            <w:r>
              <w:rPr>
                <w:rFonts w:eastAsia="Segoe UI" w:cs="Segoe UI" w:ascii="Segoe UI" w:hAnsi="Segoe UI"/>
                <w:color w:val="101820"/>
                <w:kern w:val="0"/>
                <w:sz w:val="16"/>
                <w:szCs w:val="24"/>
                <w:lang w:val="en-US" w:eastAsia="ja-JP" w:bidi="ar-SA"/>
              </w:rPr>
              <w:t>), synthetic UAT data (</w:t>
            </w:r>
            <w:r>
              <w:rPr>
                <w:rFonts w:eastAsia="Consolas" w:cs="Consolas" w:ascii="Consolas" w:hAnsi="Consolas"/>
                <w:color w:val="101820"/>
                <w:kern w:val="0"/>
                <w:sz w:val="14"/>
                <w:szCs w:val="24"/>
                <w:lang w:val="en-US" w:eastAsia="ja-JP" w:bidi="ar-SA"/>
              </w:rPr>
              <w:t>backend/scripts/uat-scenario.js</w:t>
            </w:r>
            <w:r>
              <w:rPr>
                <w:rFonts w:eastAsia="Segoe UI" w:cs="Segoe UI" w:ascii="Segoe UI" w:hAnsi="Segoe UI"/>
                <w:color w:val="101820"/>
                <w:kern w:val="0"/>
                <w:sz w:val="16"/>
                <w:szCs w:val="24"/>
                <w:lang w:val="en-US" w:eastAsia="ja-JP" w:bidi="ar-SA"/>
              </w:rPr>
              <w:t>) and the broker's configuration</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data, synthetic UAT data, the broker's configuration, mock-load data</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data, the broker's configuration, mock-load data from the broker's extracts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restored production backup; before go-live it holds the production configuration and the rehearsal loads a fresh extract</w:t>
            </w:r>
          </w:p>
        </w:tc>
        <w:tc>
          <w:tcPr>
            <w:tcW w:w="1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data, the broker's configuration, the final migration, then live business</w:t>
            </w:r>
          </w:p>
        </w:tc>
      </w:tr>
      <w:tr>
        <w:trPr/>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Personal data</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 (fictional)</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Synthetic; client data during mock loads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data from the extracts</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data; masked when used by people without production access</w:t>
            </w:r>
          </w:p>
        </w:tc>
        <w:tc>
          <w:tcPr>
            <w:tcW w:w="1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data</w:t>
            </w:r>
          </w:p>
        </w:tc>
      </w:tr>
      <w:tr>
        <w:trPr/>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deployed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Any commit of a feature or fix branch</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candidate tag</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candidate tag that passed the system integration test</w:t>
            </w:r>
          </w:p>
        </w:tc>
        <w:tc>
          <w:tcPr>
            <w:tcW w:w="1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tag to go to Production</w:t>
            </w:r>
          </w:p>
        </w:tc>
        <w:tc>
          <w:tcPr>
            <w:tcW w:w="1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Tag approved by the CAB</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Decision:</w:t>
      </w:r>
      <w:r>
        <w:rPr>
          <w:rFonts w:eastAsia="Segoe UI" w:cs="Segoe UI" w:ascii="Segoe UI" w:hAnsi="Segoe UI"/>
          <w:color w:val="101820"/>
          <w:sz w:val="20"/>
        </w:rPr>
        <w:t xml:space="preserve"> The broker's own data appears from the first mock load onwards. From that point the environment holding it is protected as Production is (section 4.6). A copy of production data used by people who have no production access is masked first, with the data masking tool (section 4.9). The privacy module anonymises one data subject at a time and is not used for bulk masking.</w:t>
      </w:r>
    </w:p>
    <w:p>
      <w:pPr>
        <w:pStyle w:val="Heading2"/>
        <w:rPr/>
      </w:pPr>
      <w:bookmarkStart w:id="12" w:name="__RefHeading___Toc8421_1149970192"/>
      <w:bookmarkEnd w:id="12"/>
      <w:r>
        <w:rPr>
          <w:rFonts w:eastAsia="Segoe UI" w:cs="Segoe UI"/>
          <w:b/>
          <w:color w:val="0F4761"/>
          <w:sz w:val="26"/>
        </w:rPr>
        <w:t>4.2  Environment sets by broker size</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the environment set follows the broker size. Small and medium brokers have three standing environments: integration is done in the Dev instance and the release is pushed to UAT for testing, then to Production. Large brokers have four: SIT and UAT are separate. Pre-Prod is temporary for every size.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2981"/>
        <w:gridCol w:w="1913"/>
        <w:gridCol w:w="2986"/>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9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broker</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broker</w:t>
            </w:r>
          </w:p>
        </w:tc>
        <w:tc>
          <w:tcPr>
            <w:tcW w:w="29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broker (and Enterprise)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w:t>
            </w:r>
          </w:p>
        </w:tc>
        <w:tc>
          <w:tcPr>
            <w:tcW w:w="2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Dev instance, small size: development, configuration build, integration and system integration test</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small</w:t>
            </w:r>
          </w:p>
        </w:tc>
        <w:tc>
          <w:tcPr>
            <w:tcW w:w="2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Dev instance, small size: development and integration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2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separate: done in Dev</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separate: done in Dev</w:t>
            </w:r>
          </w:p>
        </w:tc>
        <w:tc>
          <w:tcPr>
            <w:tcW w:w="2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medium size, separate from UAT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small size</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small size</w:t>
            </w:r>
          </w:p>
        </w:tc>
        <w:tc>
          <w:tcPr>
            <w:tcW w:w="2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medium size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c>
          <w:tcPr>
            <w:tcW w:w="2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w:t>
            </w:r>
          </w:p>
        </w:tc>
        <w:tc>
          <w:tcPr>
            <w:tcW w:w="2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w:t>
            </w:r>
          </w:p>
        </w:tc>
        <w:tc>
          <w:tcPr>
            <w:tcW w:w="29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sized by tier</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sized by tier</w:t>
            </w:r>
          </w:p>
        </w:tc>
        <w:tc>
          <w:tcPr>
            <w:tcW w:w="2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environment with high availability; Enterprise adds a cross-region copy of the backups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set is recorded in the Order Form (hosting fields) and in the environment sheet. A broker that hosts BrokerVerse itself provides the same set.</w:t>
      </w:r>
    </w:p>
    <w:p>
      <w:pPr>
        <w:pStyle w:val="Heading2"/>
        <w:rPr/>
      </w:pPr>
      <w:bookmarkStart w:id="13" w:name="__RefHeading___Toc8423_1149970192"/>
      <w:bookmarkEnd w:id="13"/>
      <w:r>
        <w:rPr>
          <w:rFonts w:eastAsia="Segoe UI" w:cs="Segoe UI"/>
          <w:b/>
          <w:color w:val="0F4761"/>
          <w:sz w:val="26"/>
        </w:rPr>
        <w:t>4.3  Pre-Prod lifecycle</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Pre-Prod is temporary for every broker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it is created</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the go-live rehearsal (from about T-18 to the end of hypercare) and for each major release (about one month around the release)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backup of Production, restored at production topology and size. Before go-live, Production holds the production configuration promoted from UAT and no business; the rehearsal loads a fresh extract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before people without production access use it, with the data masking tool (section 4.9). People with production access may use the unmasked copy under the Production access rules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restore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secrets, e-mail off, scheduler stopped, go-live lock handled as in section 4.8</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Removal</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hypercare exit, or after the release: database, file store, backups and secrets deleted; the deletion recorded in the environment sheet</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Billed per month of use (section 3.5)</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creation of Pre-Prod restores a Production backup in full and is recorded as a restore test of the Business Continuity and Disaster Recovery Plan.</w:t>
      </w:r>
    </w:p>
    <w:p>
      <w:pPr>
        <w:pStyle w:val="Normal"/>
        <w:spacing w:lineRule="auto" w:line="276" w:before="0" w:after="120"/>
        <w:rPr/>
      </w:pPr>
      <w:r>
        <w:rPr>
          <w:rFonts w:eastAsia="Segoe UI" w:cs="Segoe UI" w:ascii="Segoe UI" w:hAnsi="Segoe UI"/>
          <w:color w:val="101820"/>
          <w:sz w:val="21"/>
        </w:rPr>
        <w:t>Minor and patch releases do not use Pre-Prod: they are rehearsed in UAT (and in SIT for a large broker), and a snapshot of Production is taken before deploying.</w:t>
      </w:r>
    </w:p>
    <w:p>
      <w:pPr>
        <w:pStyle w:val="Heading2"/>
        <w:rPr/>
      </w:pPr>
      <w:bookmarkStart w:id="14" w:name="__RefHeading___Toc8425_1149970192"/>
      <w:bookmarkEnd w:id="14"/>
      <w:r>
        <w:rPr>
          <w:rFonts w:eastAsia="Segoe UI" w:cs="Segoe UI"/>
          <w:b/>
          <w:color w:val="0F4761"/>
          <w:sz w:val="26"/>
        </w:rPr>
        <w:t>4.4  Hosting by option</w:t>
      </w:r>
    </w:p>
    <w:p>
      <w:pPr>
        <w:pStyle w:val="Normal"/>
        <w:spacing w:lineRule="auto" w:line="276" w:before="0" w:after="120"/>
        <w:rPr/>
      </w:pPr>
      <w:r>
        <w:rPr>
          <w:rFonts w:eastAsia="Segoe UI" w:cs="Segoe UI" w:ascii="Segoe UI" w:hAnsi="Segoe UI"/>
          <w:color w:val="101820"/>
          <w:sz w:val="21"/>
        </w:rPr>
        <w:t xml:space="preserve">Every environment needs the same building blocks: the web build, the API (container from </w:t>
      </w:r>
      <w:r>
        <w:rPr>
          <w:rFonts w:eastAsia="Consolas" w:cs="Consolas" w:ascii="Consolas" w:hAnsi="Consolas"/>
          <w:color w:val="101820"/>
          <w:sz w:val="19"/>
        </w:rPr>
        <w:t>backend/Dockerfile</w:t>
      </w:r>
      <w:r>
        <w:rPr>
          <w:rFonts w:eastAsia="Segoe UI" w:cs="Segoe UI" w:ascii="Segoe UI" w:hAnsi="Segoe UI"/>
          <w:color w:val="101820"/>
          <w:sz w:val="21"/>
        </w:rPr>
        <w:t xml:space="preserve"> or Node.js 22 under PM2), PostgreSQL 16 with the Asia/Manila time zone, a persistent file store at </w:t>
      </w:r>
      <w:r>
        <w:rPr>
          <w:rFonts w:eastAsia="Consolas" w:cs="Consolas" w:ascii="Consolas" w:hAnsi="Consolas"/>
          <w:color w:val="101820"/>
          <w:sz w:val="19"/>
        </w:rPr>
        <w:t>UPLOAD_DIR</w:t>
      </w:r>
      <w:r>
        <w:rPr>
          <w:rFonts w:eastAsia="Segoe UI" w:cs="Segoe UI" w:ascii="Segoe UI" w:hAnsi="Segoe UI"/>
          <w:color w:val="101820"/>
          <w:sz w:val="21"/>
        </w:rPr>
        <w:t xml:space="preserve"> and a secret store. The hosting options are those of the Architecture document.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1881"/>
        <w:gridCol w:w="1880"/>
        <w:gridCol w:w="1833"/>
        <w:gridCol w:w="1940"/>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w:t>
            </w:r>
          </w:p>
        </w:tc>
        <w:tc>
          <w:tcPr>
            <w:tcW w:w="18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 A: AWS Singapore</w:t>
            </w:r>
          </w:p>
        </w:tc>
        <w:tc>
          <w:tcPr>
            <w:tcW w:w="18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 B: Azure Southeast Asia</w:t>
            </w:r>
          </w:p>
        </w:tc>
        <w:tc>
          <w:tcPr>
            <w:tcW w:w="1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 C: Philippine partner or on-premise</w:t>
            </w:r>
          </w:p>
        </w:tc>
        <w:tc>
          <w:tcPr>
            <w:tcW w:w="1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Railway</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8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One API task or one EC2 host (Docker Compose, or PM2 as in </w:t>
            </w:r>
            <w:r>
              <w:rPr>
                <w:rFonts w:eastAsia="Consolas" w:cs="Consolas" w:ascii="Consolas" w:hAnsi="Consolas"/>
                <w:color w:val="101820"/>
                <w:kern w:val="0"/>
                <w:sz w:val="14"/>
                <w:szCs w:val="24"/>
                <w:lang w:val="en-US" w:eastAsia="ja-JP" w:bidi="ar-SA"/>
              </w:rPr>
              <w:t>deploy/ec2</w:t>
            </w:r>
            <w:r>
              <w:rPr>
                <w:rFonts w:eastAsia="Segoe UI" w:cs="Segoe UI" w:ascii="Segoe UI" w:hAnsi="Segoe UI"/>
                <w:color w:val="101820"/>
                <w:kern w:val="0"/>
                <w:sz w:val="16"/>
                <w:szCs w:val="24"/>
                <w:lang w:val="en-US" w:eastAsia="ja-JP" w:bidi="ar-SA"/>
              </w:rPr>
              <w:t>), small RDS single-AZ</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VM or Container Apps replica, small Flexible Server without HA</w:t>
            </w:r>
          </w:p>
        </w:tc>
        <w:tc>
          <w:tcPr>
            <w:tcW w:w="1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VM with Docker Compose</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Suitable (</w:t>
            </w:r>
            <w:r>
              <w:rPr>
                <w:rFonts w:eastAsia="Consolas" w:cs="Consolas" w:ascii="Consolas" w:hAnsi="Consolas"/>
                <w:color w:val="101820"/>
                <w:kern w:val="0"/>
                <w:sz w:val="14"/>
                <w:szCs w:val="24"/>
                <w:lang w:val="en-US" w:eastAsia="ja-JP" w:bidi="ar-SA"/>
              </w:rPr>
              <w:t>deploy/RAILWAY.md</w:t>
            </w:r>
            <w:r>
              <w:rPr>
                <w:rFonts w:eastAsia="Segoe UI" w:cs="Segoe UI" w:ascii="Segoe UI" w:hAnsi="Segoe UI"/>
                <w:color w:val="101820"/>
                <w:kern w:val="0"/>
                <w:sz w:val="16"/>
                <w:szCs w:val="24"/>
                <w:lang w:val="en-US" w:eastAsia="ja-JP" w:bidi="ar-SA"/>
              </w:rPr>
              <w:t>)</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(large broker)</w:t>
            </w:r>
          </w:p>
        </w:tc>
        <w:tc>
          <w:tcPr>
            <w:tcW w:w="18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API task (ECS Fargate or EC2), RDS single-AZ, EFS</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Container Apps replica, Flexible Server without HA, Azure Files</w:t>
            </w:r>
          </w:p>
        </w:tc>
        <w:tc>
          <w:tcPr>
            <w:tcW w:w="1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API VM, one PostgreSQL VM, NFS share</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Suitable for SIT and demo</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8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SIT, sized for the UAT performance test</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SIT</w:t>
            </w:r>
          </w:p>
        </w:tc>
        <w:tc>
          <w:tcPr>
            <w:tcW w:w="1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SIT</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Suitable when no performance test is needed</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(temporary)</w:t>
            </w:r>
          </w:p>
        </w:tc>
        <w:tc>
          <w:tcPr>
            <w:tcW w:w="18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topology as Production, restored from a Production backup: two API tasks behind a load balancer, RDS Multi-AZ, EFS, CloudFront</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topology as Production</w:t>
            </w:r>
          </w:p>
        </w:tc>
        <w:tc>
          <w:tcPr>
            <w:tcW w:w="1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topology as Production</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suitable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w:t>
            </w:r>
          </w:p>
        </w:tc>
        <w:tc>
          <w:tcPr>
            <w:tcW w:w="18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or more API tasks, ALB, RDS Multi-AZ, EFS, CloudFront and WAF</w:t>
            </w:r>
          </w:p>
        </w:tc>
        <w:tc>
          <w:tcPr>
            <w:tcW w:w="18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or more replicas across zones, zone-redundant Flexible Server</w:t>
            </w:r>
          </w:p>
        </w:tc>
        <w:tc>
          <w:tcPr>
            <w:tcW w:w="1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 API VMs, primary and standby PostgreSQL, redundant NFS</w:t>
            </w:r>
          </w:p>
        </w:tc>
        <w:tc>
          <w:tcPr>
            <w:tcW w:w="1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suitable: one API instance, volume attached to one instance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demo deployment of the repository (</w:t>
      </w:r>
      <w:r>
        <w:rPr>
          <w:rFonts w:eastAsia="Consolas" w:cs="Consolas" w:ascii="Consolas" w:hAnsi="Consolas"/>
          <w:color w:val="101820"/>
          <w:sz w:val="19"/>
        </w:rPr>
        <w:t>.github/workflows/deploy-frontend.yml</w:t>
      </w:r>
      <w:r>
        <w:rPr>
          <w:rFonts w:eastAsia="Segoe UI" w:cs="Segoe UI" w:ascii="Segoe UI" w:hAnsi="Segoe UI"/>
          <w:color w:val="101820"/>
          <w:sz w:val="21"/>
        </w:rPr>
        <w:t xml:space="preserve"> with </w:t>
      </w:r>
      <w:r>
        <w:rPr>
          <w:rFonts w:eastAsia="Consolas" w:cs="Consolas" w:ascii="Consolas" w:hAnsi="Consolas"/>
          <w:color w:val="101820"/>
          <w:sz w:val="19"/>
        </w:rPr>
        <w:t>deploy/ec2/deploy.sh</w:t>
      </w:r>
      <w:r>
        <w:rPr>
          <w:rFonts w:eastAsia="Segoe UI" w:cs="Segoe UI" w:ascii="Segoe UI" w:hAnsi="Segoe UI"/>
          <w:color w:val="101820"/>
          <w:sz w:val="21"/>
        </w:rPr>
        <w:t>: one PM2 process on port 8001 behind nginx) is a single instance without redundancy. It is fit for Dev, SIT or a demonstration, not for Production.</w:t>
      </w:r>
    </w:p>
    <w:p>
      <w:pPr>
        <w:pStyle w:val="Heading2"/>
        <w:rPr/>
      </w:pPr>
      <w:bookmarkStart w:id="15" w:name="__RefHeading___Toc8427_1149970192"/>
      <w:bookmarkEnd w:id="15"/>
      <w:r>
        <w:rPr>
          <w:rFonts w:eastAsia="Segoe UI" w:cs="Segoe UI"/>
          <w:b/>
          <w:color w:val="0F4761"/>
          <w:sz w:val="26"/>
        </w:rPr>
        <w:t>4.5  Sizing and hosting cost</w:t>
      </w:r>
    </w:p>
    <w:p>
      <w:pPr>
        <w:pStyle w:val="Normal"/>
        <w:spacing w:lineRule="auto" w:line="276" w:before="0" w:after="120"/>
        <w:rPr/>
      </w:pPr>
      <w:r>
        <w:rPr>
          <w:rFonts w:eastAsia="Segoe UI" w:cs="Segoe UI" w:ascii="Segoe UI" w:hAnsi="Segoe UI"/>
          <w:color w:val="101820"/>
          <w:sz w:val="21"/>
        </w:rPr>
        <w:t>Production sizes are those of the Architecture document and must be confirmed with the UAT performance test. Sizes for the other environments are those priced in the commercials and pricing workbook.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1"/>
        <w:gridCol w:w="1170"/>
        <w:gridCol w:w="1178"/>
        <w:gridCol w:w="2291"/>
        <w:gridCol w:w="1134"/>
        <w:gridCol w:w="2300"/>
      </w:tblGrid>
      <w:tr>
        <w:trPr>
          <w:tblHeader w:val="true"/>
        </w:trPr>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Item</w:t>
            </w:r>
          </w:p>
        </w:tc>
        <w:tc>
          <w:tcPr>
            <w:tcW w:w="1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Dev (every size)</w:t>
            </w:r>
          </w:p>
        </w:tc>
        <w:tc>
          <w:tcPr>
            <w:tcW w:w="11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UAT (small, medium)</w:t>
            </w:r>
          </w:p>
        </w:tc>
        <w:tc>
          <w:tcPr>
            <w:tcW w:w="2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SIT and UAT (large)</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w:t>
            </w:r>
          </w:p>
        </w:tc>
        <w:tc>
          <w:tcPr>
            <w:tcW w:w="23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Production small / medium / large</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API</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x 1 vCPU, 2 GB</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x 1 vCPU, 2 GB</w:t>
            </w:r>
          </w:p>
        </w:tc>
        <w:tc>
          <w:tcPr>
            <w:tcW w:w="2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x 1 vCPU, 2 GB (2 instances in UAT for the performance test)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Production</w:t>
            </w:r>
          </w:p>
        </w:tc>
        <w:tc>
          <w:tcPr>
            <w:tcW w:w="2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x 1 vCPU, 2 GB / 2 x 1 vCPU, 2 GB / 3 to 4 x 2 vCPU, 4 GB</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Database</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vCPU, 4 GB, no standby</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vCPU, 4 GB, no standby</w:t>
            </w:r>
          </w:p>
        </w:tc>
        <w:tc>
          <w:tcPr>
            <w:tcW w:w="2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vCPU, 8 GB, no standby</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Production</w:t>
            </w:r>
          </w:p>
        </w:tc>
        <w:tc>
          <w:tcPr>
            <w:tcW w:w="2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vCPU, 4 GB / 2 vCPU, 8 GB / 4 vCPU, 16 GB, each with standby</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Database storage</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GB</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 GB</w:t>
            </w:r>
          </w:p>
        </w:tc>
        <w:tc>
          <w:tcPr>
            <w:tcW w:w="2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100 GB</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Production</w:t>
            </w:r>
          </w:p>
        </w:tc>
        <w:tc>
          <w:tcPr>
            <w:tcW w:w="2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 / 100 / 250 GB</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 store</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GB</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GB</w:t>
            </w:r>
          </w:p>
        </w:tc>
        <w:tc>
          <w:tcPr>
            <w:tcW w:w="2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GB</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As Production</w:t>
            </w:r>
          </w:p>
        </w:tc>
        <w:tc>
          <w:tcPr>
            <w:tcW w:w="2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 60 / 150 GB (year 1)</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Backups</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14 days</w:t>
            </w:r>
          </w:p>
        </w:tc>
        <w:tc>
          <w:tcPr>
            <w:tcW w:w="2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7 days (SIT), 14 days (UAT)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while it exists</w:t>
            </w:r>
          </w:p>
        </w:tc>
        <w:tc>
          <w:tcPr>
            <w:tcW w:w="23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Daily with PITR, 35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Hosting price per month when iorta TechNXT hosts on AWS (Singapore), PHP excluding VAT, from the pricing workbook (Infrastructure sheet) and the Rate Card. Azure and the local partner are priced on the same sheet.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037"/>
        <w:gridCol w:w="1038"/>
        <w:gridCol w:w="1036"/>
        <w:gridCol w:w="1361"/>
        <w:gridCol w:w="1631"/>
        <w:gridCol w:w="1777"/>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size</w:t>
            </w:r>
          </w:p>
        </w:tc>
        <w:tc>
          <w:tcPr>
            <w:tcW w:w="1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Dev</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SIT</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UAT</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Production</w:t>
            </w:r>
          </w:p>
        </w:tc>
        <w:tc>
          <w:tcPr>
            <w:tcW w:w="16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Standing set per month</w:t>
            </w:r>
          </w:p>
        </w:tc>
        <w:tc>
          <w:tcPr>
            <w:tcW w:w="17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 per month of use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17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17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17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1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199,000.00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c>
          <w:tcPr>
            <w:tcW w:w="17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169,000.00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Pre-Prod runs at production size and is billed only for the months it exists. The workbook budgets 2 months around go-live and 1 month for each major release. Hosting fees do not increase yearly; provider price changes are passed through at cost (Hosting and Infrastructure Services Agreement).</w:t>
      </w:r>
    </w:p>
    <w:p>
      <w:pPr>
        <w:pStyle w:val="Heading2"/>
        <w:rPr/>
      </w:pPr>
      <w:bookmarkStart w:id="16" w:name="__RefHeading___Toc8429_1149970192"/>
      <w:bookmarkEnd w:id="16"/>
      <w:r>
        <w:rPr>
          <w:rFonts w:eastAsia="Segoe UI" w:cs="Segoe UI"/>
          <w:b/>
          <w:color w:val="0F4761"/>
          <w:sz w:val="26"/>
        </w:rPr>
        <w:t>4.6  Access control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2538"/>
        <w:gridCol w:w="2457"/>
        <w:gridCol w:w="2538"/>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5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Application sign-in</w:t>
            </w:r>
          </w:p>
        </w:tc>
        <w:tc>
          <w:tcPr>
            <w:tcW w:w="2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Server, database and secret store</w:t>
            </w:r>
          </w:p>
        </w:tc>
        <w:tc>
          <w:tcPr>
            <w:tcW w:w="25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developers and consultants; demo users and UAT personas</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developers</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client data, ever</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(large broker)</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iorta TechNXT consultants and testers; UAT personas created by </w:t>
            </w:r>
            <w:r>
              <w:rPr>
                <w:rFonts w:eastAsia="Consolas" w:cs="Consolas" w:ascii="Consolas" w:hAnsi="Consolas"/>
                <w:color w:val="101820"/>
                <w:kern w:val="0"/>
                <w:sz w:val="16"/>
                <w:szCs w:val="24"/>
                <w:lang w:val="en-US" w:eastAsia="ja-JP" w:bidi="ar-SA"/>
              </w:rPr>
              <w:t>uat-scenario.js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uat.maria.sales</w:t>
            </w:r>
            <w:r>
              <w:rPr>
                <w:rFonts w:eastAsia="Segoe UI" w:cs="Segoe UI" w:ascii="Segoe UI" w:hAnsi="Segoe UI"/>
                <w:color w:val="101820"/>
                <w:kern w:val="0"/>
                <w:sz w:val="18"/>
                <w:szCs w:val="24"/>
                <w:lang w:val="en-US" w:eastAsia="ja-JP" w:bidi="ar-SA"/>
              </w:rPr>
              <w:t xml:space="preserve"> and others)</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 only during mock loads; named accounts only</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and trainers with one role each; iorta TechNXT consultants</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list approved by the broker PM; two-step verification for system-admin, accounting and accounting-manager</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people of the rehearsal and smoke test</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database access logged</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controls as Production; masked first if anyone without production access uses it</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users with their role; System Administrator role held by few people</w:t>
            </w:r>
          </w:p>
        </w:tc>
        <w:tc>
          <w:tcPr>
            <w:tcW w:w="2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under ticket and change approval</w:t>
            </w:r>
          </w:p>
        </w:tc>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5; Production Support change rules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Rules for every environment:</w:t>
      </w:r>
    </w:p>
    <w:p>
      <w:pPr>
        <w:pStyle w:val="Normal"/>
        <w:numPr>
          <w:ilvl w:val="0"/>
          <w:numId w:val="1"/>
        </w:numPr>
        <w:spacing w:before="0" w:after="60"/>
        <w:rPr/>
      </w:pPr>
      <w:r>
        <w:rPr>
          <w:rFonts w:eastAsia="Segoe UI" w:cs="Segoe UI" w:ascii="Segoe UI" w:hAnsi="Segoe UI"/>
          <w:color w:val="101820"/>
          <w:sz w:val="21"/>
        </w:rPr>
        <w:t xml:space="preserve">Each environment has its own secrets. </w:t>
      </w:r>
      <w:r>
        <w:rPr>
          <w:rFonts w:eastAsia="Consolas" w:cs="Consolas" w:ascii="Consolas" w:hAnsi="Consolas"/>
          <w:color w:val="101820"/>
          <w:sz w:val="19"/>
        </w:rPr>
        <w:t>JWT_SECRET</w:t>
      </w:r>
      <w:r>
        <w:rPr>
          <w:rFonts w:eastAsia="Segoe UI" w:cs="Segoe UI" w:ascii="Segoe UI" w:hAnsi="Segoe UI"/>
          <w:color w:val="101820"/>
          <w:sz w:val="21"/>
        </w:rPr>
        <w:t xml:space="preserve"> and </w:t>
      </w:r>
      <w:r>
        <w:rPr>
          <w:rFonts w:eastAsia="Consolas" w:cs="Consolas" w:ascii="Consolas" w:hAnsi="Consolas"/>
          <w:color w:val="101820"/>
          <w:sz w:val="19"/>
        </w:rPr>
        <w:t>DATA_ENCRYPTION_KEY</w:t>
      </w:r>
      <w:r>
        <w:rPr>
          <w:rFonts w:eastAsia="Segoe UI" w:cs="Segoe UI" w:ascii="Segoe UI" w:hAnsi="Segoe UI"/>
          <w:color w:val="101820"/>
          <w:sz w:val="21"/>
        </w:rPr>
        <w:t xml:space="preserve"> differ between environments and are never reused from development (Architecture document).</w:t>
      </w:r>
    </w:p>
    <w:p>
      <w:pPr>
        <w:pStyle w:val="Normal"/>
        <w:numPr>
          <w:ilvl w:val="0"/>
          <w:numId w:val="1"/>
        </w:numPr>
        <w:spacing w:before="0" w:after="60"/>
        <w:rPr/>
      </w:pPr>
      <w:r>
        <w:rPr>
          <w:rFonts w:eastAsia="Segoe UI" w:cs="Segoe UI" w:ascii="Segoe UI" w:hAnsi="Segoe UI"/>
          <w:color w:val="101820"/>
          <w:sz w:val="21"/>
        </w:rPr>
        <w:t xml:space="preserve">The </w:t>
      </w:r>
      <w:r>
        <w:rPr>
          <w:rFonts w:eastAsia="Consolas" w:cs="Consolas" w:ascii="Consolas" w:hAnsi="Consolas"/>
          <w:color w:val="101820"/>
          <w:sz w:val="19"/>
        </w:rPr>
        <w:t>BrokerVerse</w:t>
      </w:r>
      <w:r>
        <w:rPr>
          <w:rFonts w:eastAsia="Segoe UI" w:cs="Segoe UI" w:ascii="Segoe UI" w:hAnsi="Segoe UI"/>
          <w:color w:val="101820"/>
          <w:sz w:val="21"/>
        </w:rPr>
        <w:t xml:space="preserve"> administrator password from </w:t>
      </w:r>
      <w:r>
        <w:rPr>
          <w:rFonts w:eastAsia="Consolas" w:cs="Consolas" w:ascii="Consolas" w:hAnsi="Consolas"/>
          <w:color w:val="101820"/>
          <w:sz w:val="19"/>
        </w:rPr>
        <w:t>ADMIN_PASSWORD</w:t>
      </w:r>
      <w:r>
        <w:rPr>
          <w:rFonts w:eastAsia="Segoe UI" w:cs="Segoe UI" w:ascii="Segoe UI" w:hAnsi="Segoe UI"/>
          <w:color w:val="101820"/>
          <w:sz w:val="21"/>
        </w:rPr>
        <w:t xml:space="preserve"> is changed at the first sign-in, in every environment.</w:t>
      </w:r>
    </w:p>
    <w:p>
      <w:pPr>
        <w:pStyle w:val="Normal"/>
        <w:numPr>
          <w:ilvl w:val="0"/>
          <w:numId w:val="1"/>
        </w:numPr>
        <w:spacing w:before="0" w:after="60"/>
        <w:rPr/>
      </w:pPr>
      <w:r>
        <w:rPr>
          <w:rFonts w:eastAsia="Segoe UI" w:cs="Segoe UI" w:ascii="Segoe UI" w:hAnsi="Segoe UI"/>
          <w:color w:val="101820"/>
          <w:sz w:val="21"/>
        </w:rPr>
        <w:t>The permissions of the Go-Live Data Workbench (</w:t>
      </w:r>
      <w:r>
        <w:rPr>
          <w:rFonts w:eastAsia="Consolas" w:cs="Consolas" w:ascii="Consolas" w:hAnsi="Consolas"/>
          <w:color w:val="101820"/>
          <w:sz w:val="19"/>
        </w:rPr>
        <w:t>read:data-load</w:t>
      </w:r>
      <w:r>
        <w:rPr>
          <w:rFonts w:eastAsia="Segoe UI" w:cs="Segoe UI" w:ascii="Segoe UI" w:hAnsi="Segoe UI"/>
          <w:color w:val="101820"/>
          <w:sz w:val="21"/>
        </w:rPr>
        <w:t xml:space="preserve">, </w:t>
      </w:r>
      <w:r>
        <w:rPr>
          <w:rFonts w:eastAsia="Consolas" w:cs="Consolas" w:ascii="Consolas" w:hAnsi="Consolas"/>
          <w:color w:val="101820"/>
          <w:sz w:val="19"/>
        </w:rPr>
        <w:t>write:data-load</w:t>
      </w:r>
      <w:r>
        <w:rPr>
          <w:rFonts w:eastAsia="Segoe UI" w:cs="Segoe UI" w:ascii="Segoe UI" w:hAnsi="Segoe UI"/>
          <w:color w:val="101820"/>
          <w:sz w:val="21"/>
        </w:rPr>
        <w:t>) are held by the System Administrator only.</w:t>
      </w:r>
    </w:p>
    <w:p>
      <w:pPr>
        <w:pStyle w:val="Normal"/>
        <w:numPr>
          <w:ilvl w:val="0"/>
          <w:numId w:val="1"/>
        </w:numPr>
        <w:spacing w:before="0" w:after="60"/>
        <w:rPr/>
      </w:pPr>
      <w:r>
        <w:rPr>
          <w:rFonts w:eastAsia="Segoe UI" w:cs="Segoe UI" w:ascii="Segoe UI" w:hAnsi="Segoe UI"/>
          <w:color w:val="101820"/>
          <w:sz w:val="21"/>
        </w:rPr>
        <w:t>E-mail: in Dev, SIT and UAT, either keep "Send e-mails" off (Master &gt; Configuration &gt; Notification) or give test clients and insurers internal addresses, so that no client or insurer receives a test document.</w:t>
      </w:r>
    </w:p>
    <w:p>
      <w:pPr>
        <w:pStyle w:val="Normal"/>
        <w:numPr>
          <w:ilvl w:val="0"/>
          <w:numId w:val="1"/>
        </w:numPr>
        <w:spacing w:before="0" w:after="60"/>
        <w:rPr/>
      </w:pPr>
      <w:r>
        <w:rPr>
          <w:rFonts w:eastAsia="Segoe UI" w:cs="Segoe UI" w:ascii="Segoe UI" w:hAnsi="Segoe UI"/>
          <w:color w:val="101820"/>
          <w:sz w:val="21"/>
        </w:rPr>
        <w:t>Payment gateways use sandbox credentials outside Production.</w:t>
      </w:r>
    </w:p>
    <w:p>
      <w:pPr>
        <w:pStyle w:val="Heading2"/>
        <w:rPr/>
      </w:pPr>
      <w:bookmarkStart w:id="17" w:name="__RefHeading___Toc8431_1149970192"/>
      <w:bookmarkEnd w:id="17"/>
      <w:r>
        <w:rPr>
          <w:rFonts w:eastAsia="Segoe UI" w:cs="Segoe UI"/>
          <w:b/>
          <w:color w:val="0F4761"/>
          <w:sz w:val="26"/>
        </w:rPr>
        <w:t>4.7  Refresh policy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3726"/>
        <w:gridCol w:w="3809"/>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3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 refreshed</w:t>
            </w:r>
          </w:p>
        </w:tc>
        <w:tc>
          <w:tcPr>
            <w:tcW w:w="38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w:t>
            </w:r>
          </w:p>
        </w:tc>
        <w:tc>
          <w:tcPr>
            <w:tcW w:w="3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will</w:t>
            </w:r>
          </w:p>
        </w:tc>
        <w:tc>
          <w:tcPr>
            <w:tcW w:w="3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db:reset</w:t>
            </w:r>
            <w:r>
              <w:rPr>
                <w:rFonts w:eastAsia="Segoe UI" w:cs="Segoe UI" w:ascii="Segoe UI" w:hAnsi="Segoe UI"/>
                <w:color w:val="101820"/>
                <w:kern w:val="0"/>
                <w:sz w:val="18"/>
                <w:szCs w:val="24"/>
                <w:lang w:val="en-US" w:eastAsia="ja-JP" w:bidi="ar-SA"/>
              </w:rPr>
              <w:t xml:space="preserve"> (drops and recreates the schema, then seeds). Never run outside Dev</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(large broker)</w:t>
            </w:r>
          </w:p>
        </w:tc>
        <w:tc>
          <w:tcPr>
            <w:tcW w:w="3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each SIT cycle and before each mock load</w:t>
            </w:r>
          </w:p>
        </w:tc>
        <w:tc>
          <w:tcPr>
            <w:tcW w:w="3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reset (</w:t>
            </w:r>
            <w:r>
              <w:rPr>
                <w:rFonts w:eastAsia="Consolas" w:cs="Consolas" w:ascii="Consolas" w:hAnsi="Consolas"/>
                <w:color w:val="101820"/>
                <w:kern w:val="0"/>
                <w:sz w:val="16"/>
                <w:szCs w:val="24"/>
                <w:lang w:val="en-US" w:eastAsia="ja-JP" w:bidi="ar-SA"/>
              </w:rPr>
              <w:t>CONFIRM_RESET=yes npm run reset:transactions -- --execute</w:t>
            </w:r>
            <w:r>
              <w:rPr>
                <w:rFonts w:eastAsia="Segoe UI" w:cs="Segoe UI" w:ascii="Segoe UI" w:hAnsi="Segoe UI"/>
                <w:color w:val="101820"/>
                <w:kern w:val="0"/>
                <w:sz w:val="18"/>
                <w:szCs w:val="24"/>
                <w:lang w:val="en-US" w:eastAsia="ja-JP" w:bidi="ar-SA"/>
              </w:rPr>
              <w:t>): masters and configuration stay, business records and opening balances go; then the next mock load. A full rebuild restores the configured baseline snapshot instead</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3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each UAT cycle; before each mock load</w:t>
            </w:r>
          </w:p>
        </w:tc>
        <w:tc>
          <w:tcPr>
            <w:tcW w:w="3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promoted from Dev (small, medium) or SIT (large) with the configuration workbook; transaction reset; migration workbook of the latest extract</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c>
          <w:tcPr>
            <w:tcW w:w="3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refreshed in place</w:t>
            </w:r>
          </w:p>
        </w:tc>
        <w:tc>
          <w:tcPr>
            <w:tcW w:w="3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from a Production backup for the go-live rehearsal or a major release, then removed (section 4.3)</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w:t>
            </w:r>
          </w:p>
        </w:tc>
        <w:tc>
          <w:tcPr>
            <w:tcW w:w="3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Never refreshed</w:t>
            </w:r>
          </w:p>
        </w:tc>
        <w:tc>
          <w:tcPr>
            <w:tcW w:w="3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releases, CAB-approved configuration changes and live business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transaction reset refuses to run while </w:t>
      </w:r>
      <w:r>
        <w:rPr>
          <w:rFonts w:eastAsia="Consolas" w:cs="Consolas" w:ascii="Consolas" w:hAnsi="Consolas"/>
          <w:color w:val="101820"/>
          <w:sz w:val="19"/>
        </w:rPr>
        <w:t>golive.locked</w:t>
      </w:r>
      <w:r>
        <w:rPr>
          <w:rFonts w:eastAsia="Segoe UI" w:cs="Segoe UI" w:ascii="Segoe UI" w:hAnsi="Segoe UI"/>
          <w:color w:val="101820"/>
          <w:sz w:val="21"/>
        </w:rPr>
        <w:t xml:space="preserve"> is on. Lower environments keep the lock off. Each refresh is recorded in the environment sheet with the date, the source and the person who ran it.</w:t>
      </w:r>
    </w:p>
    <w:p>
      <w:pPr>
        <w:pStyle w:val="Heading2"/>
        <w:rPr/>
      </w:pPr>
      <w:bookmarkStart w:id="18" w:name="__RefHeading___Toc8433_1149970192"/>
      <w:bookmarkEnd w:id="18"/>
      <w:r>
        <w:rPr>
          <w:rFonts w:eastAsia="Segoe UI" w:cs="Segoe UI"/>
          <w:b/>
          <w:color w:val="0F4761"/>
          <w:sz w:val="26"/>
        </w:rPr>
        <w:t>4.8  Pre-Prod: what must be identical to Production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Must be identical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tag, backend image or commit, front-end build of the same tag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rehearsal proves the exact code that goes live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 22, PostgreSQL 16 (same minor version), database time zone Asia/Manila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cut-off times and scheduled jobs use the database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Topology: number of API instances, load balancer, file store type, CDN rules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not cached, single-page fallback)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Behaviour of the scheduler lock, file links and health checks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Non-secret environment values: </w:t>
            </w:r>
            <w:r>
              <w:rPr>
                <w:rFonts w:eastAsia="Consolas" w:cs="Consolas" w:ascii="Consolas" w:hAnsi="Consolas"/>
                <w:color w:val="101820"/>
                <w:kern w:val="0"/>
                <w:sz w:val="16"/>
                <w:szCs w:val="24"/>
                <w:lang w:val="en-US" w:eastAsia="ja-JP" w:bidi="ar-SA"/>
              </w:rPr>
              <w:t>NODE_ENV=production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SCHEDULER_ENABLED</w:t>
            </w:r>
            <w:r>
              <w:rPr>
                <w:rFonts w:eastAsia="Segoe UI" w:cs="Segoe UI" w:ascii="Segoe UI" w:hAnsi="Segoe UI"/>
                <w:color w:val="101820"/>
                <w:kern w:val="0"/>
                <w:sz w:val="18"/>
                <w:szCs w:val="24"/>
                <w:lang w:val="en-US" w:eastAsia="ja-JP" w:bidi="ar-SA"/>
              </w:rPr>
              <w:t xml:space="preserve">, upload and import limits, token lifetimes, </w:t>
            </w:r>
            <w:r>
              <w:rPr>
                <w:rFonts w:eastAsia="Consolas" w:cs="Consolas" w:ascii="Consolas" w:hAnsi="Consolas"/>
                <w:color w:val="101820"/>
                <w:kern w:val="0"/>
                <w:sz w:val="16"/>
                <w:szCs w:val="24"/>
                <w:lang w:val="en-US" w:eastAsia="ja-JP" w:bidi="ar-SA"/>
              </w:rPr>
              <w:t>LOG_LEVEL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production start-up check runs; limits behave the same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everything in the configuration workbook and every on-screen item of section 6.3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smoke test and rehearsal run on the production set-up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series (prefix, pattern, reset rule)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Numbers look as they will in Production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list of the database (</w:t>
            </w:r>
            <w:r>
              <w:rPr>
                <w:rFonts w:eastAsia="Consolas" w:cs="Consolas" w:ascii="Consolas" w:hAnsi="Consolas"/>
                <w:color w:val="101820"/>
                <w:kern w:val="0"/>
                <w:sz w:val="16"/>
                <w:szCs w:val="24"/>
                <w:lang w:val="en-US" w:eastAsia="ja-JP" w:bidi="ar-SA"/>
              </w:rPr>
              <w:t>schema_migrations</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pending migration on either side before a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What differs, by design: secrets (</w:t>
      </w:r>
      <w:r>
        <w:rPr>
          <w:rFonts w:eastAsia="Consolas" w:cs="Consolas" w:ascii="Consolas" w:hAnsi="Consolas"/>
          <w:color w:val="101820"/>
          <w:sz w:val="19"/>
        </w:rPr>
        <w:t>JWT_SECRET</w:t>
      </w:r>
      <w:r>
        <w:rPr>
          <w:rFonts w:eastAsia="Segoe UI" w:cs="Segoe UI" w:ascii="Segoe UI" w:hAnsi="Segoe UI"/>
          <w:color w:val="101820"/>
          <w:sz w:val="21"/>
        </w:rPr>
        <w:t xml:space="preserve">, </w:t>
      </w:r>
      <w:r>
        <w:rPr>
          <w:rFonts w:eastAsia="Consolas" w:cs="Consolas" w:ascii="Consolas" w:hAnsi="Consolas"/>
          <w:color w:val="101820"/>
          <w:sz w:val="19"/>
        </w:rPr>
        <w:t>DATA_ENCRYPTION_KEY</w:t>
      </w:r>
      <w:r>
        <w:rPr>
          <w:rFonts w:eastAsia="Segoe UI" w:cs="Segoe UI" w:ascii="Segoe UI" w:hAnsi="Segoe UI"/>
          <w:color w:val="101820"/>
          <w:sz w:val="21"/>
        </w:rPr>
        <w:t xml:space="preserve">, </w:t>
      </w:r>
      <w:r>
        <w:rPr>
          <w:rFonts w:eastAsia="Consolas" w:cs="Consolas" w:ascii="Consolas" w:hAnsi="Consolas"/>
          <w:color w:val="101820"/>
          <w:sz w:val="19"/>
        </w:rPr>
        <w:t>ADMIN_PASSWORD</w:t>
      </w:r>
      <w:r>
        <w:rPr>
          <w:rFonts w:eastAsia="Segoe UI" w:cs="Segoe UI" w:ascii="Segoe UI" w:hAnsi="Segoe UI"/>
          <w:color w:val="101820"/>
          <w:sz w:val="21"/>
        </w:rPr>
        <w:t>, database password, SMTP password), addresses (</w:t>
      </w:r>
      <w:r>
        <w:rPr>
          <w:rFonts w:eastAsia="Consolas" w:cs="Consolas" w:ascii="Consolas" w:hAnsi="Consolas"/>
          <w:color w:val="101820"/>
          <w:sz w:val="19"/>
        </w:rPr>
        <w:t>CORS_ORIGINS</w:t>
      </w:r>
      <w:r>
        <w:rPr>
          <w:rFonts w:eastAsia="Segoe UI" w:cs="Segoe UI" w:ascii="Segoe UI" w:hAnsi="Segoe UI"/>
          <w:color w:val="101820"/>
          <w:sz w:val="21"/>
        </w:rPr>
        <w:t xml:space="preserve">, </w:t>
      </w:r>
      <w:r>
        <w:rPr>
          <w:rFonts w:eastAsia="Consolas" w:cs="Consolas" w:ascii="Consolas" w:hAnsi="Consolas"/>
          <w:color w:val="101820"/>
          <w:sz w:val="19"/>
        </w:rPr>
        <w:t>PUBLIC_BASE_URL</w:t>
      </w:r>
      <w:r>
        <w:rPr>
          <w:rFonts w:eastAsia="Segoe UI" w:cs="Segoe UI" w:ascii="Segoe UI" w:hAnsi="Segoe UI"/>
          <w:color w:val="101820"/>
          <w:sz w:val="21"/>
        </w:rPr>
        <w:t xml:space="preserve">, </w:t>
      </w:r>
      <w:r>
        <w:rPr>
          <w:rFonts w:eastAsia="Consolas" w:cs="Consolas" w:ascii="Consolas" w:hAnsi="Consolas"/>
          <w:color w:val="101820"/>
          <w:sz w:val="19"/>
        </w:rPr>
        <w:t>REACT_APP_BASE_URL</w:t>
      </w:r>
      <w:r>
        <w:rPr>
          <w:rFonts w:eastAsia="Segoe UI" w:cs="Segoe UI" w:ascii="Segoe UI" w:hAnsi="Segoe UI"/>
          <w:color w:val="101820"/>
          <w:sz w:val="21"/>
        </w:rPr>
        <w:t xml:space="preserve">), payment gateway credentials (sandbox), e-mail recipients, and </w:t>
      </w:r>
      <w:r>
        <w:rPr>
          <w:rFonts w:eastAsia="Consolas" w:cs="Consolas" w:ascii="Consolas" w:hAnsi="Consolas"/>
          <w:color w:val="101820"/>
          <w:sz w:val="19"/>
        </w:rPr>
        <w:t>APP_ENVIRONMENT</w:t>
      </w:r>
      <w:r>
        <w:rPr>
          <w:rFonts w:eastAsia="Segoe UI" w:cs="Segoe UI" w:ascii="Segoe UI" w:hAnsi="Segoe UI"/>
          <w:color w:val="101820"/>
          <w:sz w:val="21"/>
        </w:rPr>
        <w:t>, which names the environment on the Instructions sheet of an exported workbook.</w:t>
      </w:r>
    </w:p>
    <w:p>
      <w:pPr>
        <w:pStyle w:val="Normal"/>
        <w:spacing w:lineRule="auto" w:line="276" w:before="0" w:after="120"/>
        <w:rPr/>
      </w:pPr>
      <w:r>
        <w:rPr>
          <w:rFonts w:eastAsia="Segoe UI" w:cs="Segoe UI" w:ascii="Segoe UI" w:hAnsi="Segoe UI"/>
          <w:color w:val="101820"/>
          <w:sz w:val="21"/>
        </w:rPr>
        <w:t>Pre-Prod is always restored from a Production backup. At each restore:</w:t>
      </w:r>
    </w:p>
    <w:p>
      <w:pPr>
        <w:pStyle w:val="Normal"/>
        <w:numPr>
          <w:ilvl w:val="0"/>
          <w:numId w:val="1"/>
        </w:numPr>
        <w:spacing w:before="0" w:after="60"/>
        <w:rPr/>
      </w:pPr>
      <w:r>
        <w:rPr>
          <w:rFonts w:eastAsia="Segoe UI" w:cs="Segoe UI" w:ascii="Segoe UI" w:hAnsi="Segoe UI"/>
          <w:color w:val="101820"/>
          <w:sz w:val="21"/>
        </w:rPr>
        <w:t xml:space="preserve">Users with two-step verification sign in only if Pre-Prod uses the same </w:t>
      </w:r>
      <w:r>
        <w:rPr>
          <w:rFonts w:eastAsia="Consolas" w:cs="Consolas" w:ascii="Consolas" w:hAnsi="Consolas"/>
          <w:color w:val="101820"/>
          <w:sz w:val="19"/>
        </w:rPr>
        <w:t>DATA_ENCRYPTION_KEY</w:t>
      </w:r>
      <w:r>
        <w:rPr>
          <w:rFonts w:eastAsia="Segoe UI" w:cs="Segoe UI" w:ascii="Segoe UI" w:hAnsi="Segoe UI"/>
          <w:color w:val="101820"/>
          <w:sz w:val="21"/>
        </w:rPr>
        <w:t xml:space="preserve"> as the backup. </w:t>
      </w:r>
      <w:r>
        <w:rPr>
          <w:rFonts w:eastAsia="Segoe UI" w:cs="Segoe UI" w:ascii="Segoe UI" w:hAnsi="Segoe UI"/>
          <w:b/>
          <w:color w:val="101820"/>
          <w:sz w:val="21"/>
        </w:rPr>
        <w:t>Recommended:</w:t>
      </w:r>
      <w:r>
        <w:rPr>
          <w:rFonts w:eastAsia="Segoe UI" w:cs="Segoe UI" w:ascii="Segoe UI" w:hAnsi="Segoe UI"/>
          <w:color w:val="101820"/>
          <w:sz w:val="21"/>
        </w:rPr>
        <w:t xml:space="preserve"> keep Pre-Prod's own key and have an administrator turn two-step verification off for the rehearsal users, who enrol again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The restored database has </w:t>
      </w:r>
      <w:r>
        <w:rPr>
          <w:rFonts w:eastAsia="Consolas" w:cs="Consolas" w:ascii="Consolas" w:hAnsi="Consolas"/>
          <w:color w:val="101820"/>
          <w:sz w:val="19"/>
        </w:rPr>
        <w:t>golive.locked</w:t>
      </w:r>
      <w:r>
        <w:rPr>
          <w:rFonts w:eastAsia="Segoe UI" w:cs="Segoe UI" w:ascii="Segoe UI" w:hAnsi="Segoe UI"/>
          <w:color w:val="101820"/>
          <w:sz w:val="21"/>
        </w:rPr>
        <w:t xml:space="preserve"> on. A System Administrator switches it off in Master &gt; Configuration &gt; Go-live before any reset; the change is recorded in the audit trail. This is never done in Production.</w:t>
      </w:r>
    </w:p>
    <w:p>
      <w:pPr>
        <w:pStyle w:val="Normal"/>
        <w:numPr>
          <w:ilvl w:val="0"/>
          <w:numId w:val="1"/>
        </w:numPr>
        <w:spacing w:before="0" w:after="60"/>
        <w:rPr/>
      </w:pPr>
      <w:r>
        <w:rPr>
          <w:rFonts w:eastAsia="Segoe UI" w:cs="Segoe UI" w:ascii="Segoe UI" w:hAnsi="Segoe UI"/>
          <w:color w:val="101820"/>
          <w:sz w:val="21"/>
        </w:rPr>
        <w:t>Turn "Send e-mails" off and stop the scheduler (</w:t>
      </w:r>
      <w:r>
        <w:rPr>
          <w:rFonts w:eastAsia="Consolas" w:cs="Consolas" w:ascii="Consolas" w:hAnsi="Consolas"/>
          <w:color w:val="101820"/>
          <w:sz w:val="19"/>
        </w:rPr>
        <w:t>SCHEDULER_ENABLED=false</w:t>
      </w:r>
      <w:r>
        <w:rPr>
          <w:rFonts w:eastAsia="Segoe UI" w:cs="Segoe UI" w:ascii="Segoe UI" w:hAnsi="Segoe UI"/>
          <w:color w:val="101820"/>
          <w:sz w:val="21"/>
        </w:rPr>
        <w:t>) before the first start, so that reminders and renewal notices are not sent to real clients from Pre-Prod.</w:t>
      </w:r>
    </w:p>
    <w:p>
      <w:pPr>
        <w:pStyle w:val="Normal"/>
        <w:numPr>
          <w:ilvl w:val="0"/>
          <w:numId w:val="1"/>
        </w:numPr>
        <w:spacing w:before="0" w:after="60"/>
        <w:rPr/>
      </w:pPr>
      <w:r>
        <w:rPr>
          <w:rFonts w:eastAsia="Segoe UI" w:cs="Segoe UI" w:ascii="Segoe UI" w:hAnsi="Segoe UI"/>
          <w:color w:val="101820"/>
          <w:sz w:val="21"/>
        </w:rPr>
        <w:t>Mask the copy with the data masking tool before anyone without production access signs in (section 4.9).</w:t>
      </w:r>
    </w:p>
    <w:p>
      <w:pPr>
        <w:pStyle w:val="Heading2"/>
        <w:rPr/>
      </w:pPr>
      <w:bookmarkStart w:id="19" w:name="__RefHeading___Toc8435_1149970192"/>
      <w:bookmarkEnd w:id="19"/>
      <w:r>
        <w:rPr>
          <w:rFonts w:eastAsia="Segoe UI" w:cs="Segoe UI"/>
          <w:b/>
          <w:color w:val="0F4761"/>
          <w:sz w:val="26"/>
        </w:rPr>
        <w:t>4.9  Data masking</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a data masking tool is required. It masks the personal data of a restored production copy before it is used by people who have no access to Production, for example a Pre-Prod copy for a release rehearsal with testers, or a training copy.</w:t>
      </w:r>
    </w:p>
    <w:p>
      <w:pPr>
        <w:pStyle w:val="Normal"/>
        <w:shd w:val="clear" w:color="auto" w:fill="EAF2FB"/>
        <w:spacing w:before="0" w:after="160"/>
        <w:ind w:left="170"/>
        <w:rPr/>
      </w:pPr>
      <w:r>
        <w:rPr>
          <w:rFonts w:eastAsia="Segoe UI" w:cs="Segoe UI" w:ascii="Segoe UI" w:hAnsi="Segoe UI"/>
          <w:b/>
          <w:color w:val="101820"/>
          <w:sz w:val="20"/>
        </w:rPr>
        <w:t>Section to be completed with the release.</w:t>
      </w:r>
      <w:r>
        <w:rPr>
          <w:rFonts w:eastAsia="Segoe UI" w:cs="Segoe UI" w:ascii="Segoe UI" w:hAnsi="Segoe UI"/>
          <w:color w:val="101820"/>
          <w:sz w:val="20"/>
        </w:rPr>
        <w:t xml:space="preserve"> The tool, what it masks, how it is run and how a masked copy is checked are described when the tool is released.</w:t>
      </w:r>
      <w:r>
        <w:br w:type="page"/>
      </w:r>
    </w:p>
    <w:p>
      <w:pPr>
        <w:pStyle w:val="Heading1"/>
        <w:rPr/>
      </w:pPr>
      <w:bookmarkStart w:id="20" w:name="__RefHeading___Toc8437_1149970192"/>
      <w:bookmarkEnd w:id="20"/>
      <w:r>
        <w:rPr>
          <w:rFonts w:eastAsia="Segoe UI" w:cs="Segoe UI" w:ascii="Segoe UI" w:hAnsi="Segoe UI"/>
          <w:b/>
          <w:color w:val="0F4761"/>
          <w:sz w:val="32"/>
        </w:rPr>
        <w:t>5.  Moving code and database scripts</w:t>
      </w:r>
    </w:p>
    <w:p>
      <w:pPr>
        <w:pStyle w:val="Heading2"/>
        <w:rPr/>
      </w:pPr>
      <w:bookmarkStart w:id="21" w:name="__RefHeading___Toc8439_1149970192"/>
      <w:bookmarkEnd w:id="21"/>
      <w:r>
        <w:rPr>
          <w:rFonts w:eastAsia="Segoe UI" w:cs="Segoe UI"/>
          <w:b/>
          <w:color w:val="0F4761"/>
          <w:sz w:val="26"/>
        </w:rPr>
        <w:t>5.1  Git branching and release tagging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37"/>
        <w:gridCol w:w="5476"/>
      </w:tblGrid>
      <w:tr>
        <w:trPr>
          <w:tblHeader w:val="true"/>
        </w:trPr>
        <w:tc>
          <w:tcPr>
            <w:tcW w:w="3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Branch or tag</w:t>
            </w:r>
          </w:p>
        </w:tc>
        <w:tc>
          <w:tcPr>
            <w:tcW w:w="54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brokerverse-platform</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branch of BrokerVerse OOTB; what is deployed comes from here</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feature/&lt;ticket&gt;-&lt;short-name&gt;</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Recommended</w:t>
            </w:r>
            <w:r>
              <w:rPr>
                <w:rFonts w:eastAsia="Segoe UI" w:cs="Segoe UI" w:ascii="Segoe UI" w:hAnsi="Segoe UI"/>
                <w:color w:val="101820"/>
                <w:kern w:val="0"/>
                <w:sz w:val="18"/>
                <w:szCs w:val="24"/>
                <w:lang w:val="en-US" w:eastAsia="ja-JP" w:bidi="ar-SA"/>
              </w:rPr>
              <w:t xml:space="preserve"> for changes; merged by pull request</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fix/&lt;ticket&gt;-&lt;short-name&gt;</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Fixes, started from the release tag running in Production (Production Support, code fix standards)</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vX.Y.Z</w:t>
            </w:r>
            <w:r>
              <w:rPr>
                <w:rFonts w:eastAsia="Segoe UI" w:cs="Segoe UI" w:ascii="Segoe UI" w:hAnsi="Segoe UI"/>
                <w:color w:val="101820"/>
                <w:kern w:val="0"/>
                <w:sz w:val="18"/>
                <w:szCs w:val="24"/>
                <w:lang w:val="en-US" w:eastAsia="ja-JP" w:bidi="ar-SA"/>
              </w:rPr>
              <w:t xml:space="preserve"> tag</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One per release: patch (1.0.z), minor (1.y.0), major (x.0.0), as in the Release Notes Template. </w:t>
            </w:r>
            <w:r>
              <w:rPr>
                <w:rFonts w:eastAsia="Consolas" w:cs="Consolas" w:ascii="Consolas" w:hAnsi="Consolas"/>
                <w:color w:val="101820"/>
                <w:kern w:val="0"/>
                <w:sz w:val="16"/>
                <w:szCs w:val="24"/>
                <w:lang w:val="en-US" w:eastAsia="ja-JP" w:bidi="ar-SA"/>
              </w:rPr>
              <w:t>v1.0.0</w:t>
            </w:r>
            <w:r>
              <w:rPr>
                <w:rFonts w:eastAsia="Segoe UI" w:cs="Segoe UI" w:ascii="Segoe UI" w:hAnsi="Segoe UI"/>
                <w:color w:val="101820"/>
                <w:kern w:val="0"/>
                <w:sz w:val="18"/>
                <w:szCs w:val="24"/>
                <w:lang w:val="en-US" w:eastAsia="ja-JP" w:bidi="ar-SA"/>
              </w:rPr>
              <w:t xml:space="preserve"> is the first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Every change reaches </w:t>
      </w:r>
      <w:r>
        <w:rPr>
          <w:rFonts w:eastAsia="Consolas" w:cs="Consolas" w:ascii="Consolas" w:hAnsi="Consolas"/>
          <w:color w:val="101820"/>
          <w:sz w:val="19"/>
        </w:rPr>
        <w:t>brokerverse-platform</w:t>
      </w:r>
      <w:r>
        <w:rPr>
          <w:rFonts w:eastAsia="Segoe UI" w:cs="Segoe UI" w:ascii="Segoe UI" w:hAnsi="Segoe UI"/>
          <w:color w:val="101820"/>
          <w:sz w:val="21"/>
        </w:rPr>
        <w:t xml:space="preserve"> through a pull request reviewed by an engineer other than the author. A fix merged to the release branch is also merged into the main development line so it is not lost in the next release.</w:t>
      </w:r>
    </w:p>
    <w:p>
      <w:pPr>
        <w:pStyle w:val="Heading2"/>
        <w:rPr/>
      </w:pPr>
      <w:bookmarkStart w:id="22" w:name="__RefHeading___Toc8441_1149970192"/>
      <w:bookmarkEnd w:id="22"/>
      <w:r>
        <w:rPr>
          <w:rFonts w:eastAsia="Segoe UI" w:cs="Segoe UI"/>
          <w:b/>
          <w:color w:val="0F4761"/>
          <w:sz w:val="26"/>
        </w:rPr>
        <w:t>5.2  What CI checks</w:t>
      </w:r>
    </w:p>
    <w:p>
      <w:pPr>
        <w:pStyle w:val="Normal"/>
        <w:spacing w:lineRule="auto" w:line="276" w:before="0" w:after="120"/>
        <w:rPr/>
      </w:pPr>
      <w:r>
        <w:rPr>
          <w:rFonts w:eastAsia="Consolas" w:cs="Consolas" w:ascii="Consolas" w:hAnsi="Consolas"/>
          <w:color w:val="101820"/>
          <w:sz w:val="19"/>
        </w:rPr>
        <w:t>.github/workflows/ci.yml</w:t>
      </w:r>
      <w:r>
        <w:rPr>
          <w:rFonts w:eastAsia="Segoe UI" w:cs="Segoe UI" w:ascii="Segoe UI" w:hAnsi="Segoe UI"/>
          <w:color w:val="101820"/>
          <w:sz w:val="21"/>
        </w:rPr>
        <w:t xml:space="preserve"> runs on every pull request: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8"/>
        <w:gridCol w:w="7725"/>
      </w:tblGrid>
      <w:tr>
        <w:trPr>
          <w:tblHeader w:val="true"/>
        </w:trPr>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w:t>
            </w:r>
          </w:p>
        </w:tc>
        <w:tc>
          <w:tcPr>
            <w:tcW w:w="7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(ESLint on </w:t>
            </w:r>
            <w:r>
              <w:rPr>
                <w:rFonts w:eastAsia="Consolas" w:cs="Consolas" w:ascii="Consolas" w:hAnsi="Consolas"/>
                <w:color w:val="101820"/>
                <w:kern w:val="0"/>
                <w:sz w:val="16"/>
                <w:szCs w:val="24"/>
                <w:lang w:val="en-US" w:eastAsia="ja-JP" w:bidi="ar-SA"/>
              </w:rPr>
              <w:t>src</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test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scripts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(vitest) against a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service database </w:t>
            </w:r>
            <w:r>
              <w:rPr>
                <w:rFonts w:eastAsia="Consolas" w:cs="Consolas" w:ascii="Consolas" w:hAnsi="Consolas"/>
                <w:color w:val="101820"/>
                <w:kern w:val="0"/>
                <w:sz w:val="16"/>
                <w:szCs w:val="24"/>
                <w:lang w:val="en-US" w:eastAsia="ja-JP" w:bidi="ar-SA"/>
              </w:rPr>
              <w:t>brokerverse_test</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t>
            </w:r>
            <w:r>
              <w:rPr>
                <w:rFonts w:eastAsia="Consolas" w:cs="Consolas" w:ascii="Consolas" w:hAnsi="Consolas"/>
                <w:color w:val="101820"/>
                <w:kern w:val="0"/>
                <w:sz w:val="16"/>
                <w:szCs w:val="24"/>
                <w:lang w:val="en-US" w:eastAsia="ja-JP" w:bidi="ar-SA"/>
              </w:rPr>
              <w:t>npm ci --legacy-peer-deps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npx craco test --watchAll=false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backend tests build the schema from the migrations, so a migration that does not apply on an empty database fails CI.</w:t>
      </w:r>
    </w:p>
    <w:p>
      <w:pPr>
        <w:pStyle w:val="Normal"/>
        <w:spacing w:lineRule="auto" w:line="276" w:before="0" w:after="120"/>
        <w:rPr/>
      </w:pPr>
      <w:r>
        <w:rPr>
          <w:rFonts w:eastAsia="Consolas" w:cs="Consolas" w:ascii="Consolas" w:hAnsi="Consolas"/>
          <w:color w:val="101820"/>
          <w:sz w:val="19"/>
        </w:rPr>
        <w:t>.github/workflows/deploy-frontend.yml</w:t>
      </w:r>
      <w:r>
        <w:rPr>
          <w:rFonts w:eastAsia="Segoe UI" w:cs="Segoe UI" w:ascii="Segoe UI" w:hAnsi="Segoe UI"/>
          <w:color w:val="101820"/>
          <w:sz w:val="21"/>
        </w:rPr>
        <w:t xml:space="preserve"> (CI/CD Pipeline) runs on a push to </w:t>
      </w:r>
      <w:r>
        <w:rPr>
          <w:rFonts w:eastAsia="Consolas" w:cs="Consolas" w:ascii="Consolas" w:hAnsi="Consolas"/>
          <w:color w:val="101820"/>
          <w:sz w:val="19"/>
        </w:rPr>
        <w:t>brokerverse-platform</w:t>
      </w:r>
      <w:r>
        <w:rPr>
          <w:rFonts w:eastAsia="Segoe UI" w:cs="Segoe UI" w:ascii="Segoe UI" w:hAnsi="Segoe UI"/>
          <w:color w:val="101820"/>
          <w:sz w:val="21"/>
        </w:rPr>
        <w:t xml:space="preserve">: it builds the front end, publishes it to S3 and CloudFront, and reloads the API on the EC2 host through </w:t>
      </w:r>
      <w:r>
        <w:rPr>
          <w:rFonts w:eastAsia="Consolas" w:cs="Consolas" w:ascii="Consolas" w:hAnsi="Consolas"/>
          <w:color w:val="101820"/>
          <w:sz w:val="19"/>
        </w:rPr>
        <w:t>deploy/ec2/deploy.sh</w:t>
      </w:r>
      <w:r>
        <w:rPr>
          <w:rFonts w:eastAsia="Segoe UI" w:cs="Segoe UI" w:ascii="Segoe UI" w:hAnsi="Segoe UI"/>
          <w:color w:val="101820"/>
          <w:sz w:val="21"/>
        </w:rPr>
        <w:t xml:space="preserve">, which waits for </w:t>
      </w:r>
      <w:r>
        <w:rPr>
          <w:rFonts w:eastAsia="Consolas" w:cs="Consolas" w:ascii="Consolas" w:hAnsi="Consolas"/>
          <w:color w:val="101820"/>
          <w:sz w:val="19"/>
        </w:rPr>
        <w:t>/api/health</w:t>
      </w:r>
      <w:r>
        <w:rPr>
          <w:rFonts w:eastAsia="Segoe UI" w:cs="Segoe UI" w:ascii="Segoe UI" w:hAnsi="Segoe UI"/>
          <w:color w:val="101820"/>
          <w:sz w:val="21"/>
        </w:rPr>
        <w:t xml:space="preserve"> to answer 200. Its lint and test jobs are commented out, so a push deploys without tests, and it serves one environment.</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the manual deployment is replaced by a release pipeline built to current practice: changes arrive on </w:t>
      </w:r>
      <w:r>
        <w:rPr>
          <w:rFonts w:eastAsia="Consolas" w:cs="Consolas" w:ascii="Consolas" w:hAnsi="Consolas"/>
          <w:color w:val="101820"/>
          <w:sz w:val="19"/>
        </w:rPr>
        <w:t>brokerverse-platform</w:t>
      </w:r>
      <w:r>
        <w:rPr>
          <w:rFonts w:eastAsia="Segoe UI" w:cs="Segoe UI" w:ascii="Segoe UI" w:hAnsi="Segoe UI"/>
          <w:color w:val="101820"/>
          <w:sz w:val="21"/>
        </w:rPr>
        <w:t xml:space="preserve"> only by pull request with a green CI run, the tests run before any deployment, and each environment has its own deployment step started from a tag, with an approval gate per environment. Until the pipeline is released, each deployment to SIT, UAT, Pre-Prod and Production is started by the DevOps lead from the approved tag.</w:t>
      </w:r>
    </w:p>
    <w:p>
      <w:pPr>
        <w:pStyle w:val="Heading2"/>
        <w:rPr/>
      </w:pPr>
      <w:bookmarkStart w:id="23" w:name="__RefHeading___Toc8443_1149970192"/>
      <w:bookmarkEnd w:id="23"/>
      <w:r>
        <w:rPr>
          <w:rFonts w:eastAsia="Segoe UI" w:cs="Segoe UI"/>
          <w:b/>
          <w:color w:val="0F4761"/>
          <w:sz w:val="26"/>
        </w:rPr>
        <w:t>5.3  Release pipeline and approval gates</w:t>
      </w:r>
    </w:p>
    <w:p>
      <w:pPr>
        <w:pStyle w:val="Normal"/>
        <w:shd w:val="clear" w:color="auto" w:fill="EAF2FB"/>
        <w:spacing w:before="0" w:after="160"/>
        <w:ind w:left="170"/>
        <w:rPr/>
      </w:pPr>
      <w:r>
        <w:rPr>
          <w:rFonts w:eastAsia="Segoe UI" w:cs="Segoe UI" w:ascii="Segoe UI" w:hAnsi="Segoe UI"/>
          <w:b/>
          <w:color w:val="101820"/>
          <w:sz w:val="20"/>
        </w:rPr>
        <w:t>Section to be completed with the release.</w:t>
      </w:r>
      <w:r>
        <w:rPr>
          <w:rFonts w:eastAsia="Segoe UI" w:cs="Segoe UI" w:ascii="Segoe UI" w:hAnsi="Segoe UI"/>
          <w:color w:val="101820"/>
          <w:sz w:val="20"/>
        </w:rPr>
        <w:t xml:space="preserve"> The pipeline stages, the approval gate and approver of each environment, and how a deployment is recorded are described when the pipeline is released.</w:t>
      </w:r>
    </w:p>
    <w:p>
      <w:pPr>
        <w:pStyle w:val="Heading2"/>
        <w:rPr/>
      </w:pPr>
      <w:bookmarkStart w:id="24" w:name="__RefHeading___Toc8445_1149970192"/>
      <w:bookmarkEnd w:id="24"/>
      <w:r>
        <w:rPr>
          <w:rFonts w:eastAsia="Segoe UI" w:cs="Segoe UI"/>
          <w:b/>
          <w:color w:val="0F4761"/>
          <w:sz w:val="26"/>
        </w:rPr>
        <w:t>5.4  Build once, promote the same artefact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3808"/>
        <w:gridCol w:w="3783"/>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38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Built</w:t>
            </w:r>
          </w:p>
        </w:tc>
        <w:tc>
          <w:tcPr>
            <w:tcW w:w="37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Promoted</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w:t>
            </w:r>
          </w:p>
        </w:tc>
        <w:tc>
          <w:tcPr>
            <w:tcW w:w="3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Recommended:</w:t>
            </w:r>
            <w:r>
              <w:rPr>
                <w:rFonts w:eastAsia="Segoe UI" w:cs="Segoe UI" w:ascii="Segoe UI" w:hAnsi="Segoe UI"/>
                <w:color w:val="101820"/>
                <w:kern w:val="0"/>
                <w:sz w:val="18"/>
                <w:szCs w:val="24"/>
                <w:lang w:val="en-US" w:eastAsia="ja-JP" w:bidi="ar-SA"/>
              </w:rPr>
              <w:t xml:space="preserve"> one container image from </w:t>
            </w:r>
            <w:r>
              <w:rPr>
                <w:rFonts w:eastAsia="Consolas" w:cs="Consolas" w:ascii="Consolas" w:hAnsi="Consolas"/>
                <w:color w:val="101820"/>
                <w:kern w:val="0"/>
                <w:sz w:val="16"/>
                <w:szCs w:val="24"/>
                <w:lang w:val="en-US" w:eastAsia="ja-JP" w:bidi="ar-SA"/>
              </w:rPr>
              <w:t>backend/Dockerfile</w:t>
            </w:r>
            <w:r>
              <w:rPr>
                <w:rFonts w:eastAsia="Segoe UI" w:cs="Segoe UI" w:ascii="Segoe UI" w:hAnsi="Segoe UI"/>
                <w:color w:val="101820"/>
                <w:kern w:val="0"/>
                <w:sz w:val="18"/>
                <w:szCs w:val="24"/>
                <w:lang w:val="en-US" w:eastAsia="ja-JP" w:bidi="ar-SA"/>
              </w:rPr>
              <w:t xml:space="preserve"> per tag, with </w:t>
            </w:r>
            <w:r>
              <w:rPr>
                <w:rFonts w:eastAsia="Consolas" w:cs="Consolas" w:ascii="Consolas" w:hAnsi="Consolas"/>
                <w:color w:val="101820"/>
                <w:kern w:val="0"/>
                <w:sz w:val="16"/>
                <w:szCs w:val="24"/>
                <w:lang w:val="en-US" w:eastAsia="ja-JP" w:bidi="ar-SA"/>
              </w:rPr>
              <w:t>GIT_COMMIT</w:t>
            </w:r>
            <w:r>
              <w:rPr>
                <w:rFonts w:eastAsia="Segoe UI" w:cs="Segoe UI" w:ascii="Segoe UI" w:hAnsi="Segoe UI"/>
                <w:color w:val="101820"/>
                <w:kern w:val="0"/>
                <w:sz w:val="18"/>
                <w:szCs w:val="24"/>
                <w:lang w:val="en-US" w:eastAsia="ja-JP" w:bidi="ar-SA"/>
              </w:rPr>
              <w:t xml:space="preserve"> set so </w:t>
            </w: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xml:space="preserve"> shows it; pushed to the registry (ECR, Azure Container Registry or the partner registry)</w:t>
            </w:r>
          </w:p>
        </w:tc>
        <w:tc>
          <w:tcPr>
            <w:tcW w:w="37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same image digest is deployed to SIT, UAT, Pre-Prod and Production. Only environment variables differ</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w:t>
            </w:r>
          </w:p>
        </w:tc>
        <w:tc>
          <w:tcPr>
            <w:tcW w:w="3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Today: </w:t>
            </w:r>
            <w:r>
              <w:rPr>
                <w:rFonts w:eastAsia="Consolas" w:cs="Consolas" w:ascii="Consolas" w:hAnsi="Consolas"/>
                <w:color w:val="101820"/>
                <w:kern w:val="0"/>
                <w:sz w:val="16"/>
                <w:szCs w:val="24"/>
                <w:lang w:val="en-US" w:eastAsia="ja-JP" w:bidi="ar-SA"/>
              </w:rPr>
              <w:t>npm run build</w:t>
            </w:r>
            <w:r>
              <w:rPr>
                <w:rFonts w:eastAsia="Segoe UI" w:cs="Segoe UI" w:ascii="Segoe UI" w:hAnsi="Segoe UI"/>
                <w:color w:val="101820"/>
                <w:kern w:val="0"/>
                <w:sz w:val="18"/>
                <w:szCs w:val="24"/>
                <w:lang w:val="en-US" w:eastAsia="ja-JP" w:bidi="ar-SA"/>
              </w:rPr>
              <w:t xml:space="preserve"> of the same tag, with </w:t>
            </w:r>
            <w:r>
              <w:rPr>
                <w:rFonts w:eastAsia="Consolas" w:cs="Consolas" w:ascii="Consolas" w:hAnsi="Consolas"/>
                <w:color w:val="101820"/>
                <w:kern w:val="0"/>
                <w:sz w:val="16"/>
                <w:szCs w:val="24"/>
                <w:lang w:val="en-US" w:eastAsia="ja-JP" w:bidi="ar-SA"/>
              </w:rPr>
              <w:t>REACT_APP_BASE_URL</w:t>
            </w:r>
            <w:r>
              <w:rPr>
                <w:rFonts w:eastAsia="Segoe UI" w:cs="Segoe UI" w:ascii="Segoe UI" w:hAnsi="Segoe UI"/>
                <w:color w:val="101820"/>
                <w:kern w:val="0"/>
                <w:sz w:val="18"/>
                <w:szCs w:val="24"/>
                <w:lang w:val="en-US" w:eastAsia="ja-JP" w:bidi="ar-SA"/>
              </w:rPr>
              <w:t xml:space="preserve"> compiled into the build, so each environment gets its own build of the same commit. </w:t>
            </w:r>
            <w:r>
              <w:rPr>
                <w:rFonts w:eastAsia="Segoe UI" w:cs="Segoe UI" w:ascii="Segoe UI" w:hAnsi="Segoe UI"/>
                <w:b/>
                <w:color w:val="101820"/>
                <w:kern w:val="0"/>
                <w:sz w:val="18"/>
                <w:szCs w:val="24"/>
                <w:lang w:val="en-US" w:eastAsia="ja-JP" w:bidi="ar-SA"/>
              </w:rPr>
              <w:t>Decision:</w:t>
            </w:r>
            <w:r>
              <w:rPr>
                <w:rFonts w:eastAsia="Segoe UI" w:cs="Segoe UI" w:ascii="Segoe UI" w:hAnsi="Segoe UI"/>
                <w:color w:val="101820"/>
                <w:kern w:val="0"/>
                <w:sz w:val="18"/>
                <w:szCs w:val="24"/>
                <w:lang w:val="en-US" w:eastAsia="ja-JP" w:bidi="ar-SA"/>
              </w:rPr>
              <w:t xml:space="preserve"> one build per tag, with the environment values read at runtime (section 5.5)</w:t>
            </w:r>
          </w:p>
        </w:tc>
        <w:tc>
          <w:tcPr>
            <w:tcW w:w="37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Today: rebuilt per environment from the tag, the build log and file hashes kept with the release record. After the change: the same build promoted to every environment</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3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files inside the image (</w:t>
            </w:r>
            <w:r>
              <w:rPr>
                <w:rFonts w:eastAsia="Consolas" w:cs="Consolas" w:ascii="Consolas" w:hAnsi="Consolas"/>
                <w:color w:val="101820"/>
                <w:kern w:val="0"/>
                <w:sz w:val="16"/>
                <w:szCs w:val="24"/>
                <w:lang w:val="en-US" w:eastAsia="ja-JP" w:bidi="ar-SA"/>
              </w:rPr>
              <w:t>backend/src/db/migrations</w:t>
            </w:r>
            <w:r>
              <w:rPr>
                <w:rFonts w:eastAsia="Segoe UI" w:cs="Segoe UI" w:ascii="Segoe UI" w:hAnsi="Segoe UI"/>
                <w:color w:val="101820"/>
                <w:kern w:val="0"/>
                <w:sz w:val="18"/>
                <w:szCs w:val="24"/>
                <w:lang w:val="en-US" w:eastAsia="ja-JP" w:bidi="ar-SA"/>
              </w:rPr>
              <w:t>)</w:t>
            </w:r>
          </w:p>
        </w:tc>
        <w:tc>
          <w:tcPr>
            <w:tcW w:w="37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by the image itself on start (section 5.6)</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(chapter 6)</w:t>
            </w:r>
          </w:p>
        </w:tc>
        <w:tc>
          <w:tcPr>
            <w:tcW w:w="37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Downloaded from the source environment, loaded into the target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Today the EC2 script deploys a Git checkout (</w:t>
      </w:r>
      <w:r>
        <w:rPr>
          <w:rFonts w:eastAsia="Consolas" w:cs="Consolas" w:ascii="Consolas" w:hAnsi="Consolas"/>
          <w:color w:val="101820"/>
          <w:sz w:val="19"/>
        </w:rPr>
        <w:t>npm ci --omit=dev</w:t>
      </w:r>
      <w:r>
        <w:rPr>
          <w:rFonts w:eastAsia="Segoe UI" w:cs="Segoe UI" w:ascii="Segoe UI" w:hAnsi="Segoe UI"/>
          <w:color w:val="101820"/>
          <w:sz w:val="21"/>
        </w:rPr>
        <w:t>) rather than an image. Deploying a tag, not a branch head, gives the same result: every environment runs the same commit.</w:t>
      </w:r>
    </w:p>
    <w:p>
      <w:pPr>
        <w:pStyle w:val="Heading2"/>
        <w:rPr/>
      </w:pPr>
      <w:bookmarkStart w:id="25" w:name="__RefHeading___Toc8447_1149970192"/>
      <w:bookmarkEnd w:id="25"/>
      <w:r>
        <w:rPr>
          <w:rFonts w:eastAsia="Segoe UI" w:cs="Segoe UI"/>
          <w:b/>
          <w:color w:val="0F4761"/>
          <w:sz w:val="26"/>
        </w:rPr>
        <w:t>5.5  Front-end build and runtime configuration</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one front-end build is promoted through all environments, and the API address and the other environment values are read at runtime instead of being compiled into the build.</w:t>
      </w:r>
    </w:p>
    <w:p>
      <w:pPr>
        <w:pStyle w:val="Normal"/>
        <w:shd w:val="clear" w:color="auto" w:fill="EAF2FB"/>
        <w:spacing w:before="0" w:after="160"/>
        <w:ind w:left="170"/>
        <w:rPr/>
      </w:pPr>
      <w:r>
        <w:rPr>
          <w:rFonts w:eastAsia="Segoe UI" w:cs="Segoe UI" w:ascii="Segoe UI" w:hAnsi="Segoe UI"/>
          <w:b/>
          <w:color w:val="101820"/>
          <w:sz w:val="20"/>
        </w:rPr>
        <w:t>Section to be completed with the release.</w:t>
      </w:r>
      <w:r>
        <w:rPr>
          <w:rFonts w:eastAsia="Segoe UI" w:cs="Segoe UI" w:ascii="Segoe UI" w:hAnsi="Segoe UI"/>
          <w:color w:val="101820"/>
          <w:sz w:val="20"/>
        </w:rPr>
        <w:t xml:space="preserve"> How the runtime values are supplied in each environment, and how the build is checked before promotion, are described when the change is released.</w:t>
      </w:r>
    </w:p>
    <w:p>
      <w:pPr>
        <w:pStyle w:val="Heading2"/>
        <w:rPr/>
      </w:pPr>
      <w:bookmarkStart w:id="26" w:name="__RefHeading___Toc8449_1149970192"/>
      <w:bookmarkEnd w:id="26"/>
      <w:r>
        <w:rPr>
          <w:rFonts w:eastAsia="Segoe UI" w:cs="Segoe UI"/>
          <w:b/>
          <w:color w:val="0F4761"/>
          <w:sz w:val="26"/>
        </w:rPr>
        <w:t>5.6  Schema migrations</w:t>
      </w:r>
    </w:p>
    <w:p>
      <w:pPr>
        <w:pStyle w:val="Normal"/>
        <w:numPr>
          <w:ilvl w:val="0"/>
          <w:numId w:val="1"/>
        </w:numPr>
        <w:spacing w:before="0" w:after="60"/>
        <w:rPr/>
      </w:pPr>
      <w:r>
        <w:rPr>
          <w:rFonts w:eastAsia="Segoe UI" w:cs="Segoe UI" w:ascii="Segoe UI" w:hAnsi="Segoe UI"/>
          <w:color w:val="101820"/>
          <w:sz w:val="21"/>
        </w:rPr>
        <w:t xml:space="preserve">Migrations are numbered SQL files in </w:t>
      </w:r>
      <w:r>
        <w:rPr>
          <w:rFonts w:eastAsia="Consolas" w:cs="Consolas" w:ascii="Consolas" w:hAnsi="Consolas"/>
          <w:color w:val="101820"/>
          <w:sz w:val="19"/>
        </w:rPr>
        <w:t>backend/src/db/migrations</w:t>
      </w:r>
      <w:r>
        <w:rPr>
          <w:rFonts w:eastAsia="Segoe UI" w:cs="Segoe UI" w:ascii="Segoe UI" w:hAnsi="Segoe UI"/>
          <w:color w:val="101820"/>
          <w:sz w:val="21"/>
        </w:rPr>
        <w:t xml:space="preserve"> (98 files in </w:t>
      </w:r>
      <w:r>
        <w:rPr>
          <w:rFonts w:eastAsia="Consolas" w:cs="Consolas" w:ascii="Consolas" w:hAnsi="Consolas"/>
          <w:color w:val="101820"/>
          <w:sz w:val="19"/>
        </w:rPr>
        <w:t>v1.0.0</w:t>
      </w:r>
      <w:r>
        <w:rPr>
          <w:rFonts w:eastAsia="Segoe UI" w:cs="Segoe UI" w:ascii="Segoe UI" w:hAnsi="Segoe UI"/>
          <w:color w:val="101820"/>
          <w:sz w:val="21"/>
        </w:rPr>
        <w:t xml:space="preserve">, from </w:t>
      </w:r>
      <w:r>
        <w:rPr>
          <w:rFonts w:eastAsia="Consolas" w:cs="Consolas" w:ascii="Consolas" w:hAnsi="Consolas"/>
          <w:color w:val="101820"/>
          <w:sz w:val="19"/>
        </w:rPr>
        <w:t>0001_core.sql</w:t>
      </w:r>
      <w:r>
        <w:rPr>
          <w:rFonts w:eastAsia="Segoe UI" w:cs="Segoe UI" w:ascii="Segoe UI" w:hAnsi="Segoe UI"/>
          <w:color w:val="101820"/>
          <w:sz w:val="21"/>
        </w:rPr>
        <w:t xml:space="preserve"> to </w:t>
      </w:r>
      <w:r>
        <w:rPr>
          <w:rFonts w:eastAsia="Consolas" w:cs="Consolas" w:ascii="Consolas" w:hAnsi="Consolas"/>
          <w:color w:val="101820"/>
          <w:sz w:val="19"/>
        </w:rPr>
        <w:t>0245_user_profile_details.sql</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On every API start, </w:t>
      </w:r>
      <w:r>
        <w:rPr>
          <w:rFonts w:eastAsia="Consolas" w:cs="Consolas" w:ascii="Consolas" w:hAnsi="Consolas"/>
          <w:color w:val="101820"/>
          <w:sz w:val="19"/>
        </w:rPr>
        <w:t>backend/src/db/migrate.js</w:t>
      </w:r>
      <w:r>
        <w:rPr>
          <w:rFonts w:eastAsia="Segoe UI" w:cs="Segoe UI" w:ascii="Segoe UI" w:hAnsi="Segoe UI"/>
          <w:color w:val="101820"/>
          <w:sz w:val="21"/>
        </w:rPr>
        <w:t xml:space="preserve"> takes a PostgreSQL advisory lock (other instances wait up to 10 minutes, </w:t>
      </w:r>
      <w:r>
        <w:rPr>
          <w:rFonts w:eastAsia="Consolas" w:cs="Consolas" w:ascii="Consolas" w:hAnsi="Consolas"/>
          <w:color w:val="101820"/>
          <w:sz w:val="19"/>
        </w:rPr>
        <w:t>MIGRATION_LOCK_TIMEOUT_MS</w:t>
      </w:r>
      <w:r>
        <w:rPr>
          <w:rFonts w:eastAsia="Segoe UI" w:cs="Segoe UI" w:ascii="Segoe UI" w:hAnsi="Segoe UI"/>
          <w:color w:val="101820"/>
          <w:sz w:val="21"/>
        </w:rPr>
        <w:t xml:space="preserve">), applies each file not yet recorded in </w:t>
      </w:r>
      <w:r>
        <w:rPr>
          <w:rFonts w:eastAsia="Consolas" w:cs="Consolas" w:ascii="Consolas" w:hAnsi="Consolas"/>
          <w:color w:val="101820"/>
          <w:sz w:val="19"/>
        </w:rPr>
        <w:t>schema_migrations</w:t>
      </w:r>
      <w:r>
        <w:rPr>
          <w:rFonts w:eastAsia="Segoe UI" w:cs="Segoe UI" w:ascii="Segoe UI" w:hAnsi="Segoe UI"/>
          <w:color w:val="101820"/>
          <w:sz w:val="21"/>
        </w:rPr>
        <w:t xml:space="preserve"> in file-name order, each in its own transaction, and records it. A failing migration is rolled back and stops the start-up. </w:t>
      </w:r>
      <w:r>
        <w:rPr>
          <w:rFonts w:eastAsia="Consolas" w:cs="Consolas" w:ascii="Consolas" w:hAnsi="Consolas"/>
          <w:color w:val="101820"/>
          <w:sz w:val="19"/>
        </w:rPr>
        <w:t>/api/health</w:t>
      </w:r>
      <w:r>
        <w:rPr>
          <w:rFonts w:eastAsia="Segoe UI" w:cs="Segoe UI" w:ascii="Segoe UI" w:hAnsi="Segoe UI"/>
          <w:color w:val="101820"/>
          <w:sz w:val="21"/>
        </w:rPr>
        <w:t xml:space="preserve"> answers 503 until the migrations and the seed have finished.</w:t>
      </w:r>
    </w:p>
    <w:p>
      <w:pPr>
        <w:pStyle w:val="Normal"/>
        <w:numPr>
          <w:ilvl w:val="0"/>
          <w:numId w:val="1"/>
        </w:numPr>
        <w:spacing w:before="0" w:after="60"/>
        <w:rPr/>
      </w:pPr>
      <w:r>
        <w:rPr>
          <w:rFonts w:eastAsia="Segoe UI" w:cs="Segoe UI" w:ascii="Segoe UI" w:hAnsi="Segoe UI"/>
          <w:color w:val="101820"/>
          <w:sz w:val="21"/>
        </w:rPr>
        <w:t xml:space="preserve">By command: </w:t>
      </w:r>
      <w:r>
        <w:rPr>
          <w:rFonts w:eastAsia="Consolas" w:cs="Consolas" w:ascii="Consolas" w:hAnsi="Consolas"/>
          <w:color w:val="101820"/>
          <w:sz w:val="19"/>
        </w:rPr>
        <w:t>npm run migrate</w:t>
      </w:r>
      <w:r>
        <w:rPr>
          <w:rFonts w:eastAsia="Segoe UI" w:cs="Segoe UI" w:ascii="Segoe UI" w:hAnsi="Segoe UI"/>
          <w:color w:val="101820"/>
          <w:sz w:val="21"/>
        </w:rPr>
        <w:t xml:space="preserve"> applies the pending migrations without starting the API (same lock). </w:t>
      </w:r>
      <w:r>
        <w:rPr>
          <w:rFonts w:eastAsia="Consolas" w:cs="Consolas" w:ascii="Consolas" w:hAnsi="Consolas"/>
          <w:color w:val="101820"/>
          <w:sz w:val="19"/>
        </w:rPr>
        <w:t>GET /api/health</w:t>
      </w:r>
      <w:r>
        <w:rPr>
          <w:rFonts w:eastAsia="Segoe UI" w:cs="Segoe UI" w:ascii="Segoe UI" w:hAnsi="Segoe UI"/>
          <w:color w:val="101820"/>
          <w:sz w:val="21"/>
        </w:rPr>
        <w:t xml:space="preserve"> and </w:t>
      </w:r>
      <w:r>
        <w:rPr>
          <w:rFonts w:eastAsia="Consolas" w:cs="Consolas" w:ascii="Consolas" w:hAnsi="Consolas"/>
          <w:color w:val="101820"/>
          <w:sz w:val="19"/>
        </w:rPr>
        <w:t>GET /api/version</w:t>
      </w:r>
      <w:r>
        <w:rPr>
          <w:rFonts w:eastAsia="Segoe UI" w:cs="Segoe UI" w:ascii="Segoe UI" w:hAnsi="Segoe UI"/>
          <w:color w:val="101820"/>
          <w:sz w:val="21"/>
        </w:rPr>
        <w:t xml:space="preserve"> report </w:t>
      </w:r>
      <w:r>
        <w:rPr>
          <w:rFonts w:eastAsia="Consolas" w:cs="Consolas" w:ascii="Consolas" w:hAnsi="Consolas"/>
          <w:color w:val="101820"/>
          <w:sz w:val="19"/>
        </w:rPr>
        <w:t>pendingMigrations</w:t>
      </w:r>
      <w:r>
        <w:rPr>
          <w:rFonts w:eastAsia="Segoe UI" w:cs="Segoe UI" w:ascii="Segoe UI" w:hAnsi="Segoe UI"/>
          <w:color w:val="101820"/>
          <w:sz w:val="21"/>
        </w:rPr>
        <w:t>.</w:t>
      </w:r>
    </w:p>
    <w:p>
      <w:pPr>
        <w:pStyle w:val="Normal"/>
        <w:numPr>
          <w:ilvl w:val="0"/>
          <w:numId w:val="1"/>
        </w:numPr>
        <w:spacing w:before="0" w:after="60"/>
        <w:rPr/>
      </w:pPr>
      <w:r>
        <w:rPr>
          <w:rFonts w:eastAsia="Consolas" w:cs="Consolas" w:ascii="Consolas" w:hAnsi="Consolas"/>
          <w:color w:val="101820"/>
          <w:sz w:val="19"/>
        </w:rPr>
        <w:t>npm run db:reset</w:t>
      </w:r>
      <w:r>
        <w:rPr>
          <w:rFonts w:eastAsia="Segoe UI" w:cs="Segoe UI" w:ascii="Segoe UI" w:hAnsi="Segoe UI"/>
          <w:color w:val="101820"/>
          <w:sz w:val="21"/>
        </w:rPr>
        <w:t xml:space="preserve"> (</w:t>
      </w:r>
      <w:r>
        <w:rPr>
          <w:rFonts w:eastAsia="Consolas" w:cs="Consolas" w:ascii="Consolas" w:hAnsi="Consolas"/>
          <w:color w:val="101820"/>
          <w:sz w:val="19"/>
        </w:rPr>
        <w:t>migrate.js --reset</w:t>
      </w:r>
      <w:r>
        <w:rPr>
          <w:rFonts w:eastAsia="Segoe UI" w:cs="Segoe UI" w:ascii="Segoe UI" w:hAnsi="Segoe UI"/>
          <w:color w:val="101820"/>
          <w:sz w:val="21"/>
        </w:rPr>
        <w:t>) drops the whole schema. It is for Dev only.</w:t>
      </w:r>
    </w:p>
    <w:p>
      <w:pPr>
        <w:pStyle w:val="Normal"/>
        <w:spacing w:lineRule="auto" w:line="276" w:before="0" w:after="120"/>
        <w:rPr/>
      </w:pPr>
      <w:r>
        <w:rPr>
          <w:rFonts w:eastAsia="Segoe UI" w:cs="Segoe UI" w:ascii="Segoe UI" w:hAnsi="Segoe UI"/>
          <w:color w:val="101820"/>
          <w:sz w:val="21"/>
        </w:rPr>
        <w:t xml:space="preserve">Rules (project convention and </w:t>
      </w:r>
      <w:r>
        <w:rPr>
          <w:rFonts w:eastAsia="Segoe UI" w:cs="Segoe UI" w:ascii="Segoe UI" w:hAnsi="Segoe UI"/>
          <w:b/>
          <w:color w:val="101820"/>
          <w:sz w:val="21"/>
        </w:rPr>
        <w:t>Recommended</w:t>
      </w:r>
      <w:r>
        <w:rPr>
          <w:rFonts w:eastAsia="Segoe UI" w:cs="Segoe UI" w:ascii="Segoe UI" w:hAnsi="Segoe UI"/>
          <w:color w:val="101820"/>
          <w:sz w:val="21"/>
        </w:rPr>
        <w:t xml:space="preserve"> practice):</w:t>
      </w:r>
    </w:p>
    <w:p>
      <w:pPr>
        <w:pStyle w:val="Normal"/>
        <w:numPr>
          <w:ilvl w:val="0"/>
          <w:numId w:val="8"/>
        </w:numPr>
        <w:spacing w:before="0" w:after="60"/>
        <w:rPr/>
      </w:pPr>
      <w:r>
        <w:rPr>
          <w:rFonts w:eastAsia="Segoe UI" w:cs="Segoe UI" w:ascii="Segoe UI" w:hAnsi="Segoe UI"/>
          <w:color w:val="101820"/>
          <w:sz w:val="21"/>
        </w:rPr>
        <w:t>A migration file is never edited after it has left Dev. The runner identifies a migration by its file name only: an edited file is not run again where it was already applied, so environments would differ silently. A correction is a new migration with a higher number.</w:t>
      </w:r>
    </w:p>
    <w:p>
      <w:pPr>
        <w:pStyle w:val="Normal"/>
        <w:numPr>
          <w:ilvl w:val="0"/>
          <w:numId w:val="2"/>
        </w:numPr>
        <w:spacing w:before="0" w:after="60"/>
        <w:rPr/>
      </w:pPr>
      <w:r>
        <w:rPr>
          <w:rFonts w:eastAsia="Segoe UI" w:cs="Segoe UI" w:ascii="Segoe UI" w:hAnsi="Segoe UI"/>
          <w:color w:val="101820"/>
          <w:sz w:val="21"/>
        </w:rPr>
        <w:t>Forward only. Migrations add tables, columns and indexes; existing data is changed only by a reviewed migration or a data correction under change control. There are no down-migrations: the previous release runs on the newer schema.</w:t>
      </w:r>
    </w:p>
    <w:p>
      <w:pPr>
        <w:pStyle w:val="Normal"/>
        <w:numPr>
          <w:ilvl w:val="0"/>
          <w:numId w:val="2"/>
        </w:numPr>
        <w:spacing w:before="0" w:after="60"/>
        <w:rPr/>
      </w:pPr>
      <w:r>
        <w:rPr>
          <w:rFonts w:eastAsia="Segoe UI" w:cs="Segoe UI" w:ascii="Segoe UI" w:hAnsi="Segoe UI"/>
          <w:color w:val="101820"/>
          <w:sz w:val="21"/>
        </w:rPr>
        <w:t>Every migration runs in Dev, then SIT (large broker) and UAT, in that order, before it reaches Production. For a major release it also runs in Pre-Prod, the rehearsal on a copy of production data.</w:t>
      </w:r>
    </w:p>
    <w:p>
      <w:pPr>
        <w:pStyle w:val="Normal"/>
        <w:numPr>
          <w:ilvl w:val="0"/>
          <w:numId w:val="2"/>
        </w:numPr>
        <w:spacing w:before="0" w:after="60"/>
        <w:rPr/>
      </w:pPr>
      <w:r>
        <w:rPr>
          <w:rFonts w:eastAsia="Segoe UI" w:cs="Segoe UI" w:ascii="Segoe UI" w:hAnsi="Segoe UI"/>
          <w:color w:val="101820"/>
          <w:sz w:val="21"/>
        </w:rPr>
        <w:t xml:space="preserve">Before each Production deployment that contains a migration, take a manual database snapshot (the restore point), deploy one API instance first, wait for </w:t>
      </w:r>
      <w:r>
        <w:rPr>
          <w:rFonts w:eastAsia="Consolas" w:cs="Consolas" w:ascii="Consolas" w:hAnsi="Consolas"/>
          <w:color w:val="101820"/>
          <w:sz w:val="19"/>
        </w:rPr>
        <w:t>/api/health</w:t>
      </w:r>
      <w:r>
        <w:rPr>
          <w:rFonts w:eastAsia="Segoe UI" w:cs="Segoe UI" w:ascii="Segoe UI" w:hAnsi="Segoe UI"/>
          <w:color w:val="101820"/>
          <w:sz w:val="21"/>
        </w:rPr>
        <w:t xml:space="preserve"> ready with </w:t>
      </w:r>
      <w:r>
        <w:rPr>
          <w:rFonts w:eastAsia="Consolas" w:cs="Consolas" w:ascii="Consolas" w:hAnsi="Consolas"/>
          <w:color w:val="101820"/>
          <w:sz w:val="19"/>
        </w:rPr>
        <w:t>pendingMigrations: 0</w:t>
      </w:r>
      <w:r>
        <w:rPr>
          <w:rFonts w:eastAsia="Segoe UI" w:cs="Segoe UI" w:ascii="Segoe UI" w:hAnsi="Segoe UI"/>
          <w:color w:val="101820"/>
          <w:sz w:val="21"/>
        </w:rPr>
        <w:t>, then roll the other instances.</w:t>
      </w:r>
    </w:p>
    <w:p>
      <w:pPr>
        <w:pStyle w:val="Normal"/>
        <w:numPr>
          <w:ilvl w:val="0"/>
          <w:numId w:val="2"/>
        </w:numPr>
        <w:spacing w:before="0" w:after="60"/>
        <w:rPr/>
      </w:pPr>
      <w:r>
        <w:rPr>
          <w:rFonts w:eastAsia="Segoe UI" w:cs="Segoe UI" w:ascii="Segoe UI" w:hAnsi="Segoe UI"/>
          <w:color w:val="101820"/>
          <w:sz w:val="21"/>
        </w:rPr>
        <w:t xml:space="preserve">A new table must be classified in </w:t>
      </w:r>
      <w:r>
        <w:rPr>
          <w:rFonts w:eastAsia="Consolas" w:cs="Consolas" w:ascii="Consolas" w:hAnsi="Consolas"/>
          <w:color w:val="101820"/>
          <w:sz w:val="19"/>
        </w:rPr>
        <w:t>backend/scripts/lib/table-classification.js</w:t>
      </w:r>
      <w:r>
        <w:rPr>
          <w:rFonts w:eastAsia="Segoe UI" w:cs="Segoe UI" w:ascii="Segoe UI" w:hAnsi="Segoe UI"/>
          <w:color w:val="101820"/>
          <w:sz w:val="21"/>
        </w:rPr>
        <w:t xml:space="preserve"> (transaction, system, or master and configuration). A test fails otherwise, and the transaction reset refuses to run on a database with an unclassified table.</w:t>
      </w:r>
    </w:p>
    <w:p>
      <w:pPr>
        <w:pStyle w:val="Heading2"/>
        <w:rPr/>
      </w:pPr>
      <w:bookmarkStart w:id="27" w:name="__RefHeading___Toc8451_1149970192"/>
      <w:bookmarkEnd w:id="27"/>
      <w:r>
        <w:rPr>
          <w:rFonts w:eastAsia="Segoe UI" w:cs="Segoe UI"/>
          <w:b/>
          <w:color w:val="0F4761"/>
          <w:sz w:val="26"/>
        </w:rPr>
        <w:t>5.7  Reference seeds</w:t>
      </w:r>
    </w:p>
    <w:p>
      <w:pPr>
        <w:pStyle w:val="Normal"/>
        <w:spacing w:lineRule="auto" w:line="276" w:before="0" w:after="120"/>
        <w:rPr/>
      </w:pPr>
      <w:r>
        <w:rPr>
          <w:rFonts w:eastAsia="Consolas" w:cs="Consolas" w:ascii="Consolas" w:hAnsi="Consolas"/>
          <w:color w:val="101820"/>
          <w:sz w:val="19"/>
        </w:rPr>
        <w:t>backend/src/db/seed.js</w:t>
      </w:r>
      <w:r>
        <w:rPr>
          <w:rFonts w:eastAsia="Segoe UI" w:cs="Segoe UI" w:ascii="Segoe UI" w:hAnsi="Segoe UI"/>
          <w:color w:val="101820"/>
          <w:sz w:val="21"/>
        </w:rPr>
        <w:t xml:space="preserve"> runs after the migrations on every start, and by command with </w:t>
      </w:r>
      <w:r>
        <w:rPr>
          <w:rFonts w:eastAsia="Consolas" w:cs="Consolas" w:ascii="Consolas" w:hAnsi="Consolas"/>
          <w:color w:val="101820"/>
          <w:sz w:val="19"/>
        </w:rPr>
        <w:t>npm run seed</w:t>
      </w:r>
      <w:r>
        <w:rPr>
          <w:rFonts w:eastAsia="Segoe UI" w:cs="Segoe UI" w:ascii="Segoe UI" w:hAnsi="Segoe UI"/>
          <w:color w:val="101820"/>
          <w:sz w:val="21"/>
        </w:rPr>
        <w:t>. It is idempotent: rows are inserted by natural key or fixed id, existing rows and administrator edits are kept.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3489"/>
        <w:gridCol w:w="3489"/>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code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Roles, permissions and role grants; the </w:t>
            </w:r>
            <w:r>
              <w:rPr>
                <w:rFonts w:eastAsia="Consolas" w:cs="Consolas" w:ascii="Consolas" w:hAnsi="Consolas"/>
                <w:color w:val="101820"/>
                <w:kern w:val="0"/>
                <w:sz w:val="16"/>
                <w:szCs w:val="24"/>
                <w:lang w:val="en-US" w:eastAsia="ja-JP" w:bidi="ar-SA"/>
              </w:rPr>
              <w:t>BrokerVerse</w:t>
            </w:r>
            <w:r>
              <w:rPr>
                <w:rFonts w:eastAsia="Segoe UI" w:cs="Segoe UI" w:ascii="Segoe UI" w:hAnsi="Segoe UI"/>
                <w:color w:val="101820"/>
                <w:kern w:val="0"/>
                <w:sz w:val="18"/>
                <w:szCs w:val="24"/>
                <w:lang w:val="en-US" w:eastAsia="ja-JP" w:bidi="ar-SA"/>
              </w:rPr>
              <w:t xml:space="preserve"> administrator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Always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settings.json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jobs.json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keys of Master &gt; Configuration; scheduled jobs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Always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seeds/*.sql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data: geography, currencies, banks, insurers, products, covers, chart of accounts, product templates and motor tariff, report catalogue, security and direct-bill configuration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Always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seeds/sample/*.sql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leads, clients, policies, claims, users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Only with </w:t>
            </w:r>
            <w:r>
              <w:rPr>
                <w:rFonts w:eastAsia="Consolas" w:cs="Consolas" w:ascii="Consolas" w:hAnsi="Consolas"/>
                <w:color w:val="101820"/>
                <w:kern w:val="0"/>
                <w:sz w:val="16"/>
                <w:szCs w:val="24"/>
                <w:lang w:val="en-US" w:eastAsia="ja-JP" w:bidi="ar-SA"/>
              </w:rPr>
              <w:t>SEED_SAMPLE_DATA</w:t>
            </w:r>
            <w:r>
              <w:rPr>
                <w:rFonts w:eastAsia="Segoe UI" w:cs="Segoe UI" w:ascii="Segoe UI" w:hAnsi="Segoe UI"/>
                <w:color w:val="101820"/>
                <w:kern w:val="0"/>
                <w:sz w:val="18"/>
                <w:szCs w:val="24"/>
                <w:lang w:val="en-US" w:eastAsia="ja-JP" w:bidi="ar-SA"/>
              </w:rPr>
              <w:t xml:space="preserve"> on (default off with </w:t>
            </w:r>
            <w:r>
              <w:rPr>
                <w:rFonts w:eastAsia="Consolas" w:cs="Consolas" w:ascii="Consolas" w:hAnsi="Consolas"/>
                <w:color w:val="101820"/>
                <w:kern w:val="0"/>
                <w:sz w:val="16"/>
                <w:szCs w:val="24"/>
                <w:lang w:val="en-US" w:eastAsia="ja-JP" w:bidi="ar-SA"/>
              </w:rPr>
              <w:t>NODE_ENV=production</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A new setting has its code fallback equal to the seeded value; </w:t>
      </w:r>
      <w:r>
        <w:rPr>
          <w:rFonts w:eastAsia="Consolas" w:cs="Consolas" w:ascii="Consolas" w:hAnsi="Consolas"/>
          <w:color w:val="101820"/>
          <w:sz w:val="19"/>
        </w:rPr>
        <w:t>npm run check:settings</w:t>
      </w:r>
      <w:r>
        <w:rPr>
          <w:rFonts w:eastAsia="Segoe UI" w:cs="Segoe UI" w:ascii="Segoe UI" w:hAnsi="Segoe UI"/>
          <w:color w:val="101820"/>
          <w:sz w:val="21"/>
        </w:rPr>
        <w:t xml:space="preserve"> checks it. A database started with sample data by mistake is cleaned with </w:t>
      </w:r>
      <w:r>
        <w:rPr>
          <w:rFonts w:eastAsia="Consolas" w:cs="Consolas" w:ascii="Consolas" w:hAnsi="Consolas"/>
          <w:color w:val="101820"/>
          <w:sz w:val="19"/>
        </w:rPr>
        <w:t>npm run purge:sample</w:t>
      </w:r>
      <w:r>
        <w:rPr>
          <w:rFonts w:eastAsia="Segoe UI" w:cs="Segoe UI" w:ascii="Segoe UI" w:hAnsi="Segoe UI"/>
          <w:color w:val="101820"/>
          <w:sz w:val="21"/>
        </w:rPr>
        <w:t xml:space="preserve"> before real business is entered.</w:t>
      </w:r>
    </w:p>
    <w:p>
      <w:pPr>
        <w:pStyle w:val="Heading2"/>
        <w:rPr/>
      </w:pPr>
      <w:bookmarkStart w:id="28" w:name="__RefHeading___Toc8453_1149970192"/>
      <w:bookmarkEnd w:id="28"/>
      <w:r>
        <w:rPr>
          <w:rFonts w:eastAsia="Segoe UI" w:cs="Segoe UI"/>
          <w:b/>
          <w:color w:val="0F4761"/>
          <w:sz w:val="26"/>
        </w:rPr>
        <w:t>5.8  Environment variables and secrets</w:t>
      </w:r>
    </w:p>
    <w:p>
      <w:pPr>
        <w:pStyle w:val="Normal"/>
        <w:spacing w:lineRule="auto" w:line="276" w:before="0" w:after="120"/>
        <w:rPr/>
      </w:pPr>
      <w:r>
        <w:rPr>
          <w:rFonts w:eastAsia="Segoe UI" w:cs="Segoe UI" w:ascii="Segoe UI" w:hAnsi="Segoe UI"/>
          <w:color w:val="101820"/>
          <w:sz w:val="21"/>
        </w:rPr>
        <w:t xml:space="preserve">Secrets are never in the repository, a ticket or a chat: they live in the secret store of each environment (AWS Secrets Manager or SSM Parameter Store, Azure Key Vault, HashiCorp Vault, or Railway variables). </w:t>
      </w:r>
      <w:r>
        <w:rPr>
          <w:rFonts w:eastAsia="Consolas" w:cs="Consolas" w:ascii="Consolas" w:hAnsi="Consolas"/>
          <w:color w:val="101820"/>
          <w:sz w:val="19"/>
        </w:rPr>
        <w:t>deploy/backend.env.example</w:t>
      </w:r>
      <w:r>
        <w:rPr>
          <w:rFonts w:eastAsia="Segoe UI" w:cs="Segoe UI" w:ascii="Segoe UI" w:hAnsi="Segoe UI"/>
          <w:color w:val="101820"/>
          <w:sz w:val="21"/>
        </w:rPr>
        <w:t xml:space="preserve"> holds the names with placeholders only.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0"/>
        <w:gridCol w:w="1423"/>
        <w:gridCol w:w="1358"/>
        <w:gridCol w:w="1793"/>
        <w:gridCol w:w="2060"/>
      </w:tblGrid>
      <w:tr>
        <w:trPr>
          <w:tblHeader w:val="true"/>
        </w:trPr>
        <w:tc>
          <w:tcPr>
            <w:tcW w:w="23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Variable</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Dev</w:t>
            </w:r>
          </w:p>
        </w:tc>
        <w:tc>
          <w:tcPr>
            <w:tcW w:w="1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SIT / UAT</w:t>
            </w:r>
          </w:p>
        </w:tc>
        <w:tc>
          <w:tcPr>
            <w:tcW w:w="17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Pre-Prod</w:t>
            </w:r>
          </w:p>
        </w:tc>
        <w:tc>
          <w:tcPr>
            <w:tcW w:w="20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Production</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NODE_ENV</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development</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production</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production</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production</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DATABASE_URL</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database</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database</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database, TLS</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JWT_SECRET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DATA_ENCRYPTION_KEY</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values</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values per environment</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values</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values, escrow copy under dual control</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ADMIN_PASSWORD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Own, changed at first sign-in</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CORS_ORIGINS</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PUBLIC_BASE_URL</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addresses</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addresses</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addresses</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addresses</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SEED_SAMPLE_DATA</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true</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false</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false</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false</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SCHEDULER_ENABLED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true</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true</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false</w:t>
            </w:r>
            <w:r>
              <w:rPr>
                <w:rFonts w:eastAsia="Segoe UI" w:cs="Segoe UI" w:ascii="Segoe UI" w:hAnsi="Segoe UI"/>
                <w:color w:val="101820"/>
                <w:kern w:val="0"/>
                <w:sz w:val="16"/>
                <w:szCs w:val="24"/>
                <w:lang w:val="en-US" w:eastAsia="ja-JP" w:bidi="ar-SA"/>
              </w:rPr>
              <w:t xml:space="preserve"> until the rehearsal needs it</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true</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SMTP_URL</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Test mailbox or none</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Test mailbox</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Test mailbox</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mailbox</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gateway (</w:t>
            </w:r>
            <w:r>
              <w:rPr>
                <w:rFonts w:eastAsia="Consolas" w:cs="Consolas" w:ascii="Consolas" w:hAnsi="Consolas"/>
                <w:color w:val="101820"/>
                <w:kern w:val="0"/>
                <w:sz w:val="14"/>
                <w:szCs w:val="24"/>
                <w:lang w:val="en-US" w:eastAsia="ja-JP" w:bidi="ar-SA"/>
              </w:rPr>
              <w:t>&lt;prefix&gt;_SECRET_KEY</w:t>
            </w:r>
            <w:r>
              <w:rPr>
                <w:rFonts w:eastAsia="Segoe UI" w:cs="Segoe UI" w:ascii="Segoe UI" w:hAnsi="Segoe UI"/>
                <w:color w:val="101820"/>
                <w:kern w:val="0"/>
                <w:sz w:val="16"/>
                <w:szCs w:val="24"/>
                <w:lang w:val="en-US" w:eastAsia="ja-JP" w:bidi="ar-SA"/>
              </w:rPr>
              <w:t xml:space="preserve"> and others)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Sandbox</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Sandbox</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Live</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APP_ENVIRONMENT</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Dev</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SIT</w:t>
            </w:r>
            <w:r>
              <w:rPr>
                <w:rFonts w:eastAsia="Segoe UI" w:cs="Segoe UI" w:ascii="Segoe UI" w:hAnsi="Segoe UI"/>
                <w:color w:val="101820"/>
                <w:kern w:val="0"/>
                <w:sz w:val="16"/>
                <w:szCs w:val="24"/>
                <w:lang w:val="en-US" w:eastAsia="ja-JP" w:bidi="ar-SA"/>
              </w:rPr>
              <w:t xml:space="preserve"> / </w:t>
            </w:r>
            <w:r>
              <w:rPr>
                <w:rFonts w:eastAsia="Consolas" w:cs="Consolas" w:ascii="Consolas" w:hAnsi="Consolas"/>
                <w:color w:val="101820"/>
                <w:kern w:val="0"/>
                <w:sz w:val="14"/>
                <w:szCs w:val="24"/>
                <w:lang w:val="en-US" w:eastAsia="ja-JP" w:bidi="ar-SA"/>
              </w:rPr>
              <w:t>UAT</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Pre-Prod</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Production</w:t>
            </w:r>
          </w:p>
        </w:tc>
      </w:tr>
      <w:tr>
        <w:trPr/>
        <w:tc>
          <w:tcPr>
            <w:tcW w:w="2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REACT_APP_BASE_URL</w:t>
            </w:r>
            <w:r>
              <w:rPr>
                <w:rFonts w:eastAsia="Segoe UI" w:cs="Segoe UI" w:ascii="Segoe UI" w:hAnsi="Segoe UI"/>
                <w:color w:val="101820"/>
                <w:kern w:val="0"/>
                <w:sz w:val="16"/>
                <w:szCs w:val="24"/>
                <w:lang w:val="en-US" w:eastAsia="ja-JP" w:bidi="ar-SA"/>
              </w:rPr>
              <w:t xml:space="preserve"> (front-end build today; read at runtime after the change of section 5.5)</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Local API</w:t>
            </w:r>
          </w:p>
        </w:tc>
        <w:tc>
          <w:tcPr>
            <w:tcW w:w="1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API</w:t>
            </w:r>
          </w:p>
        </w:tc>
        <w:tc>
          <w:tcPr>
            <w:tcW w:w="1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 API</w:t>
            </w:r>
          </w:p>
        </w:tc>
        <w:tc>
          <w:tcPr>
            <w:tcW w:w="20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API</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With </w:t>
      </w:r>
      <w:r>
        <w:rPr>
          <w:rFonts w:eastAsia="Consolas" w:cs="Consolas" w:ascii="Consolas" w:hAnsi="Consolas"/>
          <w:color w:val="101820"/>
          <w:sz w:val="19"/>
        </w:rPr>
        <w:t>NODE_ENV=production</w:t>
      </w:r>
      <w:r>
        <w:rPr>
          <w:rFonts w:eastAsia="Segoe UI" w:cs="Segoe UI" w:ascii="Segoe UI" w:hAnsi="Segoe UI"/>
          <w:color w:val="101820"/>
          <w:sz w:val="21"/>
        </w:rPr>
        <w:t xml:space="preserve"> the API refuses to start when </w:t>
      </w:r>
      <w:r>
        <w:rPr>
          <w:rFonts w:eastAsia="Consolas" w:cs="Consolas" w:ascii="Consolas" w:hAnsi="Consolas"/>
          <w:color w:val="101820"/>
          <w:sz w:val="19"/>
        </w:rPr>
        <w:t>JWT_SECRET</w:t>
      </w:r>
      <w:r>
        <w:rPr>
          <w:rFonts w:eastAsia="Segoe UI" w:cs="Segoe UI" w:ascii="Segoe UI" w:hAnsi="Segoe UI"/>
          <w:color w:val="101820"/>
          <w:sz w:val="21"/>
        </w:rPr>
        <w:t xml:space="preserve"> or </w:t>
      </w:r>
      <w:r>
        <w:rPr>
          <w:rFonts w:eastAsia="Consolas" w:cs="Consolas" w:ascii="Consolas" w:hAnsi="Consolas"/>
          <w:color w:val="101820"/>
          <w:sz w:val="19"/>
        </w:rPr>
        <w:t>DATA_ENCRYPTION_KEY</w:t>
      </w:r>
      <w:r>
        <w:rPr>
          <w:rFonts w:eastAsia="Segoe UI" w:cs="Segoe UI" w:ascii="Segoe UI" w:hAnsi="Segoe UI"/>
          <w:color w:val="101820"/>
          <w:sz w:val="21"/>
        </w:rPr>
        <w:t xml:space="preserve"> is missing, short or a placeholder, when the two are equal, when </w:t>
      </w:r>
      <w:r>
        <w:rPr>
          <w:rFonts w:eastAsia="Consolas" w:cs="Consolas" w:ascii="Consolas" w:hAnsi="Consolas"/>
          <w:color w:val="101820"/>
          <w:sz w:val="19"/>
        </w:rPr>
        <w:t>CORS_ORIGINS</w:t>
      </w:r>
      <w:r>
        <w:rPr>
          <w:rFonts w:eastAsia="Segoe UI" w:cs="Segoe UI" w:ascii="Segoe UI" w:hAnsi="Segoe UI"/>
          <w:color w:val="101820"/>
          <w:sz w:val="21"/>
        </w:rPr>
        <w:t xml:space="preserve"> is </w:t>
      </w:r>
      <w:r>
        <w:rPr>
          <w:rFonts w:eastAsia="Consolas" w:cs="Consolas" w:ascii="Consolas" w:hAnsi="Consolas"/>
          <w:color w:val="101820"/>
          <w:sz w:val="19"/>
        </w:rPr>
        <w:t>*</w:t>
      </w:r>
      <w:r>
        <w:rPr>
          <w:rFonts w:eastAsia="Segoe UI" w:cs="Segoe UI" w:ascii="Segoe UI" w:hAnsi="Segoe UI"/>
          <w:color w:val="101820"/>
          <w:sz w:val="21"/>
        </w:rPr>
        <w:t xml:space="preserve">, or when </w:t>
      </w:r>
      <w:r>
        <w:rPr>
          <w:rFonts w:eastAsia="Consolas" w:cs="Consolas" w:ascii="Consolas" w:hAnsi="Consolas"/>
          <w:color w:val="101820"/>
          <w:sz w:val="19"/>
        </w:rPr>
        <w:t>PUBLIC_BASE_URL</w:t>
      </w:r>
      <w:r>
        <w:rPr>
          <w:rFonts w:eastAsia="Segoe UI" w:cs="Segoe UI" w:ascii="Segoe UI" w:hAnsi="Segoe UI"/>
          <w:color w:val="101820"/>
          <w:sz w:val="21"/>
        </w:rPr>
        <w:t xml:space="preserve"> is localhost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Heading2"/>
        <w:rPr/>
      </w:pPr>
      <w:bookmarkStart w:id="29" w:name="__RefHeading___Toc8455_1149970192"/>
      <w:bookmarkEnd w:id="29"/>
      <w:r>
        <w:rPr>
          <w:rFonts w:eastAsia="Segoe UI" w:cs="Segoe UI"/>
          <w:b/>
          <w:color w:val="0F4761"/>
          <w:sz w:val="26"/>
        </w:rPr>
        <w:t>5.9  Promotion steps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3"/>
        <w:gridCol w:w="1803"/>
        <w:gridCol w:w="1803"/>
        <w:gridCol w:w="1803"/>
        <w:gridCol w:w="1803"/>
      </w:tblGrid>
      <w:tr>
        <w:trPr>
          <w:tblHeader w:val="true"/>
        </w:trPr>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Step</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Entry criteria</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Activities</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Exit criteria</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Sign-off</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 in Dev (small and medium broker)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Pull requests merged with green CI; release candidate tagged</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 the tag to Dev; migrations and seed apply on start; smoke test (</w:t>
            </w:r>
            <w:r>
              <w:rPr>
                <w:rFonts w:eastAsia="Consolas" w:cs="Consolas" w:ascii="Consolas" w:hAnsi="Consolas"/>
                <w:color w:val="101820"/>
                <w:kern w:val="0"/>
                <w:sz w:val="14"/>
                <w:szCs w:val="24"/>
                <w:lang w:val="en-US" w:eastAsia="ja-JP" w:bidi="ar-SA"/>
              </w:rPr>
              <w:t>deploy/README.md</w:t>
            </w:r>
            <w:r>
              <w:rPr>
                <w:rFonts w:eastAsia="Segoe UI" w:cs="Segoe UI" w:ascii="Segoe UI" w:hAnsi="Segoe UI"/>
                <w:color w:val="101820"/>
                <w:kern w:val="0"/>
                <w:sz w:val="16"/>
                <w:szCs w:val="24"/>
                <w:lang w:val="en-US" w:eastAsia="ja-JP" w:bidi="ar-SA"/>
              </w:rPr>
              <w:t xml:space="preserve"> section 4); </w:t>
            </w:r>
            <w:r>
              <w:rPr>
                <w:rFonts w:eastAsia="Consolas" w:cs="Consolas" w:ascii="Consolas" w:hAnsi="Consolas"/>
                <w:color w:val="101820"/>
                <w:kern w:val="0"/>
                <w:sz w:val="14"/>
                <w:szCs w:val="24"/>
                <w:lang w:val="en-US" w:eastAsia="ja-JP" w:bidi="ar-SA"/>
              </w:rPr>
              <w:t>uat-scenario.js</w:t>
            </w:r>
            <w:r>
              <w:rPr>
                <w:rFonts w:eastAsia="Segoe UI" w:cs="Segoe UI" w:ascii="Segoe UI" w:hAnsi="Segoe UI"/>
                <w:color w:val="101820"/>
                <w:kern w:val="0"/>
                <w:sz w:val="16"/>
                <w:szCs w:val="24"/>
                <w:lang w:val="en-US" w:eastAsia="ja-JP" w:bidi="ar-SA"/>
              </w:rPr>
              <w:t xml:space="preserve"> on a fresh database; end-to-end plan; configuration built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Smoke test passed; </w:t>
            </w:r>
            <w:r>
              <w:rPr>
                <w:rFonts w:eastAsia="Consolas" w:cs="Consolas" w:ascii="Consolas" w:hAnsi="Consolas"/>
                <w:color w:val="101820"/>
                <w:kern w:val="0"/>
                <w:sz w:val="14"/>
                <w:szCs w:val="24"/>
                <w:lang w:val="en-US" w:eastAsia="ja-JP" w:bidi="ar-SA"/>
              </w:rPr>
              <w:t>uat-scenario.js</w:t>
            </w:r>
            <w:r>
              <w:rPr>
                <w:rFonts w:eastAsia="Segoe UI" w:cs="Segoe UI" w:ascii="Segoe UI" w:hAnsi="Segoe UI"/>
                <w:color w:val="101820"/>
                <w:kern w:val="0"/>
                <w:sz w:val="16"/>
                <w:szCs w:val="24"/>
                <w:lang w:val="en-US" w:eastAsia="ja-JP" w:bidi="ar-SA"/>
              </w:rPr>
              <w:t xml:space="preserve"> all steps passed; no open P1 or P2 defect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delivery lead (SIT exit report)</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to SIT (large broker)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Pull requests merged with green CI; release candidate tagged</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Deploy the tag; migrations and seed apply on start; smoke test; </w:t>
            </w:r>
            <w:r>
              <w:rPr>
                <w:rFonts w:eastAsia="Consolas" w:cs="Consolas" w:ascii="Consolas" w:hAnsi="Consolas"/>
                <w:color w:val="101820"/>
                <w:kern w:val="0"/>
                <w:sz w:val="14"/>
                <w:szCs w:val="24"/>
                <w:lang w:val="en-US" w:eastAsia="ja-JP" w:bidi="ar-SA"/>
              </w:rPr>
              <w:t>uat-scenario.js</w:t>
            </w:r>
            <w:r>
              <w:rPr>
                <w:rFonts w:eastAsia="Segoe UI" w:cs="Segoe UI" w:ascii="Segoe UI" w:hAnsi="Segoe UI"/>
                <w:color w:val="101820"/>
                <w:kern w:val="0"/>
                <w:sz w:val="16"/>
                <w:szCs w:val="24"/>
                <w:lang w:val="en-US" w:eastAsia="ja-JP" w:bidi="ar-SA"/>
              </w:rPr>
              <w:t xml:space="preserve"> on a fresh database; end-to-end plan; configuration built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Smoke test passed; </w:t>
            </w:r>
            <w:r>
              <w:rPr>
                <w:rFonts w:eastAsia="Consolas" w:cs="Consolas" w:ascii="Consolas" w:hAnsi="Consolas"/>
                <w:color w:val="101820"/>
                <w:kern w:val="0"/>
                <w:sz w:val="14"/>
                <w:szCs w:val="24"/>
                <w:lang w:val="en-US" w:eastAsia="ja-JP" w:bidi="ar-SA"/>
              </w:rPr>
              <w:t>uat-scenario.js</w:t>
            </w:r>
            <w:r>
              <w:rPr>
                <w:rFonts w:eastAsia="Segoe UI" w:cs="Segoe UI" w:ascii="Segoe UI" w:hAnsi="Segoe UI"/>
                <w:color w:val="101820"/>
                <w:kern w:val="0"/>
                <w:sz w:val="16"/>
                <w:szCs w:val="24"/>
                <w:lang w:val="en-US" w:eastAsia="ja-JP" w:bidi="ar-SA"/>
              </w:rPr>
              <w:t xml:space="preserve"> all steps passed; no open P1 or P2 defect from SIT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delivery lead (SIT exit report)</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or SIT to UAT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exit report; release notes drafted; configuration workbook downloaded from Dev (small, medium) or SIT (large)</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 the same tag; promote the configuration (chapter 6); transaction reset; load the latest mock migration; key users run the UAT scripts</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scripts passed or accepted with a workaround; mock load reconciled</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process owners and sponsor: UAT Sign-off Certificate (Form 1)</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to Production (release and configuration)</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configuration frozen; CAB approval of the release</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 the same tag to Production; production secrets; promote the configuration from UAT; on-screen items; technical smoke test</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comparison UAT against Production shows no change</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 broker System Administrator</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rehearsal</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configured; Production backup taken</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 Pre-Prod from the backup (section 4.3); cutover rehearsal: smoke test, reset, migration load, reconciliation, timings</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Rehearsal inside the cutover window; reconciliation agrees</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 and migration lead; broker PM</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in Production</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checkpoint 1 passed; CAB approval; restore point taken</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migration at cutover; reconciliation; go-live lock</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reconciliation signed; go decision</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Steering committee; Accounting Manager for the reconciliation; Go-live Acceptance Certificate (Form 2)</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After go-live, every release follows the same path to UAT. A major release is then rehearsed in a Pre-Prod created from a Production backup, which is removed after the release. A minor or patch release goes from UAT to Production with a manual snapshot of Production taken before deploying.</w:t>
      </w:r>
    </w:p>
    <w:p>
      <w:pPr>
        <w:pStyle w:val="Heading2"/>
        <w:rPr/>
      </w:pPr>
      <w:bookmarkStart w:id="30" w:name="__RefHeading___Toc8457_1149970192"/>
      <w:bookmarkEnd w:id="30"/>
      <w:r>
        <w:rPr>
          <w:rFonts w:eastAsia="Segoe UI" w:cs="Segoe UI"/>
          <w:b/>
          <w:color w:val="0F4761"/>
          <w:sz w:val="26"/>
        </w:rPr>
        <w:t>5.10  Change and release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 (Production Support Approach and Standards)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types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(pre-approved, done by the broker's System Administrator), Normal (release, tax rate, posting rule, numbering series, data correction script: CAB approval), Emergency (P1 fix or security patch: approved by the support manager and the broker's IT head, reviewed at the next CAB)</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change owner and the iorta TechNXT support manager; approves Normal changes with impact, test evidence and rollback</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types</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 (monthly, when there are fixes or changes); emergency release</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to the broker's System Administrator and IT head at least 5 business days before deployment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Window</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Maintenance window, default Saturday 20:00 to Sunday 06:00 PHT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Regression of Production Support chapter 19: backend and front-end tests, </w:t>
            </w:r>
            <w:r>
              <w:rPr>
                <w:rFonts w:eastAsia="Consolas" w:cs="Consolas" w:ascii="Consolas" w:hAnsi="Consolas"/>
                <w:color w:val="101820"/>
                <w:kern w:val="0"/>
                <w:sz w:val="16"/>
                <w:szCs w:val="24"/>
                <w:lang w:val="en-US" w:eastAsia="ja-JP" w:bidi="ar-SA"/>
              </w:rPr>
              <w:t>uat-scenario.js</w:t>
            </w:r>
            <w:r>
              <w:rPr>
                <w:rFonts w:eastAsia="Segoe UI" w:cs="Segoe UI" w:ascii="Segoe UI" w:hAnsi="Segoe UI"/>
                <w:color w:val="101820"/>
                <w:kern w:val="0"/>
                <w:sz w:val="18"/>
                <w:szCs w:val="24"/>
                <w:lang w:val="en-US" w:eastAsia="ja-JP" w:bidi="ar-SA"/>
              </w:rPr>
              <w:t xml:space="preserve"> on a fresh database, the UAT scripts of the changed area, the document and report sweep for print changes</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deploying</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Smoke test; </w:t>
            </w: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xml:space="preserve"> shows the expected commit and no pending migration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release notes use the Release Notes Template: release identification (tag, commit, previous release, window, downtime, CAB reference), changes by module, migrations included, actions an administrator must take by hand (including on-screen configuration items), known issues, and rollback.</w:t>
      </w:r>
    </w:p>
    <w:p>
      <w:pPr>
        <w:pStyle w:val="Heading2"/>
        <w:rPr/>
      </w:pPr>
      <w:bookmarkStart w:id="31" w:name="__RefHeading___Toc8459_1149970192"/>
      <w:bookmarkEnd w:id="31"/>
      <w:r>
        <w:rPr>
          <w:rFonts w:eastAsia="Segoe UI" w:cs="Segoe UI"/>
          <w:b/>
          <w:color w:val="0F4761"/>
          <w:sz w:val="26"/>
        </w:rPr>
        <w:t>5.11  Rollback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0"/>
        <w:gridCol w:w="7093"/>
      </w:tblGrid>
      <w:tr>
        <w:trPr>
          <w:tblHeader w:val="true"/>
        </w:trPr>
        <w:tc>
          <w:tcPr>
            <w:tcW w:w="19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w:t>
            </w:r>
          </w:p>
        </w:tc>
        <w:tc>
          <w:tcPr>
            <w:tcW w:w="7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Re-run the build of the previous tag, or restore the previous S3 object versions (bucket versioning on), then invalidate CloudFront</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Redeploy the previous image or tag. Migrations only add, so the previous version runs on the newer schema</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the pre-release snapshot only when data written by the new release must be undone; transactions entered since the snapshot are re-entered</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the configuration workbook downloaded before the change (Current data). The workbook updates and creates but never deletes: records created by the change are set inactive on their screen</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go-live: restore the snapshot taken before the loads. After go-live: rollback window and procedure of the Data Migration and Cutover Plan</w:t>
            </w:r>
          </w:p>
        </w:tc>
      </w:tr>
    </w:tbl>
    <w:p>
      <w:pPr>
        <w:pStyle w:val="Heading1"/>
        <w:rPr/>
      </w:pPr>
      <w:r>
        <w:br w:type="page"/>
      </w:r>
      <w:bookmarkStart w:id="32" w:name="__RefHeading___Toc8461_1149970192"/>
      <w:bookmarkEnd w:id="32"/>
      <w:r>
        <w:rPr>
          <w:rFonts w:eastAsia="Segoe UI" w:cs="Segoe UI" w:ascii="Segoe UI" w:hAnsi="Segoe UI"/>
          <w:b/>
          <w:color w:val="0F4761"/>
          <w:sz w:val="32"/>
        </w:rPr>
        <w:t>6.  Moving configuration</w:t>
      </w:r>
    </w:p>
    <w:p>
      <w:pPr>
        <w:pStyle w:val="Heading2"/>
        <w:rPr/>
      </w:pPr>
      <w:bookmarkStart w:id="33" w:name="__RefHeading___Toc8463_1149970192"/>
      <w:bookmarkEnd w:id="33"/>
      <w:r>
        <w:rPr>
          <w:rFonts w:eastAsia="Segoe UI" w:cs="Segoe UI"/>
          <w:b/>
          <w:color w:val="0F4761"/>
          <w:sz w:val="26"/>
        </w:rPr>
        <w:t>6.1  The configuration workbook</w:t>
      </w:r>
    </w:p>
    <w:p>
      <w:pPr>
        <w:pStyle w:val="Normal"/>
        <w:spacing w:lineRule="auto" w:line="276" w:before="0" w:after="120"/>
        <w:rPr/>
      </w:pPr>
      <w:r>
        <w:rPr>
          <w:rFonts w:eastAsia="Segoe UI" w:cs="Segoe UI" w:ascii="Segoe UI" w:hAnsi="Segoe UI"/>
          <w:color w:val="101820"/>
          <w:sz w:val="21"/>
        </w:rPr>
        <w:t>The configuration kit of Master &gt; Go-Live Data Load (</w:t>
      </w:r>
      <w:r>
        <w:rPr>
          <w:rFonts w:eastAsia="Consolas" w:cs="Consolas" w:ascii="Consolas" w:hAnsi="Consolas"/>
          <w:color w:val="101820"/>
          <w:sz w:val="19"/>
        </w:rPr>
        <w:t>GoLive_Configuration_Workbook.xlsx</w:t>
      </w:r>
      <w:r>
        <w:rPr>
          <w:rFonts w:eastAsia="Segoe UI" w:cs="Segoe UI" w:ascii="Segoe UI" w:hAnsi="Segoe UI"/>
          <w:color w:val="101820"/>
          <w:sz w:val="21"/>
        </w:rPr>
        <w:t>) carries what is needed to run new business: company, settings, location masters, branches, departments, hierarchy, designations, users, currencies, exchange rates, chart of accounts, banks, bank accounts, signatories, transaction codes, write-off reasons, insurers, lines of business, products, policy types, covers, vehicle brands, models, variants and vehicles, commission rate matrix, premium taxes and charges, LGU tax rates, authority limits and document numbering.</w:t>
      </w:r>
    </w:p>
    <w:p>
      <w:pPr>
        <w:pStyle w:val="Normal"/>
        <w:spacing w:lineRule="auto" w:line="276" w:before="0" w:after="120"/>
        <w:rPr/>
      </w:pPr>
      <w:r>
        <w:rPr>
          <w:rFonts w:eastAsia="Segoe UI" w:cs="Segoe UI" w:ascii="Segoe UI" w:hAnsi="Segoe UI"/>
          <w:color w:val="101820"/>
          <w:sz w:val="21"/>
        </w:rPr>
        <w:t>Each sheet is matched on a natural key (code, username, setting key, account code, series code). Loading the same or a corrected workbook again updates and never duplicates; rows equal to the stored data are reported as unchanged and not written.</w:t>
      </w:r>
    </w:p>
    <w:p>
      <w:pPr>
        <w:pStyle w:val="Heading2"/>
        <w:rPr/>
      </w:pPr>
      <w:bookmarkStart w:id="34" w:name="__RefHeading___Toc8465_1149970192"/>
      <w:bookmarkEnd w:id="34"/>
      <w:r>
        <w:rPr>
          <w:rFonts w:eastAsia="Segoe UI" w:cs="Segoe UI"/>
          <w:b/>
          <w:color w:val="0F4761"/>
          <w:sz w:val="26"/>
        </w:rPr>
        <w:t>6.2  Promotion procedure</w:t>
      </w:r>
    </w:p>
    <w:p>
      <w:pPr>
        <w:pStyle w:val="Normal"/>
        <w:numPr>
          <w:ilvl w:val="0"/>
          <w:numId w:val="9"/>
        </w:numPr>
        <w:spacing w:before="0" w:after="60"/>
        <w:rPr/>
      </w:pPr>
      <w:r>
        <w:rPr>
          <w:rFonts w:eastAsia="Segoe UI" w:cs="Segoe UI" w:ascii="Segoe UI" w:hAnsi="Segoe UI"/>
          <w:b/>
          <w:color w:val="101820"/>
          <w:sz w:val="21"/>
        </w:rPr>
        <w:t>Source environment.</w:t>
      </w:r>
      <w:r>
        <w:rPr>
          <w:rFonts w:eastAsia="Segoe UI" w:cs="Segoe UI" w:ascii="Segoe UI" w:hAnsi="Segoe UI"/>
          <w:color w:val="101820"/>
          <w:sz w:val="21"/>
        </w:rPr>
        <w:t xml:space="preserve"> Master &gt; Go-Live Data Load &gt; </w:t>
      </w:r>
      <w:r>
        <w:rPr>
          <w:rFonts w:eastAsia="Segoe UI" w:cs="Segoe UI" w:ascii="Segoe UI" w:hAnsi="Segoe UI"/>
          <w:b/>
          <w:color w:val="101820"/>
          <w:sz w:val="21"/>
        </w:rPr>
        <w:t>Download Template</w:t>
      </w:r>
      <w:r>
        <w:rPr>
          <w:rFonts w:eastAsia="Segoe UI" w:cs="Segoe UI" w:ascii="Segoe UI" w:hAnsi="Segoe UI"/>
          <w:color w:val="101820"/>
          <w:sz w:val="21"/>
        </w:rPr>
        <w:t xml:space="preserve"> &gt; </w:t>
      </w:r>
      <w:r>
        <w:rPr>
          <w:rFonts w:eastAsia="Segoe UI" w:cs="Segoe UI" w:ascii="Segoe UI" w:hAnsi="Segoe UI"/>
          <w:b/>
          <w:color w:val="101820"/>
          <w:sz w:val="21"/>
        </w:rPr>
        <w:t>Current data</w:t>
      </w:r>
      <w:r>
        <w:rPr>
          <w:rFonts w:eastAsia="Segoe UI" w:cs="Segoe UI" w:ascii="Segoe UI" w:hAnsi="Segoe UI"/>
          <w:color w:val="101820"/>
          <w:sz w:val="21"/>
        </w:rPr>
        <w:t xml:space="preserve"> (</w:t>
      </w:r>
      <w:r>
        <w:rPr>
          <w:rFonts w:eastAsia="Consolas" w:cs="Consolas" w:ascii="Consolas" w:hAnsi="Consolas"/>
          <w:color w:val="101820"/>
          <w:sz w:val="19"/>
        </w:rPr>
        <w:t>GET /api/data-load/kits/configuration/template?prefill=true</w:t>
      </w:r>
      <w:r>
        <w:rPr>
          <w:rFonts w:eastAsia="Segoe UI" w:cs="Segoe UI" w:ascii="Segoe UI" w:hAnsi="Segoe UI"/>
          <w:color w:val="101820"/>
          <w:sz w:val="21"/>
        </w:rPr>
        <w:t>). The export is recorded in the audit trail. The file name carries the date; the Instructions sheet names the environment (</w:t>
      </w:r>
      <w:r>
        <w:rPr>
          <w:rFonts w:eastAsia="Consolas" w:cs="Consolas" w:ascii="Consolas" w:hAnsi="Consolas"/>
          <w:color w:val="101820"/>
          <w:sz w:val="19"/>
        </w:rPr>
        <w:t>APP_ENVIRONMENT</w:t>
      </w:r>
      <w:r>
        <w:rPr>
          <w:rFonts w:eastAsia="Segoe UI" w:cs="Segoe UI" w:ascii="Segoe UI" w:hAnsi="Segoe UI"/>
          <w:color w:val="101820"/>
          <w:sz w:val="21"/>
        </w:rPr>
        <w:t>).</w:t>
      </w:r>
    </w:p>
    <w:p>
      <w:pPr>
        <w:pStyle w:val="Normal"/>
        <w:numPr>
          <w:ilvl w:val="0"/>
          <w:numId w:val="10"/>
        </w:numPr>
        <w:spacing w:before="0" w:after="60"/>
        <w:rPr/>
      </w:pPr>
      <w:r>
        <w:rPr>
          <w:rFonts w:eastAsia="Segoe UI" w:cs="Segoe UI" w:ascii="Segoe UI" w:hAnsi="Segoe UI"/>
          <w:b/>
          <w:color w:val="101820"/>
          <w:sz w:val="21"/>
        </w:rPr>
        <w:t>Review before loading.</w:t>
      </w:r>
      <w:r>
        <w:rPr>
          <w:rFonts w:eastAsia="Segoe UI" w:cs="Segoe UI" w:ascii="Segoe UI" w:hAnsi="Segoe UI"/>
          <w:color w:val="101820"/>
          <w:sz w:val="21"/>
        </w:rPr>
        <w:t xml:space="preserve"> Edit the workbook for the target where needed:</w:t>
      </w:r>
    </w:p>
    <w:p>
      <w:pPr>
        <w:pStyle w:val="Normal"/>
        <w:numPr>
          <w:ilvl w:val="1"/>
          <w:numId w:val="1"/>
        </w:numPr>
        <w:spacing w:before="0" w:after="60"/>
        <w:rPr/>
      </w:pPr>
      <w:r>
        <w:rPr>
          <w:rFonts w:eastAsia="Segoe UI" w:cs="Segoe UI" w:ascii="Segoe UI" w:hAnsi="Segoe UI"/>
          <w:b/>
          <w:color w:val="101820"/>
          <w:sz w:val="21"/>
        </w:rPr>
        <w:t>Users:</w:t>
      </w:r>
      <w:r>
        <w:rPr>
          <w:rFonts w:eastAsia="Segoe UI" w:cs="Segoe UI" w:ascii="Segoe UI" w:hAnsi="Segoe UI"/>
          <w:color w:val="101820"/>
          <w:sz w:val="21"/>
        </w:rPr>
        <w:t xml:space="preserve"> delete test personas (</w:t>
      </w:r>
      <w:r>
        <w:rPr>
          <w:rFonts w:eastAsia="Consolas" w:cs="Consolas" w:ascii="Consolas" w:hAnsi="Consolas"/>
          <w:color w:val="101820"/>
          <w:sz w:val="19"/>
        </w:rPr>
        <w:t>uat.*</w:t>
      </w:r>
      <w:r>
        <w:rPr>
          <w:rFonts w:eastAsia="Segoe UI" w:cs="Segoe UI" w:ascii="Segoe UI" w:hAnsi="Segoe UI"/>
          <w:color w:val="101820"/>
          <w:sz w:val="21"/>
        </w:rPr>
        <w:t>), trainers' test accounts and anyone who must not have access to the target. Passwords are never in the workbook: each new user gets a temporary password shown once to the administrator after the load.</w:t>
      </w:r>
    </w:p>
    <w:p>
      <w:pPr>
        <w:pStyle w:val="Normal"/>
        <w:numPr>
          <w:ilvl w:val="1"/>
          <w:numId w:val="1"/>
        </w:numPr>
        <w:spacing w:before="0" w:after="60"/>
        <w:rPr/>
      </w:pPr>
      <w:r>
        <w:rPr>
          <w:rFonts w:eastAsia="Segoe UI" w:cs="Segoe UI" w:ascii="Segoe UI" w:hAnsi="Segoe UI"/>
          <w:b/>
          <w:color w:val="101820"/>
          <w:sz w:val="21"/>
        </w:rPr>
        <w:t>Numbering:</w:t>
      </w:r>
      <w:r>
        <w:rPr>
          <w:rFonts w:eastAsia="Segoe UI" w:cs="Segoe UI" w:ascii="Segoe UI" w:hAnsi="Segoe UI"/>
          <w:color w:val="101820"/>
          <w:sz w:val="21"/>
        </w:rPr>
        <w:t xml:space="preserve"> </w:t>
      </w:r>
      <w:r>
        <w:rPr>
          <w:rFonts w:eastAsia="Segoe UI" w:cs="Segoe UI" w:ascii="Segoe UI" w:hAnsi="Segoe UI"/>
          <w:b/>
          <w:color w:val="101820"/>
          <w:sz w:val="21"/>
        </w:rPr>
        <w:t>Next Number</w:t>
      </w:r>
      <w:r>
        <w:rPr>
          <w:rFonts w:eastAsia="Segoe UI" w:cs="Segoe UI" w:ascii="Segoe UI" w:hAnsi="Segoe UI"/>
          <w:color w:val="101820"/>
          <w:sz w:val="21"/>
        </w:rPr>
        <w:t xml:space="preserve"> is exported from the source counters, which testing has advanced. For Production, set it to the last number used in the old system plus one. It cannot go backwards once loaded.</w:t>
      </w:r>
    </w:p>
    <w:p>
      <w:pPr>
        <w:pStyle w:val="Normal"/>
        <w:numPr>
          <w:ilvl w:val="1"/>
          <w:numId w:val="1"/>
        </w:numPr>
        <w:spacing w:before="0" w:after="60"/>
        <w:rPr/>
      </w:pPr>
      <w:r>
        <w:rPr>
          <w:rFonts w:eastAsia="Segoe UI" w:cs="Segoe UI" w:ascii="Segoe UI" w:hAnsi="Segoe UI"/>
          <w:b/>
          <w:color w:val="101820"/>
          <w:sz w:val="21"/>
        </w:rPr>
        <w:t>Settings:</w:t>
      </w:r>
      <w:r>
        <w:rPr>
          <w:rFonts w:eastAsia="Segoe UI" w:cs="Segoe UI" w:ascii="Segoe UI" w:hAnsi="Segoe UI"/>
          <w:color w:val="101820"/>
          <w:sz w:val="21"/>
        </w:rPr>
        <w:t xml:space="preserve"> check </w:t>
      </w:r>
      <w:r>
        <w:rPr>
          <w:rFonts w:eastAsia="Consolas" w:cs="Consolas" w:ascii="Consolas" w:hAnsi="Consolas"/>
          <w:color w:val="101820"/>
          <w:sz w:val="19"/>
        </w:rPr>
        <w:t>golive.cutover_date</w:t>
      </w:r>
      <w:r>
        <w:rPr>
          <w:rFonts w:eastAsia="Segoe UI" w:cs="Segoe UI" w:ascii="Segoe UI" w:hAnsi="Segoe UI"/>
          <w:color w:val="101820"/>
          <w:sz w:val="21"/>
        </w:rPr>
        <w:t xml:space="preserve"> and any environment-specific setting. Settings of other screens, settings under second-user approval, secret-like keys and </w:t>
      </w:r>
      <w:r>
        <w:rPr>
          <w:rFonts w:eastAsia="Consolas" w:cs="Consolas" w:ascii="Consolas" w:hAnsi="Consolas"/>
          <w:color w:val="101820"/>
          <w:sz w:val="19"/>
        </w:rPr>
        <w:t>golive.locked</w:t>
      </w:r>
      <w:r>
        <w:rPr>
          <w:rFonts w:eastAsia="Segoe UI" w:cs="Segoe UI" w:ascii="Segoe UI" w:hAnsi="Segoe UI"/>
          <w:color w:val="101820"/>
          <w:sz w:val="21"/>
        </w:rPr>
        <w:t xml:space="preserve"> are never exported or loaded.</w:t>
      </w:r>
    </w:p>
    <w:p>
      <w:pPr>
        <w:pStyle w:val="Normal"/>
        <w:numPr>
          <w:ilvl w:val="0"/>
          <w:numId w:val="11"/>
        </w:numPr>
        <w:spacing w:before="0" w:after="60"/>
        <w:rPr/>
      </w:pPr>
      <w:r>
        <w:rPr>
          <w:rFonts w:eastAsia="Segoe UI" w:cs="Segoe UI" w:ascii="Segoe UI" w:hAnsi="Segoe UI"/>
          <w:b/>
          <w:color w:val="101820"/>
          <w:sz w:val="21"/>
        </w:rPr>
        <w:t>Target environment.</w:t>
      </w:r>
      <w:r>
        <w:rPr>
          <w:rFonts w:eastAsia="Segoe UI" w:cs="Segoe UI" w:ascii="Segoe UI" w:hAnsi="Segoe UI"/>
          <w:color w:val="101820"/>
          <w:sz w:val="21"/>
        </w:rPr>
        <w:t xml:space="preserve"> Master &gt; Go-Live Data Load &gt; upload the workbook (</w:t>
      </w:r>
      <w:r>
        <w:rPr>
          <w:rFonts w:eastAsia="Consolas" w:cs="Consolas" w:ascii="Consolas" w:hAnsi="Consolas"/>
          <w:color w:val="101820"/>
          <w:sz w:val="19"/>
        </w:rPr>
        <w:t>POST /api/data-load/batches</w:t>
      </w:r>
      <w:r>
        <w:rPr>
          <w:rFonts w:eastAsia="Segoe UI" w:cs="Segoe UI" w:ascii="Segoe UI" w:hAnsi="Segoe UI"/>
          <w:color w:val="101820"/>
          <w:sz w:val="21"/>
        </w:rPr>
        <w:t xml:space="preserve">, kit </w:t>
      </w:r>
      <w:r>
        <w:rPr>
          <w:rFonts w:eastAsia="Consolas" w:cs="Consolas" w:ascii="Consolas" w:hAnsi="Consolas"/>
          <w:color w:val="101820"/>
          <w:sz w:val="19"/>
        </w:rPr>
        <w:t>configuration</w:t>
      </w:r>
      <w:r>
        <w:rPr>
          <w:rFonts w:eastAsia="Segoe UI" w:cs="Segoe UI" w:ascii="Segoe UI" w:hAnsi="Segoe UI"/>
          <w:color w:val="101820"/>
          <w:sz w:val="21"/>
        </w:rPr>
        <w:t>). Validation is a dry run: all sheets run in load order inside one database transaction that is rolled back.</w:t>
      </w:r>
    </w:p>
    <w:p>
      <w:pPr>
        <w:pStyle w:val="Normal"/>
        <w:numPr>
          <w:ilvl w:val="0"/>
          <w:numId w:val="12"/>
        </w:numPr>
        <w:spacing w:before="0" w:after="60"/>
        <w:rPr/>
      </w:pPr>
      <w:r>
        <w:rPr>
          <w:rFonts w:eastAsia="Segoe UI" w:cs="Segoe UI" w:ascii="Segoe UI" w:hAnsi="Segoe UI"/>
          <w:b/>
          <w:color w:val="101820"/>
          <w:sz w:val="21"/>
        </w:rPr>
        <w:t>Read the result.</w:t>
      </w:r>
      <w:r>
        <w:rPr>
          <w:rFonts w:eastAsia="Segoe UI" w:cs="Segoe UI" w:ascii="Segoe UI" w:hAnsi="Segoe UI"/>
          <w:color w:val="101820"/>
          <w:sz w:val="21"/>
        </w:rPr>
        <w:t xml:space="preserve"> Per sheet: rows read, valid, with errors, and new, changed, unchanged or for approval.</w:t>
      </w:r>
    </w:p>
    <w:p>
      <w:pPr>
        <w:pStyle w:val="Normal"/>
        <w:numPr>
          <w:ilvl w:val="0"/>
          <w:numId w:val="13"/>
        </w:numPr>
        <w:spacing w:before="0" w:after="60"/>
        <w:rPr/>
      </w:pPr>
      <w:r>
        <w:rPr>
          <w:rFonts w:eastAsia="Segoe UI" w:cs="Segoe UI" w:ascii="Segoe UI" w:hAnsi="Segoe UI"/>
          <w:b/>
          <w:color w:val="101820"/>
          <w:sz w:val="21"/>
        </w:rPr>
        <w:t>Fix.</w:t>
      </w:r>
      <w:r>
        <w:rPr>
          <w:rFonts w:eastAsia="Segoe UI" w:cs="Segoe UI" w:ascii="Segoe UI" w:hAnsi="Segoe UI"/>
          <w:color w:val="101820"/>
          <w:sz w:val="21"/>
        </w:rPr>
        <w:t xml:space="preserve"> Download errors (</w:t>
      </w:r>
      <w:r>
        <w:rPr>
          <w:rFonts w:eastAsia="Consolas" w:cs="Consolas" w:ascii="Consolas" w:hAnsi="Consolas"/>
          <w:color w:val="101820"/>
          <w:sz w:val="19"/>
        </w:rPr>
        <w:t>GET /api/data-load/batches/:id/errors</w:t>
      </w:r>
      <w:r>
        <w:rPr>
          <w:rFonts w:eastAsia="Segoe UI" w:cs="Segoe UI" w:ascii="Segoe UI" w:hAnsi="Segoe UI"/>
          <w:color w:val="101820"/>
          <w:sz w:val="21"/>
        </w:rPr>
        <w:t>): only the rows in error, with an Errors column. Correct and upload again.</w:t>
      </w:r>
    </w:p>
    <w:p>
      <w:pPr>
        <w:pStyle w:val="Normal"/>
        <w:numPr>
          <w:ilvl w:val="0"/>
          <w:numId w:val="14"/>
        </w:numPr>
        <w:spacing w:before="0" w:after="60"/>
        <w:rPr/>
      </w:pPr>
      <w:r>
        <w:rPr>
          <w:rFonts w:eastAsia="Segoe UI" w:cs="Segoe UI" w:ascii="Segoe UI" w:hAnsi="Segoe UI"/>
          <w:b/>
          <w:color w:val="101820"/>
          <w:sz w:val="21"/>
        </w:rPr>
        <w:t>Load</w:t>
      </w:r>
      <w:r>
        <w:rPr>
          <w:rFonts w:eastAsia="Segoe UI" w:cs="Segoe UI" w:ascii="Segoe UI" w:hAnsi="Segoe UI"/>
          <w:color w:val="101820"/>
          <w:sz w:val="21"/>
        </w:rPr>
        <w:t xml:space="preserve"> (</w:t>
      </w:r>
      <w:r>
        <w:rPr>
          <w:rFonts w:eastAsia="Consolas" w:cs="Consolas" w:ascii="Consolas" w:hAnsi="Consolas"/>
          <w:color w:val="101820"/>
          <w:sz w:val="19"/>
        </w:rPr>
        <w:t>POST /api/data-load/batches/:id/load</w:t>
      </w:r>
      <w:r>
        <w:rPr>
          <w:rFonts w:eastAsia="Segoe UI" w:cs="Segoe UI" w:ascii="Segoe UI" w:hAnsi="Segoe UI"/>
          <w:color w:val="101820"/>
          <w:sz w:val="21"/>
        </w:rPr>
        <w:t xml:space="preserve">). For the configuration workbook, </w:t>
      </w:r>
      <w:r>
        <w:rPr>
          <w:rFonts w:eastAsia="Segoe UI" w:cs="Segoe UI" w:ascii="Segoe UI" w:hAnsi="Segoe UI"/>
          <w:b/>
          <w:color w:val="101820"/>
          <w:sz w:val="21"/>
        </w:rPr>
        <w:t>Load valid rows only</w:t>
      </w:r>
      <w:r>
        <w:rPr>
          <w:rFonts w:eastAsia="Segoe UI" w:cs="Segoe UI" w:ascii="Segoe UI" w:hAnsi="Segoe UI"/>
          <w:color w:val="101820"/>
          <w:sz w:val="21"/>
        </w:rPr>
        <w:t xml:space="preserve"> is ticked by default. The load is one transaction, written to the audit trail, and the administrator is notified.</w:t>
      </w:r>
    </w:p>
    <w:p>
      <w:pPr>
        <w:pStyle w:val="Normal"/>
        <w:numPr>
          <w:ilvl w:val="0"/>
          <w:numId w:val="15"/>
        </w:numPr>
        <w:spacing w:before="0" w:after="60"/>
        <w:rPr/>
      </w:pPr>
      <w:r>
        <w:rPr>
          <w:rFonts w:eastAsia="Segoe UI" w:cs="Segoe UI" w:ascii="Segoe UI" w:hAnsi="Segoe UI"/>
          <w:b/>
          <w:color w:val="101820"/>
          <w:sz w:val="21"/>
        </w:rPr>
        <w:t>Approve.</w:t>
      </w:r>
      <w:r>
        <w:rPr>
          <w:rFonts w:eastAsia="Segoe UI" w:cs="Segoe UI" w:ascii="Segoe UI" w:hAnsi="Segoe UI"/>
          <w:color w:val="101820"/>
          <w:sz w:val="21"/>
        </w:rPr>
        <w:t xml:space="preserve"> Authority limits load as proposals: another administrator approves them on Master &gt; Generals &gt; User Management &gt; Authority Matrix in the target.</w:t>
      </w:r>
    </w:p>
    <w:p>
      <w:pPr>
        <w:pStyle w:val="Normal"/>
        <w:numPr>
          <w:ilvl w:val="0"/>
          <w:numId w:val="16"/>
        </w:numPr>
        <w:spacing w:before="0" w:after="60"/>
        <w:rPr/>
      </w:pPr>
      <w:r>
        <w:rPr>
          <w:rFonts w:eastAsia="Segoe UI" w:cs="Segoe UI" w:ascii="Segoe UI" w:hAnsi="Segoe UI"/>
          <w:b/>
          <w:color w:val="101820"/>
          <w:sz w:val="21"/>
        </w:rPr>
        <w:t>Complete the on-screen items</w:t>
      </w:r>
      <w:r>
        <w:rPr>
          <w:rFonts w:eastAsia="Segoe UI" w:cs="Segoe UI" w:ascii="Segoe UI" w:hAnsi="Segoe UI"/>
          <w:color w:val="101820"/>
          <w:sz w:val="21"/>
        </w:rPr>
        <w:t xml:space="preserve"> of section 6.3 and record them on the promotion checklist.</w:t>
      </w:r>
    </w:p>
    <w:p>
      <w:pPr>
        <w:pStyle w:val="Heading2"/>
        <w:rPr/>
      </w:pPr>
      <w:bookmarkStart w:id="35" w:name="__RefHeading___Toc8467_1149970192"/>
      <w:bookmarkEnd w:id="35"/>
      <w:r>
        <w:rPr>
          <w:rFonts w:eastAsia="Segoe UI" w:cs="Segoe UI"/>
          <w:b/>
          <w:color w:val="0F4761"/>
          <w:sz w:val="26"/>
        </w:rPr>
        <w:t>6.3  Not in the workbook</w:t>
      </w:r>
    </w:p>
    <w:p>
      <w:pPr>
        <w:pStyle w:val="Normal"/>
        <w:spacing w:lineRule="auto" w:line="276" w:before="0" w:after="120"/>
        <w:rPr/>
      </w:pPr>
      <w:r>
        <w:rPr>
          <w:rFonts w:eastAsia="Segoe UI" w:cs="Segoe UI" w:ascii="Segoe UI" w:hAnsi="Segoe UI"/>
          <w:color w:val="101820"/>
          <w:sz w:val="21"/>
        </w:rPr>
        <w:t>These items are entered on their screen in each environment, or applied by a scripted procedure agreed with the DevOps lead. The list is the one on the Instructions sheet of the workbook.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moves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and their permissions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Role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and permissions are seeded; changes repeated 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 of duties rules, delegations, access reviews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of the loaded authority limits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Authority Matrix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administrator approves in the target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(VAT, withholding, BIR ATC)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Taxation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 confirmed by the broker's tax adviser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and posting rules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Account Determination / Posting Rules / Configuration Approvals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 proposed by one user and approved by another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formats, bank transaction types, insurer statement formats, close checklist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rating, acceptance rules, motor tariff, documents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&gt; Product Templates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bundles and insurer rate tables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Packaged Products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credentials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Payment Gateways; secret store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 set per environment in the secret store; sandbox outside Production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name, logo, colours, display currency, language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System Settings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logo and letterhead images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Company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Uploaded 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Schedules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 switched on at go-live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and accounting periods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 periods before the cutover date closed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masters, reinsurance treaties and reinsurers, incentive programmes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Remittance Master; Reinsurance; Incentive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agents with their commission accounts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&gt; Agents/Referrer Accounts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funds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Petty Cash &gt; Initiate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passwords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User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Temporary password at load; named administrators with </w:t>
            </w:r>
            <w:r>
              <w:rPr>
                <w:rFonts w:eastAsia="Consolas" w:cs="Consolas" w:ascii="Consolas" w:hAnsi="Consolas"/>
                <w:color w:val="101820"/>
                <w:kern w:val="0"/>
                <w:sz w:val="16"/>
                <w:szCs w:val="24"/>
                <w:lang w:val="en-US" w:eastAsia="ja-JP" w:bidi="ar-SA"/>
              </w:rPr>
              <w:t>provision-users.js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lock (</w:t>
            </w:r>
            <w:r>
              <w:rPr>
                <w:rFonts w:eastAsia="Consolas" w:cs="Consolas" w:ascii="Consolas" w:hAnsi="Consolas"/>
                <w:color w:val="101820"/>
                <w:kern w:val="0"/>
                <w:sz w:val="16"/>
                <w:szCs w:val="24"/>
                <w:lang w:val="en-US" w:eastAsia="ja-JP" w:bidi="ar-SA"/>
              </w:rPr>
              <w:t>golive.locked</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Switched on in Production only, after the migration is signed off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variables and secrets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store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environment, never copied</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Keep a promotion checklist with one line per on-screen item, the value set in UAT and the tick in each target environment. It is the evidence for item 5 of the cutover checklist (configuration copied and compared item by item).</w:t>
      </w:r>
    </w:p>
    <w:p>
      <w:pPr>
        <w:pStyle w:val="Heading2"/>
        <w:rPr/>
      </w:pPr>
      <w:bookmarkStart w:id="36" w:name="__RefHeading___Toc8469_1149970192"/>
      <w:bookmarkEnd w:id="36"/>
      <w:r>
        <w:rPr>
          <w:rFonts w:eastAsia="Segoe UI" w:cs="Segoe UI"/>
          <w:b/>
          <w:color w:val="0F4761"/>
          <w:sz w:val="26"/>
        </w:rPr>
        <w:t>6.4  Configuration freeze</w:t>
      </w:r>
    </w:p>
    <w:p>
      <w:pPr>
        <w:pStyle w:val="Normal"/>
        <w:numPr>
          <w:ilvl w:val="0"/>
          <w:numId w:val="1"/>
        </w:numPr>
        <w:spacing w:before="0" w:after="60"/>
        <w:rPr/>
      </w:pPr>
      <w:r>
        <w:rPr>
          <w:rFonts w:eastAsia="Segoe UI" w:cs="Segoe UI" w:ascii="Segoe UI" w:hAnsi="Segoe UI"/>
          <w:b/>
          <w:color w:val="101820"/>
          <w:sz w:val="21"/>
        </w:rPr>
        <w:t>Freeze for UAT:</w:t>
      </w:r>
      <w:r>
        <w:rPr>
          <w:rFonts w:eastAsia="Segoe UI" w:cs="Segoe UI" w:ascii="Segoe UI" w:hAnsi="Segoe UI"/>
          <w:color w:val="101820"/>
          <w:sz w:val="21"/>
        </w:rPr>
        <w:t xml:space="preserve"> configuration is frozen at the end of the system integration test, in Dev (small and medium broker) or SIT (large broker) (Implementation Approach). Changes after that are logged and repeated in UAT.</w:t>
      </w:r>
    </w:p>
    <w:p>
      <w:pPr>
        <w:pStyle w:val="Normal"/>
        <w:numPr>
          <w:ilvl w:val="0"/>
          <w:numId w:val="1"/>
        </w:numPr>
        <w:spacing w:before="0" w:after="60"/>
        <w:rPr/>
      </w:pPr>
      <w:r>
        <w:rPr>
          <w:rFonts w:eastAsia="Segoe UI" w:cs="Segoe UI" w:ascii="Segoe UI" w:hAnsi="Segoe UI"/>
          <w:b/>
          <w:color w:val="101820"/>
          <w:sz w:val="21"/>
        </w:rPr>
        <w:t>Freeze for cutover:</w:t>
      </w:r>
      <w:r>
        <w:rPr>
          <w:rFonts w:eastAsia="Segoe UI" w:cs="Segoe UI" w:ascii="Segoe UI" w:hAnsi="Segoe UI"/>
          <w:color w:val="101820"/>
          <w:sz w:val="21"/>
        </w:rPr>
        <w:t xml:space="preserve"> from UAT sign-off (about T-21), no configuration change is made unless it is a Normal change approved by the CAB. An approved change is made in UAT first and promoted to Production with the workbook or the on-screen procedure (and repeated in Pre-Prod while it exists), never made directly in Production.</w:t>
      </w:r>
    </w:p>
    <w:p>
      <w:pPr>
        <w:pStyle w:val="Normal"/>
        <w:numPr>
          <w:ilvl w:val="0"/>
          <w:numId w:val="1"/>
        </w:numPr>
        <w:spacing w:before="0" w:after="60"/>
        <w:rPr/>
      </w:pPr>
      <w:r>
        <w:rPr>
          <w:rFonts w:eastAsia="Segoe UI" w:cs="Segoe UI" w:ascii="Segoe UI" w:hAnsi="Segoe UI"/>
          <w:b/>
          <w:color w:val="101820"/>
          <w:sz w:val="21"/>
        </w:rPr>
        <w:t>After go-live:</w:t>
      </w:r>
      <w:r>
        <w:rPr>
          <w:rFonts w:eastAsia="Segoe UI" w:cs="Segoe UI" w:ascii="Segoe UI" w:hAnsi="Segoe UI"/>
          <w:color w:val="101820"/>
          <w:sz w:val="21"/>
        </w:rPr>
        <w:t xml:space="preserve"> configuration changes in Production follow the change types of Production Support. Settings changes are recorded in the audit trail with the old and new value.</w:t>
      </w:r>
    </w:p>
    <w:p>
      <w:pPr>
        <w:pStyle w:val="Heading2"/>
        <w:rPr/>
      </w:pPr>
      <w:bookmarkStart w:id="37" w:name="__RefHeading___Toc8471_1149970192"/>
      <w:bookmarkEnd w:id="37"/>
      <w:r>
        <w:rPr>
          <w:rFonts w:eastAsia="Segoe UI" w:cs="Segoe UI"/>
          <w:b/>
          <w:color w:val="0F4761"/>
          <w:sz w:val="26"/>
        </w:rPr>
        <w:t>6.5  Comparing environments</w:t>
      </w:r>
    </w:p>
    <w:p>
      <w:pPr>
        <w:pStyle w:val="Normal"/>
        <w:spacing w:lineRule="auto" w:line="276" w:before="0" w:after="120"/>
        <w:rPr/>
      </w:pPr>
      <w:r>
        <w:rPr>
          <w:rFonts w:eastAsia="Segoe UI" w:cs="Segoe UI" w:ascii="Segoe UI" w:hAnsi="Segoe UI"/>
          <w:color w:val="101820"/>
          <w:sz w:val="21"/>
        </w:rPr>
        <w:t xml:space="preserve">The validation of a </w:t>
      </w:r>
      <w:r>
        <w:rPr>
          <w:rFonts w:eastAsia="Segoe UI" w:cs="Segoe UI" w:ascii="Segoe UI" w:hAnsi="Segoe UI"/>
          <w:b/>
          <w:color w:val="101820"/>
          <w:sz w:val="21"/>
        </w:rPr>
        <w:t>Current data</w:t>
      </w:r>
      <w:r>
        <w:rPr>
          <w:rFonts w:eastAsia="Segoe UI" w:cs="Segoe UI" w:ascii="Segoe UI" w:hAnsi="Segoe UI"/>
          <w:color w:val="101820"/>
          <w:sz w:val="21"/>
        </w:rPr>
        <w:t xml:space="preserve"> workbook is also the comparison report between two environments:</w:t>
      </w:r>
    </w:p>
    <w:p>
      <w:pPr>
        <w:pStyle w:val="Normal"/>
        <w:numPr>
          <w:ilvl w:val="0"/>
          <w:numId w:val="17"/>
        </w:numPr>
        <w:spacing w:before="0" w:after="60"/>
        <w:rPr/>
      </w:pPr>
      <w:r>
        <w:rPr>
          <w:rFonts w:eastAsia="Segoe UI" w:cs="Segoe UI" w:ascii="Segoe UI" w:hAnsi="Segoe UI"/>
          <w:color w:val="101820"/>
          <w:sz w:val="21"/>
        </w:rPr>
        <w:t xml:space="preserve">Download </w:t>
      </w:r>
      <w:r>
        <w:rPr>
          <w:rFonts w:eastAsia="Segoe UI" w:cs="Segoe UI" w:ascii="Segoe UI" w:hAnsi="Segoe UI"/>
          <w:b/>
          <w:color w:val="101820"/>
          <w:sz w:val="21"/>
        </w:rPr>
        <w:t>Current data</w:t>
      </w:r>
      <w:r>
        <w:rPr>
          <w:rFonts w:eastAsia="Segoe UI" w:cs="Segoe UI" w:ascii="Segoe UI" w:hAnsi="Segoe UI"/>
          <w:color w:val="101820"/>
          <w:sz w:val="21"/>
        </w:rPr>
        <w:t xml:space="preserve"> from environment A.</w:t>
      </w:r>
    </w:p>
    <w:p>
      <w:pPr>
        <w:pStyle w:val="Normal"/>
        <w:numPr>
          <w:ilvl w:val="0"/>
          <w:numId w:val="18"/>
        </w:numPr>
        <w:spacing w:before="0" w:after="60"/>
        <w:rPr/>
      </w:pPr>
      <w:r>
        <w:rPr>
          <w:rFonts w:eastAsia="Segoe UI" w:cs="Segoe UI" w:ascii="Segoe UI" w:hAnsi="Segoe UI"/>
          <w:color w:val="101820"/>
          <w:sz w:val="21"/>
        </w:rPr>
        <w:t>Upload it into environment B and stop after validation (do not load).</w:t>
      </w:r>
    </w:p>
    <w:p>
      <w:pPr>
        <w:pStyle w:val="Normal"/>
        <w:numPr>
          <w:ilvl w:val="0"/>
          <w:numId w:val="19"/>
        </w:numPr>
        <w:spacing w:before="0" w:after="60"/>
        <w:rPr/>
      </w:pPr>
      <w:r>
        <w:rPr>
          <w:rFonts w:eastAsia="Segoe UI" w:cs="Segoe UI" w:ascii="Segoe UI" w:hAnsi="Segoe UI"/>
          <w:color w:val="101820"/>
          <w:sz w:val="21"/>
        </w:rPr>
        <w:t>The result per sheet gives new, changed and unchanged rows. Two environments with the same configuration show every row unchanged and nothing new or changed.</w:t>
      </w:r>
    </w:p>
    <w:p>
      <w:pPr>
        <w:pStyle w:val="Normal"/>
        <w:spacing w:lineRule="auto" w:line="276" w:before="0" w:after="120"/>
        <w:rPr/>
      </w:pPr>
      <w:r>
        <w:rPr>
          <w:rFonts w:eastAsia="Segoe UI" w:cs="Segoe UI" w:ascii="Segoe UI" w:hAnsi="Segoe UI"/>
          <w:color w:val="101820"/>
          <w:sz w:val="21"/>
        </w:rPr>
        <w:t xml:space="preserve">Run it UAT against Production after the configuration is promoted, and Production against Pre-Prod after the rehearsal, to show that no configuration was changed during the rehearsal. The validation result is kept in the load history (status </w:t>
      </w:r>
      <w:r>
        <w:rPr>
          <w:rFonts w:eastAsia="Consolas" w:cs="Consolas" w:ascii="Consolas" w:hAnsi="Consolas"/>
          <w:color w:val="101820"/>
          <w:sz w:val="19"/>
        </w:rPr>
        <w:t>validated</w:t>
      </w:r>
      <w:r>
        <w:rPr>
          <w:rFonts w:eastAsia="Segoe UI" w:cs="Segoe UI" w:ascii="Segoe UI" w:hAnsi="Segoe UI"/>
          <w:color w:val="101820"/>
          <w:sz w:val="21"/>
        </w:rPr>
        <w:t xml:space="preserve"> or </w:t>
      </w:r>
      <w:r>
        <w:rPr>
          <w:rFonts w:eastAsia="Consolas" w:cs="Consolas" w:ascii="Consolas" w:hAnsi="Consolas"/>
          <w:color w:val="101820"/>
          <w:sz w:val="19"/>
        </w:rPr>
        <w:t>failed</w:t>
      </w:r>
      <w:r>
        <w:rPr>
          <w:rFonts w:eastAsia="Segoe UI" w:cs="Segoe UI" w:ascii="Segoe UI" w:hAnsi="Segoe UI"/>
          <w:color w:val="101820"/>
          <w:sz w:val="21"/>
        </w:rPr>
        <w:t>) as evidence. On-screen items are compared with the promotion checklist.</w:t>
      </w:r>
    </w:p>
    <w:p>
      <w:pPr>
        <w:pStyle w:val="Heading2"/>
        <w:rPr/>
      </w:pPr>
      <w:bookmarkStart w:id="38" w:name="__RefHeading___Toc8473_1149970192"/>
      <w:bookmarkEnd w:id="38"/>
      <w:r>
        <w:rPr>
          <w:rFonts w:eastAsia="Segoe UI" w:cs="Segoe UI"/>
          <w:b/>
          <w:color w:val="0F4761"/>
          <w:sz w:val="26"/>
        </w:rPr>
        <w:t>6.6  Comparison report</w:t>
      </w:r>
    </w:p>
    <w:p>
      <w:pPr>
        <w:pStyle w:val="Normal"/>
        <w:spacing w:lineRule="auto" w:line="276" w:before="0" w:after="120"/>
        <w:rPr/>
      </w:pPr>
      <w:r>
        <w:rPr>
          <w:rFonts w:eastAsia="Segoe UI" w:cs="Segoe UI" w:ascii="Segoe UI" w:hAnsi="Segoe UI"/>
          <w:b/>
          <w:color w:val="101820"/>
          <w:sz w:val="21"/>
        </w:rPr>
        <w:t>Decision:</w:t>
      </w:r>
      <w:r>
        <w:rPr>
          <w:rFonts w:eastAsia="Segoe UI" w:cs="Segoe UI" w:ascii="Segoe UI" w:hAnsi="Segoe UI"/>
          <w:color w:val="101820"/>
          <w:sz w:val="21"/>
        </w:rPr>
        <w:t xml:space="preserve"> a comparison report between two environments is added, listing the differences row by row. Until it is released, the detail is found by comparing the two </w:t>
      </w:r>
      <w:r>
        <w:rPr>
          <w:rFonts w:eastAsia="Segoe UI" w:cs="Segoe UI" w:ascii="Segoe UI" w:hAnsi="Segoe UI"/>
          <w:b/>
          <w:color w:val="101820"/>
          <w:sz w:val="21"/>
        </w:rPr>
        <w:t>Current data</w:t>
      </w:r>
      <w:r>
        <w:rPr>
          <w:rFonts w:eastAsia="Segoe UI" w:cs="Segoe UI" w:ascii="Segoe UI" w:hAnsi="Segoe UI"/>
          <w:color w:val="101820"/>
          <w:sz w:val="21"/>
        </w:rPr>
        <w:t xml:space="preserve"> workbooks in Excel.</w:t>
      </w:r>
    </w:p>
    <w:p>
      <w:pPr>
        <w:pStyle w:val="Normal"/>
        <w:shd w:val="clear" w:color="auto" w:fill="EAF2FB"/>
        <w:spacing w:before="0" w:after="160"/>
        <w:ind w:left="170"/>
        <w:rPr/>
      </w:pPr>
      <w:r>
        <w:rPr>
          <w:rFonts w:eastAsia="Segoe UI" w:cs="Segoe UI" w:ascii="Segoe UI" w:hAnsi="Segoe UI"/>
          <w:b/>
          <w:color w:val="101820"/>
          <w:sz w:val="20"/>
        </w:rPr>
        <w:t>Section to be completed with the release.</w:t>
      </w:r>
      <w:r>
        <w:rPr>
          <w:rFonts w:eastAsia="Segoe UI" w:cs="Segoe UI" w:ascii="Segoe UI" w:hAnsi="Segoe UI"/>
          <w:color w:val="101820"/>
          <w:sz w:val="20"/>
        </w:rPr>
        <w:t xml:space="preserve"> What the report compares, how it is run and how its result is kept as evidence are described when the report is released.</w:t>
      </w:r>
      <w:r>
        <w:br w:type="page"/>
      </w:r>
    </w:p>
    <w:p>
      <w:pPr>
        <w:pStyle w:val="Heading1"/>
        <w:rPr/>
      </w:pPr>
      <w:bookmarkStart w:id="39" w:name="__RefHeading___Toc8475_1149970192"/>
      <w:bookmarkEnd w:id="39"/>
      <w:r>
        <w:rPr>
          <w:rFonts w:eastAsia="Segoe UI" w:cs="Segoe UI" w:ascii="Segoe UI" w:hAnsi="Segoe UI"/>
          <w:b/>
          <w:color w:val="0F4761"/>
          <w:sz w:val="32"/>
        </w:rPr>
        <w:t>7.  Client data flow</w:t>
      </w:r>
    </w:p>
    <w:p>
      <w:pPr>
        <w:pStyle w:val="Heading2"/>
        <w:rPr/>
      </w:pPr>
      <w:bookmarkStart w:id="40" w:name="__RefHeading___Toc8477_1149970192"/>
      <w:bookmarkEnd w:id="40"/>
      <w:r>
        <w:rPr>
          <w:rFonts w:eastAsia="Segoe UI" w:cs="Segoe UI"/>
          <w:b/>
          <w:color w:val="0F4761"/>
          <w:sz w:val="26"/>
        </w:rPr>
        <w:t>7.1  The two workbooks the broker fills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4"/>
        <w:gridCol w:w="2254"/>
        <w:gridCol w:w="2254"/>
        <w:gridCol w:w="2253"/>
      </w:tblGrid>
      <w:tr>
        <w:trPr>
          <w:tblHeader w:val="true"/>
        </w:trPr>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Workbook</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Filled by</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(masters for new business)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 users, insurers, products, chart of accounts, banks, commission rates, taxes and charges, numbering, settings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process owners with iorta TechNXT consultants, from the discovery decisions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in Dev (small, medium) or SIT (large), then promoted to UAT and Production; Pre-Prod receives it with the Production backup</w:t>
            </w:r>
          </w:p>
        </w:tc>
      </w:tr>
      <w:tr>
        <w:trPr/>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workbook (existing business)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in-force policies with legacy numbers, open premium receivables, open claims, GL opening balances</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owners, from extracts of the old system; Accounting Manager for the financial sheets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in UAT (small, medium) or SIT and UAT (large); rehearsal in Pre-Prod; final load in Production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Blank workbooks come from Master &gt; Go-Live Data Load (</w:t>
      </w:r>
      <w:r>
        <w:rPr>
          <w:rFonts w:eastAsia="Segoe UI" w:cs="Segoe UI" w:ascii="Segoe UI" w:hAnsi="Segoe UI"/>
          <w:b/>
          <w:color w:val="101820"/>
          <w:sz w:val="21"/>
        </w:rPr>
        <w:t>Blank template</w:t>
      </w:r>
      <w:r>
        <w:rPr>
          <w:rFonts w:eastAsia="Segoe UI" w:cs="Segoe UI" w:ascii="Segoe UI" w:hAnsi="Segoe UI"/>
          <w:color w:val="101820"/>
          <w:sz w:val="21"/>
        </w:rPr>
        <w:t xml:space="preserve">) or from </w:t>
      </w:r>
      <w:r>
        <w:rPr>
          <w:rFonts w:eastAsia="Consolas" w:cs="Consolas" w:ascii="Consolas" w:hAnsi="Consolas"/>
          <w:color w:val="101820"/>
          <w:sz w:val="19"/>
        </w:rPr>
        <w:t>docs/package/05_Delivery/Upload_Templates</w:t>
      </w:r>
      <w:r>
        <w:rPr>
          <w:rFonts w:eastAsia="Segoe UI" w:cs="Segoe UI" w:ascii="Segoe UI" w:hAnsi="Segoe UI"/>
          <w:color w:val="101820"/>
          <w:sz w:val="21"/>
        </w:rPr>
        <w:t xml:space="preserve"> (generated by </w:t>
      </w:r>
      <w:r>
        <w:rPr>
          <w:rFonts w:eastAsia="Consolas" w:cs="Consolas" w:ascii="Consolas" w:hAnsi="Consolas"/>
          <w:color w:val="101820"/>
          <w:sz w:val="19"/>
        </w:rPr>
        <w:t>backend/scripts/build-upload-templates.js</w:t>
      </w:r>
      <w:r>
        <w:rPr>
          <w:rFonts w:eastAsia="Segoe UI" w:cs="Segoe UI" w:ascii="Segoe UI" w:hAnsi="Segoe UI"/>
          <w:color w:val="101820"/>
          <w:sz w:val="21"/>
        </w:rPr>
        <w:t>). Each has an Instructions sheet, a Lists sheet with the allowed values and one sheet per object in load order.</w:t>
      </w:r>
    </w:p>
    <w:p>
      <w:pPr>
        <w:pStyle w:val="Heading2"/>
        <w:rPr/>
      </w:pPr>
      <w:bookmarkStart w:id="41" w:name="__RefHeading___Toc8479_1149970192"/>
      <w:bookmarkEnd w:id="41"/>
      <w:r>
        <w:rPr>
          <w:rFonts w:eastAsia="Segoe UI" w:cs="Segoe UI"/>
          <w:b/>
          <w:color w:val="0F4761"/>
          <w:sz w:val="26"/>
        </w:rPr>
        <w:t>7.2  Mock loads and the final load</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7"/>
        <w:gridCol w:w="2198"/>
        <w:gridCol w:w="2704"/>
        <w:gridCol w:w="2703"/>
      </w:tblGrid>
      <w:tr>
        <w:trPr>
          <w:tblHeader w:val="true"/>
        </w:trPr>
        <w:tc>
          <w:tcPr>
            <w:tcW w:w="1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Load</w:t>
            </w:r>
          </w:p>
        </w:tc>
        <w:tc>
          <w:tcPr>
            <w:tcW w:w="21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7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7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Exit</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1</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(small, medium); SIT (large)</w:t>
            </w:r>
          </w:p>
        </w:tc>
        <w:tc>
          <w:tcPr>
            <w:tcW w:w="27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extract at a recent date</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sheets validate; failures listed and assigned for cleansing</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2</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(small, medium); SIT or UAT (large)</w:t>
            </w:r>
          </w:p>
        </w:tc>
        <w:tc>
          <w:tcPr>
            <w:tcW w:w="27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 after cleansing</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Failures below 1% of rows and explained; control figures reconcile</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3 (medium and large)</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7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 at a month-end</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control figures reconcile; UAT on migrated data passes</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(every size)</w:t>
            </w:r>
          </w:p>
        </w:tc>
        <w:tc>
          <w:tcPr>
            <w:tcW w:w="27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 with the cutover timetable</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inside the cutover window; reconciliation signed</w:t>
            </w:r>
          </w:p>
        </w:tc>
      </w:tr>
      <w:tr>
        <w:trPr/>
        <w:tc>
          <w:tcPr>
            <w:tcW w:w="1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load</w:t>
            </w:r>
          </w:p>
        </w:tc>
        <w:tc>
          <w:tcPr>
            <w:tcW w:w="21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at cutover</w:t>
            </w:r>
          </w:p>
        </w:tc>
        <w:tc>
          <w:tcPr>
            <w:tcW w:w="27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 at the close of the day before the cutover date</w:t>
            </w:r>
          </w:p>
        </w:tc>
        <w:tc>
          <w:tcPr>
            <w:tcW w:w="27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signed by the data owners and the Accounting Manager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mock load follows the same cycle:</w:t>
      </w:r>
    </w:p>
    <w:p>
      <w:pPr>
        <w:pStyle w:val="Normal"/>
        <w:numPr>
          <w:ilvl w:val="0"/>
          <w:numId w:val="20"/>
        </w:numPr>
        <w:spacing w:before="0" w:after="60"/>
        <w:rPr/>
      </w:pPr>
      <w:r>
        <w:rPr>
          <w:rFonts w:eastAsia="Segoe UI" w:cs="Segoe UI" w:ascii="Segoe UI" w:hAnsi="Segoe UI"/>
          <w:color w:val="101820"/>
          <w:sz w:val="21"/>
        </w:rPr>
        <w:t xml:space="preserve">Set </w:t>
      </w:r>
      <w:r>
        <w:rPr>
          <w:rFonts w:eastAsia="Consolas" w:cs="Consolas" w:ascii="Consolas" w:hAnsi="Consolas"/>
          <w:color w:val="101820"/>
          <w:sz w:val="19"/>
        </w:rPr>
        <w:t>golive.cutover_date</w:t>
      </w:r>
      <w:r>
        <w:rPr>
          <w:rFonts w:eastAsia="Segoe UI" w:cs="Segoe UI" w:ascii="Segoe UI" w:hAnsi="Segoe UI"/>
          <w:color w:val="101820"/>
          <w:sz w:val="21"/>
        </w:rPr>
        <w:t xml:space="preserve"> for the mock (the first day after the extract date).</w:t>
      </w:r>
    </w:p>
    <w:p>
      <w:pPr>
        <w:pStyle w:val="Normal"/>
        <w:numPr>
          <w:ilvl w:val="0"/>
          <w:numId w:val="21"/>
        </w:numPr>
        <w:spacing w:before="0" w:after="60"/>
        <w:rPr/>
      </w:pPr>
      <w:r>
        <w:rPr>
          <w:rFonts w:eastAsia="Segoe UI" w:cs="Segoe UI" w:ascii="Segoe UI" w:hAnsi="Segoe UI"/>
          <w:color w:val="101820"/>
          <w:sz w:val="21"/>
        </w:rPr>
        <w:t>Transaction reset of the environment (the earlier mock goes, masters and configuration stay).</w:t>
      </w:r>
    </w:p>
    <w:p>
      <w:pPr>
        <w:pStyle w:val="Normal"/>
        <w:numPr>
          <w:ilvl w:val="0"/>
          <w:numId w:val="22"/>
        </w:numPr>
        <w:spacing w:before="0" w:after="60"/>
        <w:rPr/>
      </w:pPr>
      <w:r>
        <w:rPr>
          <w:rFonts w:eastAsia="Segoe UI" w:cs="Segoe UI" w:ascii="Segoe UI" w:hAnsi="Segoe UI"/>
          <w:color w:val="101820"/>
          <w:sz w:val="21"/>
        </w:rPr>
        <w:t>Upload the migration workbook; read the errors; fix in the old system or the workbook; upload again.</w:t>
      </w:r>
    </w:p>
    <w:p>
      <w:pPr>
        <w:pStyle w:val="Normal"/>
        <w:numPr>
          <w:ilvl w:val="0"/>
          <w:numId w:val="23"/>
        </w:numPr>
        <w:spacing w:before="0" w:after="60"/>
        <w:rPr/>
      </w:pPr>
      <w:r>
        <w:rPr>
          <w:rFonts w:eastAsia="Segoe UI" w:cs="Segoe UI" w:ascii="Segoe UI" w:hAnsi="Segoe UI"/>
          <w:color w:val="101820"/>
          <w:sz w:val="21"/>
        </w:rPr>
        <w:t xml:space="preserve">Load (for the migration workbook </w:t>
      </w:r>
      <w:r>
        <w:rPr>
          <w:rFonts w:eastAsia="Segoe UI" w:cs="Segoe UI" w:ascii="Segoe UI" w:hAnsi="Segoe UI"/>
          <w:b/>
          <w:color w:val="101820"/>
          <w:sz w:val="21"/>
        </w:rPr>
        <w:t>Load valid rows only</w:t>
      </w:r>
      <w:r>
        <w:rPr>
          <w:rFonts w:eastAsia="Segoe UI" w:cs="Segoe UI" w:ascii="Segoe UI" w:hAnsi="Segoe UI"/>
          <w:color w:val="101820"/>
          <w:sz w:val="21"/>
        </w:rPr>
        <w:t xml:space="preserve"> is not ticked by default: a clean, complete load is the goal).</w:t>
      </w:r>
    </w:p>
    <w:p>
      <w:pPr>
        <w:pStyle w:val="Normal"/>
        <w:numPr>
          <w:ilvl w:val="0"/>
          <w:numId w:val="24"/>
        </w:numPr>
        <w:spacing w:before="0" w:after="60"/>
        <w:rPr/>
      </w:pPr>
      <w:r>
        <w:rPr>
          <w:rFonts w:eastAsia="Segoe UI" w:cs="Segoe UI" w:ascii="Segoe UI" w:hAnsi="Segoe UI"/>
          <w:color w:val="101820"/>
          <w:sz w:val="21"/>
        </w:rPr>
        <w:t>Download the reconciliation (</w:t>
      </w:r>
      <w:r>
        <w:rPr>
          <w:rFonts w:eastAsia="Consolas" w:cs="Consolas" w:ascii="Consolas" w:hAnsi="Consolas"/>
          <w:color w:val="101820"/>
          <w:sz w:val="19"/>
        </w:rPr>
        <w:t>GET /api/data-load/batches/:id/reconciliation</w:t>
      </w:r>
      <w:r>
        <w:rPr>
          <w:rFonts w:eastAsia="Segoe UI" w:cs="Segoe UI" w:ascii="Segoe UI" w:hAnsi="Segoe UI"/>
          <w:color w:val="101820"/>
          <w:sz w:val="21"/>
        </w:rPr>
        <w:t>) and compare it with the control figures of the old system.</w:t>
      </w:r>
    </w:p>
    <w:p>
      <w:pPr>
        <w:pStyle w:val="Normal"/>
        <w:numPr>
          <w:ilvl w:val="0"/>
          <w:numId w:val="25"/>
        </w:numPr>
        <w:spacing w:before="0" w:after="60"/>
        <w:rPr/>
      </w:pPr>
      <w:r>
        <w:rPr>
          <w:rFonts w:eastAsia="Segoe UI" w:cs="Segoe UI" w:ascii="Segoe UI" w:hAnsi="Segoe UI"/>
          <w:color w:val="101820"/>
          <w:sz w:val="21"/>
        </w:rPr>
        <w:t>Record the timings and the sign-off in the reconciliation report of the Data Migration and Cutover Plan.</w:t>
      </w:r>
    </w:p>
    <w:p>
      <w:pPr>
        <w:pStyle w:val="Normal"/>
        <w:spacing w:lineRule="auto" w:line="276" w:before="0" w:after="120"/>
        <w:rPr/>
      </w:pPr>
      <w:r>
        <w:rPr>
          <w:rFonts w:eastAsia="Segoe UI" w:cs="Segoe UI" w:ascii="Segoe UI" w:hAnsi="Segoe UI"/>
          <w:color w:val="101820"/>
          <w:sz w:val="21"/>
        </w:rPr>
        <w:t>The reconciliation gives, per sheet, the rows and totals of the workbook (gross and net premium, sum insured, open balance, claim estimate, debits and credits) and the records and totals in BrokerVerse after the load, plus two checks: TB debits equal credits; the premiums receivable control account opening balance equals the total open balance of the open items.</w:t>
      </w:r>
    </w:p>
    <w:p>
      <w:pPr>
        <w:pStyle w:val="Heading2"/>
        <w:rPr/>
      </w:pPr>
      <w:bookmarkStart w:id="42" w:name="__RefHeading___Toc8481_1149970192"/>
      <w:bookmarkEnd w:id="42"/>
      <w:r>
        <w:rPr>
          <w:rFonts w:eastAsia="Segoe UI" w:cs="Segoe UI"/>
          <w:b/>
          <w:color w:val="0F4761"/>
          <w:sz w:val="26"/>
        </w:rPr>
        <w:t>7.3  Keeping migrated and new business apart and in step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blHeader w:val="true"/>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handles it</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Flags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Migrated clients carry </w:t>
            </w:r>
            <w:r>
              <w:rPr>
                <w:rFonts w:eastAsia="Consolas" w:cs="Consolas" w:ascii="Consolas" w:hAnsi="Consolas"/>
                <w:color w:val="101820"/>
                <w:kern w:val="0"/>
                <w:sz w:val="16"/>
                <w:szCs w:val="24"/>
                <w:lang w:val="en-US" w:eastAsia="ja-JP" w:bidi="ar-SA"/>
              </w:rPr>
              <w:t>source = 'go-live-migration'</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load_batch_id</w:t>
            </w:r>
            <w:r>
              <w:rPr>
                <w:rFonts w:eastAsia="Segoe UI" w:cs="Segoe UI" w:ascii="Segoe UI" w:hAnsi="Segoe UI"/>
                <w:color w:val="101820"/>
                <w:kern w:val="0"/>
                <w:sz w:val="18"/>
                <w:szCs w:val="24"/>
                <w:lang w:val="en-US" w:eastAsia="ja-JP" w:bidi="ar-SA"/>
              </w:rPr>
              <w:t xml:space="preserve">; policies </w:t>
            </w:r>
            <w:r>
              <w:rPr>
                <w:rFonts w:eastAsia="Consolas" w:cs="Consolas" w:ascii="Consolas" w:hAnsi="Consolas"/>
                <w:color w:val="101820"/>
                <w:kern w:val="0"/>
                <w:sz w:val="16"/>
                <w:szCs w:val="24"/>
                <w:lang w:val="en-US" w:eastAsia="ja-JP" w:bidi="ar-SA"/>
              </w:rPr>
              <w:t>doc.source = 'go-live-migration'</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load_batch_id</w:t>
            </w:r>
            <w:r>
              <w:rPr>
                <w:rFonts w:eastAsia="Segoe UI" w:cs="Segoe UI" w:ascii="Segoe UI" w:hAnsi="Segoe UI"/>
                <w:color w:val="101820"/>
                <w:kern w:val="0"/>
                <w:sz w:val="18"/>
                <w:szCs w:val="24"/>
                <w:lang w:val="en-US" w:eastAsia="ja-JP" w:bidi="ar-SA"/>
              </w:rPr>
              <w:t xml:space="preserve">; open items are receivables with </w:t>
            </w:r>
            <w:r>
              <w:rPr>
                <w:rFonts w:eastAsia="Consolas" w:cs="Consolas" w:ascii="Consolas" w:hAnsi="Consolas"/>
                <w:color w:val="101820"/>
                <w:kern w:val="0"/>
                <w:sz w:val="16"/>
                <w:szCs w:val="24"/>
                <w:lang w:val="en-US" w:eastAsia="ja-JP" w:bidi="ar-SA"/>
              </w:rPr>
              <w:t>source = 'opening'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go_live_date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load_batch_id</w:t>
            </w:r>
            <w:r>
              <w:rPr>
                <w:rFonts w:eastAsia="Segoe UI" w:cs="Segoe UI" w:ascii="Segoe UI" w:hAnsi="Segoe UI"/>
                <w:color w:val="101820"/>
                <w:kern w:val="0"/>
                <w:sz w:val="18"/>
                <w:szCs w:val="24"/>
                <w:lang w:val="en-US" w:eastAsia="ja-JP" w:bidi="ar-SA"/>
              </w:rPr>
              <w:t xml:space="preserve">; open claims </w:t>
            </w:r>
            <w:r>
              <w:rPr>
                <w:rFonts w:eastAsia="Consolas" w:cs="Consolas" w:ascii="Consolas" w:hAnsi="Consolas"/>
                <w:color w:val="101820"/>
                <w:kern w:val="0"/>
                <w:sz w:val="16"/>
                <w:szCs w:val="24"/>
                <w:lang w:val="en-US" w:eastAsia="ja-JP" w:bidi="ar-SA"/>
              </w:rPr>
              <w:t>details.source = 'go-live-migration'</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load_batch_id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Legacy numbers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Migrated records keep the client code, policy number and claim number of the old system</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postings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migrated policy creates no bill, booking journal or commission accrual; an open item posts no journal; an open claim sends no acknowledgement and posts nothing. The GL opening balances carry the money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TB of the old system at the close of the day before the cutover date (cutover minus one day). Debits equal credits; the sheet loads all or nothing (the rows in error show their errors, the others are held, one message for the sheet); a row with no debit or credit is ignored; loading again replaces the earlier load. The fiscal year must have no journal posted before the cutover</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dates, claim loss and reported dates and client birth dates must be before the cutover date. Policies must be in force at cutover. Every new transaction is dated on or after the cutover date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business takes the next number of its Document Numbering series. The Numbering sheet sets the next number above the migrated range. Both workbooks refuse a collision: a series whose next number would issue a number a migrated record already has, or a legacy number in the range a series has still to issue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Migrated in-force policies are ordinary active policies: the renewal queue picks them up as they near expiry. The renewal is a new BrokerVerse policy with its own number, bill and journals</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 age, are chased by the collection reminders and are paid with normal official receipts</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Amounts due to insurers and referrers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the opening balances (Due to Insurers, Commission Payable) and paid with payment vouchers (Accounts &gt; Disbursement), not through the remittance run</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written and new business exclude migrated policies (</w:t>
            </w:r>
            <w:r>
              <w:rPr>
                <w:rFonts w:eastAsia="Consolas" w:cs="Consolas" w:ascii="Consolas" w:hAnsi="Consolas"/>
                <w:color w:val="101820"/>
                <w:kern w:val="0"/>
                <w:sz w:val="16"/>
                <w:szCs w:val="24"/>
                <w:lang w:val="en-US" w:eastAsia="ja-JP" w:bidi="ar-SA"/>
              </w:rPr>
              <w:t>doc.source = 'go-live-migration'</w:t>
            </w:r>
            <w:r>
              <w:rPr>
                <w:rFonts w:eastAsia="Segoe UI" w:cs="Segoe UI" w:ascii="Segoe UI" w:hAnsi="Segoe UI"/>
                <w:color w:val="101820"/>
                <w:kern w:val="0"/>
                <w:sz w:val="18"/>
                <w:szCs w:val="24"/>
                <w:lang w:val="en-US" w:eastAsia="ja-JP" w:bidi="ar-SA"/>
              </w:rPr>
              <w:t xml:space="preserve"> or a </w:t>
            </w:r>
            <w:r>
              <w:rPr>
                <w:rFonts w:eastAsia="Consolas" w:cs="Consolas" w:ascii="Consolas" w:hAnsi="Consolas"/>
                <w:color w:val="101820"/>
                <w:kern w:val="0"/>
                <w:sz w:val="16"/>
                <w:szCs w:val="24"/>
                <w:lang w:val="en-US" w:eastAsia="ja-JP" w:bidi="ar-SA"/>
              </w:rPr>
              <w:t>load_batch_id</w:t>
            </w:r>
            <w:r>
              <w:rPr>
                <w:rFonts w:eastAsia="Segoe UI" w:cs="Segoe UI" w:ascii="Segoe UI" w:hAnsi="Segoe UI"/>
                <w:color w:val="101820"/>
                <w:kern w:val="0"/>
                <w:sz w:val="18"/>
                <w:szCs w:val="24"/>
                <w:lang w:val="en-US" w:eastAsia="ja-JP" w:bidi="ar-SA"/>
              </w:rPr>
              <w:t>); migrated policies count as policies in force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check "policies without accounting" ignores migrated policies, which were billed by the old system</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Lists and reports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lists filter on the source (</w:t>
            </w:r>
            <w:r>
              <w:rPr>
                <w:rFonts w:eastAsia="Consolas" w:cs="Consolas" w:ascii="Consolas" w:hAnsi="Consolas"/>
                <w:color w:val="101820"/>
                <w:kern w:val="0"/>
                <w:sz w:val="16"/>
                <w:szCs w:val="24"/>
                <w:lang w:val="en-US" w:eastAsia="ja-JP" w:bidi="ar-SA"/>
              </w:rPr>
              <w:t>GET /api/policies?source=go-live-migration</w:t>
            </w:r>
            <w:r>
              <w:rPr>
                <w:rFonts w:eastAsia="Segoe UI" w:cs="Segoe UI" w:ascii="Segoe UI" w:hAnsi="Segoe UI"/>
                <w:color w:val="101820"/>
                <w:kern w:val="0"/>
                <w:sz w:val="18"/>
                <w:szCs w:val="24"/>
                <w:lang w:val="en-US" w:eastAsia="ja-JP" w:bidi="ar-SA"/>
              </w:rPr>
              <w:t>). The Production Register shows a Source column (Migrated or BrokerVerse), counts migrated policies in its summary and groups by source with the Report Criteria Source, so business written in BrokerVerse is reported apart from the migrated book. The executive dashboard leaves migrated policies out of premium written and new business</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load_batch_id</w:t>
            </w:r>
            <w:r>
              <w:rPr>
                <w:rFonts w:eastAsia="Segoe UI" w:cs="Segoe UI" w:ascii="Segoe UI" w:hAnsi="Segoe UI"/>
                <w:color w:val="101820"/>
                <w:kern w:val="0"/>
                <w:sz w:val="18"/>
                <w:szCs w:val="24"/>
                <w:lang w:val="en-US" w:eastAsia="ja-JP" w:bidi="ar-SA"/>
              </w:rPr>
              <w:t xml:space="preserve"> ties every migrated record to its batch; the load history keeps who loaded what and when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After the go-live lock, the migration workbook is refused. A record missed by the final load is entered on its screen as an exception, agreed with the Accounting Manager.</w:t>
      </w:r>
      <w:r>
        <w:br w:type="page"/>
      </w:r>
    </w:p>
    <w:p>
      <w:pPr>
        <w:pStyle w:val="Heading1"/>
        <w:rPr/>
      </w:pPr>
      <w:bookmarkStart w:id="43" w:name="__RefHeading___Toc8483_1149970192"/>
      <w:bookmarkEnd w:id="43"/>
      <w:r>
        <w:rPr>
          <w:rFonts w:eastAsia="Segoe UI" w:cs="Segoe UI" w:ascii="Segoe UI" w:hAnsi="Segoe UI"/>
          <w:b/>
          <w:color w:val="0F4761"/>
          <w:sz w:val="32"/>
        </w:rPr>
        <w:t>8.  Smoke test and go-live</w:t>
      </w:r>
    </w:p>
    <w:p>
      <w:pPr>
        <w:pStyle w:val="Heading2"/>
        <w:rPr/>
      </w:pPr>
      <w:bookmarkStart w:id="44" w:name="__RefHeading___Toc8485_1149970192"/>
      <w:bookmarkEnd w:id="44"/>
      <w:r>
        <w:rPr>
          <w:rFonts w:eastAsia="Segoe UI" w:cs="Segoe UI"/>
          <w:b/>
          <w:color w:val="0F4761"/>
          <w:sz w:val="26"/>
        </w:rPr>
        <w:t>8.1  Order of events</w:t>
      </w:r>
    </w:p>
    <w:p>
      <w:pPr>
        <w:pStyle w:val="Normal"/>
        <w:numPr>
          <w:ilvl w:val="0"/>
          <w:numId w:val="26"/>
        </w:numPr>
        <w:spacing w:before="0" w:after="60"/>
        <w:rPr/>
      </w:pPr>
      <w:r>
        <w:rPr>
          <w:rFonts w:eastAsia="Segoe UI" w:cs="Segoe UI" w:ascii="Segoe UI" w:hAnsi="Segoe UI"/>
          <w:b/>
          <w:color w:val="101820"/>
          <w:sz w:val="21"/>
        </w:rPr>
        <w:t>Smoke test, preferably in Pre-Prod</w:t>
      </w:r>
      <w:r>
        <w:rPr>
          <w:rFonts w:eastAsia="Segoe UI" w:cs="Segoe UI" w:ascii="Segoe UI" w:hAnsi="Segoe UI"/>
          <w:color w:val="101820"/>
          <w:sz w:val="21"/>
        </w:rPr>
        <w:t xml:space="preserve"> with the production configuration: a quotation to policy, bill, receipt, remittance, commission and journals, a claim and a renewal (</w:t>
      </w:r>
      <w:r>
        <w:rPr>
          <w:rFonts w:eastAsia="Consolas" w:cs="Consolas" w:ascii="Consolas" w:hAnsi="Consolas"/>
          <w:color w:val="101820"/>
          <w:sz w:val="19"/>
        </w:rPr>
        <w:t>deploy/README.md</w:t>
      </w:r>
      <w:r>
        <w:rPr>
          <w:rFonts w:eastAsia="Segoe UI" w:cs="Segoe UI" w:ascii="Segoe UI" w:hAnsi="Segoe UI"/>
          <w:color w:val="101820"/>
          <w:sz w:val="21"/>
        </w:rPr>
        <w:t xml:space="preserve"> section 4 and </w:t>
      </w:r>
      <w:r>
        <w:rPr>
          <w:rFonts w:eastAsia="Consolas" w:cs="Consolas" w:ascii="Consolas" w:hAnsi="Consolas"/>
          <w:color w:val="101820"/>
          <w:sz w:val="19"/>
        </w:rPr>
        <w:t>docs/onboarding/SMOKE_TEST_AND_RESET.md</w:t>
      </w:r>
      <w:r>
        <w:rPr>
          <w:rFonts w:eastAsia="Segoe UI" w:cs="Segoe UI" w:ascii="Segoe UI" w:hAnsi="Segoe UI"/>
          <w:color w:val="101820"/>
          <w:sz w:val="21"/>
        </w:rPr>
        <w:t>).</w:t>
      </w:r>
    </w:p>
    <w:p>
      <w:pPr>
        <w:pStyle w:val="Normal"/>
        <w:numPr>
          <w:ilvl w:val="0"/>
          <w:numId w:val="27"/>
        </w:numPr>
        <w:spacing w:before="0" w:after="60"/>
        <w:rPr/>
      </w:pPr>
      <w:r>
        <w:rPr>
          <w:rFonts w:eastAsia="Segoe UI" w:cs="Segoe UI" w:ascii="Segoe UI" w:hAnsi="Segoe UI"/>
          <w:b/>
          <w:color w:val="101820"/>
          <w:sz w:val="21"/>
        </w:rPr>
        <w:t>If the smoke test must run in Production</w:t>
      </w:r>
      <w:r>
        <w:rPr>
          <w:rFonts w:eastAsia="Segoe UI" w:cs="Segoe UI" w:ascii="Segoe UI" w:hAnsi="Segoe UI"/>
          <w:color w:val="101820"/>
          <w:sz w:val="21"/>
        </w:rPr>
        <w:t xml:space="preserve"> (for example to prove the production e-mail, printer or payment gateway set-up): agree it in the cutover plan, take a database snapshot, use clearly named test data (a test branch such as </w:t>
      </w:r>
      <w:r>
        <w:rPr>
          <w:rFonts w:eastAsia="Consolas" w:cs="Consolas" w:ascii="Consolas" w:hAnsi="Consolas"/>
          <w:color w:val="101820"/>
          <w:sz w:val="19"/>
        </w:rPr>
        <w:t>TST</w:t>
      </w:r>
      <w:r>
        <w:rPr>
          <w:rFonts w:eastAsia="Segoe UI" w:cs="Segoe UI" w:ascii="Segoe UI" w:hAnsi="Segoe UI"/>
          <w:color w:val="101820"/>
          <w:sz w:val="21"/>
        </w:rPr>
        <w:t xml:space="preserve">, a test insurer and clients named </w:t>
      </w:r>
      <w:r>
        <w:rPr>
          <w:rFonts w:eastAsia="Consolas" w:cs="Consolas" w:ascii="Consolas" w:hAnsi="Consolas"/>
          <w:color w:val="101820"/>
          <w:sz w:val="19"/>
        </w:rPr>
        <w:t>ZZ TEST ...</w:t>
      </w:r>
      <w:r>
        <w:rPr>
          <w:rFonts w:eastAsia="Segoe UI" w:cs="Segoe UI" w:ascii="Segoe UI" w:hAnsi="Segoe UI"/>
          <w:color w:val="101820"/>
          <w:sz w:val="21"/>
        </w:rPr>
        <w:t>), and send nothing to real clients or insurers.</w:t>
      </w:r>
    </w:p>
    <w:p>
      <w:pPr>
        <w:pStyle w:val="Normal"/>
        <w:numPr>
          <w:ilvl w:val="0"/>
          <w:numId w:val="28"/>
        </w:numPr>
        <w:spacing w:before="0" w:after="60"/>
        <w:rPr/>
      </w:pPr>
      <w:r>
        <w:rPr>
          <w:rFonts w:eastAsia="Segoe UI" w:cs="Segoe UI" w:ascii="Segoe UI" w:hAnsi="Segoe UI"/>
          <w:b/>
          <w:color w:val="101820"/>
          <w:sz w:val="21"/>
        </w:rPr>
        <w:t>Transaction reset</w:t>
      </w:r>
      <w:r>
        <w:rPr>
          <w:rFonts w:eastAsia="Segoe UI" w:cs="Segoe UI" w:ascii="Segoe UI" w:hAnsi="Segoe UI"/>
          <w:color w:val="101820"/>
          <w:sz w:val="21"/>
        </w:rPr>
        <w:t xml:space="preserve"> after a smoke test in Production (or before each rehearsal in Pre-Prod):</w:t>
      </w:r>
    </w:p>
    <w:p>
      <w:pPr>
        <w:pStyle w:val="Normal"/>
        <w:numPr>
          <w:ilvl w:val="1"/>
          <w:numId w:val="1"/>
        </w:numPr>
        <w:spacing w:before="0" w:after="60"/>
        <w:rPr/>
      </w:pPr>
      <w:r>
        <w:rPr>
          <w:rFonts w:eastAsia="Segoe UI" w:cs="Segoe UI" w:ascii="Segoe UI" w:hAnsi="Segoe UI"/>
          <w:color w:val="101820"/>
          <w:sz w:val="21"/>
        </w:rPr>
        <w:t xml:space="preserve">stop the API instances; dry run </w:t>
      </w:r>
      <w:r>
        <w:rPr>
          <w:rFonts w:eastAsia="Consolas" w:cs="Consolas" w:ascii="Consolas" w:hAnsi="Consolas"/>
          <w:color w:val="101820"/>
          <w:sz w:val="19"/>
        </w:rPr>
        <w:t>CONFIRM_RESET=yes npm run reset:transactions</w:t>
      </w:r>
      <w:r>
        <w:rPr>
          <w:rFonts w:eastAsia="Segoe UI" w:cs="Segoe UI" w:ascii="Segoe UI" w:hAnsi="Segoe UI"/>
          <w:color w:val="101820"/>
          <w:sz w:val="21"/>
        </w:rPr>
        <w:t>;</w:t>
      </w:r>
    </w:p>
    <w:p>
      <w:pPr>
        <w:pStyle w:val="Normal"/>
        <w:numPr>
          <w:ilvl w:val="1"/>
          <w:numId w:val="1"/>
        </w:numPr>
        <w:spacing w:before="0" w:after="60"/>
        <w:rPr/>
      </w:pPr>
      <w:r>
        <w:rPr>
          <w:rFonts w:eastAsia="Segoe UI" w:cs="Segoe UI" w:ascii="Segoe UI" w:hAnsi="Segoe UI"/>
          <w:color w:val="101820"/>
          <w:sz w:val="21"/>
        </w:rPr>
        <w:t xml:space="preserve">execute with </w:t>
      </w:r>
      <w:r>
        <w:rPr>
          <w:rFonts w:eastAsia="Consolas" w:cs="Consolas" w:ascii="Consolas" w:hAnsi="Consolas"/>
          <w:color w:val="101820"/>
          <w:sz w:val="19"/>
        </w:rPr>
        <w:t>CONFIRM_RESET=yes RESET_ACTOR=&lt;username&gt; npm run reset:transactions -- --execute</w:t>
      </w:r>
      <w:r>
        <w:rPr>
          <w:rFonts w:eastAsia="Segoe UI" w:cs="Segoe UI" w:ascii="Segoe UI" w:hAnsi="Segoe UI"/>
          <w:color w:val="101820"/>
          <w:sz w:val="21"/>
        </w:rPr>
        <w:t xml:space="preserve">, adding </w:t>
      </w:r>
      <w:r>
        <w:rPr>
          <w:rFonts w:eastAsia="Consolas" w:cs="Consolas" w:ascii="Consolas" w:hAnsi="Consolas"/>
          <w:color w:val="101820"/>
          <w:sz w:val="19"/>
        </w:rPr>
        <w:t>--purge-files</w:t>
      </w:r>
      <w:r>
        <w:rPr>
          <w:rFonts w:eastAsia="Segoe UI" w:cs="Segoe UI" w:ascii="Segoe UI" w:hAnsi="Segoe UI"/>
          <w:color w:val="101820"/>
          <w:sz w:val="21"/>
        </w:rPr>
        <w:t xml:space="preserve"> to delete the files of the test transactions;</w:t>
      </w:r>
    </w:p>
    <w:p>
      <w:pPr>
        <w:pStyle w:val="Normal"/>
        <w:numPr>
          <w:ilvl w:val="1"/>
          <w:numId w:val="1"/>
        </w:numPr>
        <w:spacing w:before="0" w:after="60"/>
        <w:rPr/>
      </w:pPr>
      <w:r>
        <w:rPr>
          <w:rFonts w:eastAsia="Segoe UI" w:cs="Segoe UI" w:ascii="Segoe UI" w:hAnsi="Segoe UI"/>
          <w:color w:val="101820"/>
          <w:sz w:val="21"/>
        </w:rPr>
        <w:t>masters, configuration, users and settings are kept; transaction document series restart at the next number the Numbering sheet set (else their start number); the TB is empty and every period is open again; the reset is recorded in the audit trail;</w:t>
      </w:r>
    </w:p>
    <w:p>
      <w:pPr>
        <w:pStyle w:val="Normal"/>
        <w:numPr>
          <w:ilvl w:val="1"/>
          <w:numId w:val="1"/>
        </w:numPr>
        <w:spacing w:before="0" w:after="60"/>
        <w:rPr/>
      </w:pPr>
      <w:r>
        <w:rPr>
          <w:rFonts w:eastAsia="Segoe UI" w:cs="Segoe UI" w:ascii="Segoe UI" w:hAnsi="Segoe UI"/>
          <w:color w:val="101820"/>
          <w:sz w:val="21"/>
        </w:rPr>
        <w:t>masters created only for the test (test branch, insurer, product) are set inactive or deleted on their screen.</w:t>
      </w:r>
    </w:p>
    <w:p>
      <w:pPr>
        <w:pStyle w:val="Normal"/>
        <w:numPr>
          <w:ilvl w:val="0"/>
          <w:numId w:val="29"/>
        </w:numPr>
        <w:spacing w:before="0" w:after="60"/>
        <w:rPr/>
      </w:pPr>
      <w:r>
        <w:rPr>
          <w:rFonts w:eastAsia="Segoe UI" w:cs="Segoe UI" w:ascii="Segoe UI" w:hAnsi="Segoe UI"/>
          <w:b/>
          <w:color w:val="101820"/>
          <w:sz w:val="21"/>
        </w:rPr>
        <w:t>Final migration load</w:t>
      </w:r>
      <w:r>
        <w:rPr>
          <w:rFonts w:eastAsia="Segoe UI" w:cs="Segoe UI" w:ascii="Segoe UI" w:hAnsi="Segoe UI"/>
          <w:color w:val="101820"/>
          <w:sz w:val="21"/>
        </w:rPr>
        <w:t xml:space="preserve"> of the migration workbook in Production at cutover, then the reconciliation and its sign-off.</w:t>
      </w:r>
    </w:p>
    <w:p>
      <w:pPr>
        <w:pStyle w:val="Normal"/>
        <w:numPr>
          <w:ilvl w:val="0"/>
          <w:numId w:val="30"/>
        </w:numPr>
        <w:spacing w:before="0" w:after="60"/>
        <w:rPr/>
      </w:pPr>
      <w:r>
        <w:rPr>
          <w:rFonts w:eastAsia="Segoe UI" w:cs="Segoe UI" w:ascii="Segoe UI" w:hAnsi="Segoe UI"/>
          <w:b/>
          <w:color w:val="101820"/>
          <w:sz w:val="21"/>
        </w:rPr>
        <w:t>Go-live lock:</w:t>
      </w:r>
      <w:r>
        <w:rPr>
          <w:rFonts w:eastAsia="Segoe UI" w:cs="Segoe UI" w:ascii="Segoe UI" w:hAnsi="Segoe UI"/>
          <w:color w:val="101820"/>
          <w:sz w:val="21"/>
        </w:rPr>
        <w:t xml:space="preserve"> a System Administrator switches on </w:t>
      </w:r>
      <w:r>
        <w:rPr>
          <w:rFonts w:eastAsia="Consolas" w:cs="Consolas" w:ascii="Consolas" w:hAnsi="Consolas"/>
          <w:color w:val="101820"/>
          <w:sz w:val="19"/>
        </w:rPr>
        <w:t>golive.locked</w:t>
      </w:r>
      <w:r>
        <w:rPr>
          <w:rFonts w:eastAsia="Segoe UI" w:cs="Segoe UI" w:ascii="Segoe UI" w:hAnsi="Segoe UI"/>
          <w:color w:val="101820"/>
          <w:sz w:val="21"/>
        </w:rPr>
        <w:t xml:space="preserve"> (Master &gt; Configuration &gt; Go-live). From then on the transaction reset refuses to run (exit code 3) and the migration workbook is refused (upload, validation and load). The configuration workbook stays available for new masters. There is no option of the command that bypasses the lock; switching it off is audited and is never done on the live Production database.</w:t>
      </w:r>
    </w:p>
    <w:p>
      <w:pPr>
        <w:pStyle w:val="Normal"/>
        <w:numPr>
          <w:ilvl w:val="0"/>
          <w:numId w:val="31"/>
        </w:numPr>
        <w:spacing w:before="0" w:after="60"/>
        <w:rPr/>
      </w:pPr>
      <w:r>
        <w:rPr>
          <w:rFonts w:eastAsia="Segoe UI" w:cs="Segoe UI" w:ascii="Segoe UI" w:hAnsi="Segoe UI"/>
          <w:b/>
          <w:color w:val="101820"/>
          <w:sz w:val="21"/>
        </w:rPr>
        <w:t>Hypercare</w:t>
      </w:r>
      <w:r>
        <w:rPr>
          <w:rFonts w:eastAsia="Segoe UI" w:cs="Segoe UI" w:ascii="Segoe UI" w:hAnsi="Segoe UI"/>
          <w:color w:val="101820"/>
          <w:sz w:val="21"/>
        </w:rPr>
        <w:t xml:space="preserve"> starts on the go-live day.</w:t>
      </w:r>
    </w:p>
    <w:p>
      <w:pPr>
        <w:pStyle w:val="Heading2"/>
        <w:rPr/>
      </w:pPr>
      <w:bookmarkStart w:id="45" w:name="__RefHeading___Toc8487_1149970192"/>
      <w:bookmarkEnd w:id="45"/>
      <w:r>
        <w:rPr>
          <w:rFonts w:eastAsia="Segoe UI" w:cs="Segoe UI"/>
          <w:b/>
          <w:color w:val="0F4761"/>
          <w:sz w:val="26"/>
        </w:rPr>
        <w:t>8.2  Hypercare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5847"/>
      </w:tblGrid>
      <w:tr>
        <w:trPr>
          <w:tblHeader w:val="true"/>
        </w:trPr>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Length</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Default 2 weeks (small), 3 weeks (medium), 4 to 6 weeks (large); extended to cover the first month-end close</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Rhythm</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check-in in the first week, then weekly</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 window</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Until the end of the first business week; afterwards fix forward</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 during the window</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Transactions entered in BrokerVerse listed daily (Receipts Register, Production Register, Journal) so a rollback could be carried out</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Hypercare Exit and Handover Certificate when the criteria of Production Support chapter 16 are met: no open P1 or P2, first month-end close approved, configuration baseline recorded (a </w:t>
            </w:r>
            <w:r>
              <w:rPr>
                <w:rFonts w:eastAsia="Segoe UI" w:cs="Segoe UI" w:ascii="Segoe UI" w:hAnsi="Segoe UI"/>
                <w:b/>
                <w:color w:val="101820"/>
                <w:kern w:val="0"/>
                <w:sz w:val="18"/>
                <w:szCs w:val="24"/>
                <w:lang w:val="en-US" w:eastAsia="ja-JP" w:bidi="ar-SA"/>
              </w:rPr>
              <w:t>Current data</w:t>
            </w:r>
            <w:r>
              <w:rPr>
                <w:rFonts w:eastAsia="Segoe UI" w:cs="Segoe UI" w:ascii="Segoe UI" w:hAnsi="Segoe UI"/>
                <w:color w:val="101820"/>
                <w:kern w:val="0"/>
                <w:sz w:val="18"/>
                <w:szCs w:val="24"/>
                <w:lang w:val="en-US" w:eastAsia="ja-JP" w:bidi="ar-SA"/>
              </w:rPr>
              <w:t xml:space="preserve"> configuration workbook of Production), environment sheet current</w:t>
            </w:r>
          </w:p>
        </w:tc>
      </w:tr>
    </w:tbl>
    <w:p>
      <w:pPr>
        <w:pStyle w:val="Heading1"/>
        <w:rPr/>
      </w:pPr>
      <w:r>
        <w:br w:type="page"/>
      </w:r>
      <w:bookmarkStart w:id="46" w:name="__RefHeading___Toc8489_1149970192"/>
      <w:bookmarkEnd w:id="46"/>
      <w:r>
        <w:rPr>
          <w:rFonts w:eastAsia="Segoe UI" w:cs="Segoe UI" w:ascii="Segoe UI" w:hAnsi="Segoe UI"/>
          <w:b/>
          <w:color w:val="0F4761"/>
          <w:sz w:val="32"/>
        </w:rPr>
        <w:t>9.  Cutover runbook</w:t>
      </w:r>
    </w:p>
    <w:p>
      <w:pPr>
        <w:pStyle w:val="Heading2"/>
        <w:rPr/>
      </w:pPr>
      <w:bookmarkStart w:id="47" w:name="__RefHeading___Toc8491_1149970192"/>
      <w:bookmarkEnd w:id="47"/>
      <w:r>
        <w:rPr>
          <w:rFonts w:eastAsia="Segoe UI" w:cs="Segoe UI"/>
          <w:b/>
          <w:color w:val="0F4761"/>
          <w:sz w:val="26"/>
        </w:rPr>
        <w:t>9.1  Conventions</w:t>
      </w:r>
    </w:p>
    <w:p>
      <w:pPr>
        <w:pStyle w:val="Normal"/>
        <w:spacing w:lineRule="auto" w:line="276" w:before="0" w:after="120"/>
        <w:rPr/>
      </w:pPr>
      <w:r>
        <w:rPr>
          <w:rFonts w:eastAsia="Segoe UI" w:cs="Segoe UI" w:ascii="Segoe UI" w:hAnsi="Segoe UI"/>
          <w:color w:val="101820"/>
          <w:sz w:val="21"/>
        </w:rPr>
        <w:t xml:space="preserve">T is the go-live day: the first day of transactions in BrokerVerse and the value of </w:t>
      </w:r>
      <w:r>
        <w:rPr>
          <w:rFonts w:eastAsia="Consolas" w:cs="Consolas" w:ascii="Consolas" w:hAnsi="Consolas"/>
          <w:color w:val="101820"/>
          <w:sz w:val="19"/>
        </w:rPr>
        <w:t>golive.cutover_date</w:t>
      </w:r>
      <w:r>
        <w:rPr>
          <w:rFonts w:eastAsia="Segoe UI" w:cs="Segoe UI" w:ascii="Segoe UI" w:hAnsi="Segoe UI"/>
          <w:color w:val="101820"/>
          <w:sz w:val="21"/>
        </w:rPr>
        <w:t xml:space="preserve">. The example assumes T is a Monday. Days are calendar days. Hours are </w:t>
      </w:r>
      <w:r>
        <w:rPr>
          <w:rFonts w:eastAsia="Segoe UI" w:cs="Segoe UI" w:ascii="Segoe UI" w:hAnsi="Segoe UI"/>
          <w:b/>
          <w:color w:val="101820"/>
          <w:sz w:val="21"/>
        </w:rPr>
        <w:t>indicative</w:t>
      </w:r>
      <w:r>
        <w:rPr>
          <w:rFonts w:eastAsia="Segoe UI" w:cs="Segoe UI" w:ascii="Segoe UI" w:hAnsi="Segoe UI"/>
          <w:color w:val="101820"/>
          <w:sz w:val="21"/>
        </w:rPr>
        <w:t xml:space="preserve"> and are replaced with the times measured in the rehearsal. Checkpoints GNG-1 and GNG-2 are the go/no-go checkpoints 1 and 2 of the Data Migration and Cutover Plan.</w:t>
      </w:r>
    </w:p>
    <w:p>
      <w:pPr>
        <w:pStyle w:val="Heading2"/>
        <w:rPr/>
      </w:pPr>
      <w:bookmarkStart w:id="48" w:name="__RefHeading___Toc8493_1149970192"/>
      <w:bookmarkEnd w:id="48"/>
      <w:r>
        <w:rPr>
          <w:rFonts w:eastAsia="Segoe UI" w:cs="Segoe UI"/>
          <w:b/>
          <w:color w:val="0F4761"/>
          <w:sz w:val="26"/>
        </w:rPr>
        <w:t>9.2  T-30 to T-1</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0"/>
        <w:gridCol w:w="2502"/>
        <w:gridCol w:w="2500"/>
        <w:gridCol w:w="2501"/>
      </w:tblGrid>
      <w:tr>
        <w:trPr>
          <w:tblHeader w:val="true"/>
        </w:trPr>
        <w:tc>
          <w:tcPr>
            <w:tcW w:w="1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2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2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2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provisioned at production topology; secrets created in the secret store; backups running; one restore test done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restore test record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candidate tag fixed; from now only P1 and P2 fixes enter it</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release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Tag and release notes draft</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Go-live date confirmed; </w:t>
            </w:r>
            <w:r>
              <w:rPr>
                <w:rFonts w:eastAsia="Consolas" w:cs="Consolas" w:ascii="Consolas" w:hAnsi="Consolas"/>
                <w:color w:val="101820"/>
                <w:kern w:val="0"/>
                <w:sz w:val="16"/>
                <w:szCs w:val="24"/>
                <w:lang w:val="en-US" w:eastAsia="ja-JP" w:bidi="ar-SA"/>
              </w:rPr>
              <w:t>golive.cutover_date</w:t>
            </w:r>
            <w:r>
              <w:rPr>
                <w:rFonts w:eastAsia="Segoe UI" w:cs="Segoe UI" w:ascii="Segoe UI" w:hAnsi="Segoe UI"/>
                <w:color w:val="101820"/>
                <w:kern w:val="0"/>
                <w:sz w:val="18"/>
                <w:szCs w:val="24"/>
                <w:lang w:val="en-US" w:eastAsia="ja-JP" w:bidi="ar-SA"/>
              </w:rPr>
              <w:t xml:space="preserve"> set in UAT for the last mock load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 minutes</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T-28</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mock load in UAT on a fresh extract; reconciliation compared with the control figures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 broker data owners</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workbook; sign-off</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T-21</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completed and signed: UAT Sign-off Certificate (Form 1)</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process owners and sponsor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1</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T-21</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freeze declared; changes only by CAB</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 iorta TechNXT delivery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notice</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Release deployed to Production; technical smoke test of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administrator password changed; two-step verification on for the required roles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 broker System Administrator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record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T-19</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promoted from UAT to Production: Users sheet without test personas, Numbering sheet set from the old system's last numbers plus one; authority limits approved; on-screen items entered; comparison UAT against Production shows no change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iorta TechNXT consultant</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history; validation result; promotion checklist</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T-18</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backup taken; Pre-Prod created from it at production topology (section 4.3); own secrets, e-mail off, scheduler stopped; masked first if anyone without production access takes part</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restore record (counts as a restore test)</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T-17 to T-15</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rehearsal in Pre-Prod: smoke test, transaction reset, migration load of a fresh extract, reconciliation, go-live lock switched on and off again; each step timed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 broker Accounting Manager and key users</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log with timings; reconciliation signed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T-14</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 approves the Production deployment and the cutover plan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change owner; iorta TechNXT support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 record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T-14</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GNG-1:</w:t>
            </w:r>
            <w:r>
              <w:rPr>
                <w:rFonts w:eastAsia="Segoe UI" w:cs="Segoe UI" w:ascii="Segoe UI" w:hAnsi="Segoe UI"/>
                <w:color w:val="101820"/>
                <w:kern w:val="0"/>
                <w:sz w:val="18"/>
                <w:szCs w:val="24"/>
                <w:lang w:val="en-US" w:eastAsia="ja-JP" w:bidi="ar-SA"/>
              </w:rPr>
              <w:t xml:space="preserve"> UAT signed, rehearsal reconciled, training on track, configuration ready in Production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T-12</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payment gateway credentials and SMTP in the secret store; any configuration change found in the rehearsal made in UAT and promoted to Production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Promotion checklist; CAB record of any change</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T-11</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Comparison Production against Pre-Prod shows no configuration change other than those approved; tax codes, premium taxes and LGU rates confirmed by the tax adviser</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consultant; broker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 result; adviser confirmation</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in Production only if not done in Pre-Prod: snapshot, test data, then transaction reset and check that Leads, Clients, Policies and the TB are empty</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 broker key users</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id; reset audit entry</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T-7</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signed in once in Production; communication sent to users, insurers and banks; hypercare roster published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 broker System Administrator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history; communication log</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T-5</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reconciled in Production; document numbering checked on the screen preview; fiscal year and periods set, periods before T closed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Accounting</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checklist items 3 to 12</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 (Friday) 17:00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 system frozen for new transactions; last receipts and vouchers of the day posted there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notice</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 (Friday) 18:00 to 22:00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Day-end in the old system; extracts of clients, in-force policies, open receivables, open claims and TB; control figures produced and signed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owners;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control figures</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 (Saturday) 08:00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snapshot before the loads; </w:t>
            </w:r>
            <w:r>
              <w:rPr>
                <w:rFonts w:eastAsia="Consolas" w:cs="Consolas" w:ascii="Consolas" w:hAnsi="Consolas"/>
                <w:color w:val="101820"/>
                <w:kern w:val="0"/>
                <w:sz w:val="16"/>
                <w:szCs w:val="24"/>
                <w:lang w:val="en-US" w:eastAsia="ja-JP" w:bidi="ar-SA"/>
              </w:rPr>
              <w:t>golive.cutover_date</w:t>
            </w:r>
            <w:r>
              <w:rPr>
                <w:rFonts w:eastAsia="Segoe UI" w:cs="Segoe UI" w:ascii="Segoe UI" w:hAnsi="Segoe UI"/>
                <w:color w:val="101820"/>
                <w:kern w:val="0"/>
                <w:sz w:val="18"/>
                <w:szCs w:val="24"/>
                <w:lang w:val="en-US" w:eastAsia="ja-JP" w:bidi="ar-SA"/>
              </w:rPr>
              <w:t xml:space="preserve"> = T checked in Production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id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 (Saturday) 09:00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workbook uploaded and validated; errors downloaded and fixed; validated again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 broker data owners</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 history</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 (Saturday) 13:00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workbook loaded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migration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Batch status </w:t>
            </w:r>
            <w:r>
              <w:rPr>
                <w:rFonts w:eastAsia="Consolas" w:cs="Consolas" w:ascii="Consolas" w:hAnsi="Consolas"/>
                <w:color w:val="101820"/>
                <w:kern w:val="0"/>
                <w:sz w:val="16"/>
                <w:szCs w:val="24"/>
                <w:lang w:val="en-US" w:eastAsia="ja-JP" w:bidi="ar-SA"/>
              </w:rPr>
              <w:t>loaded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T-2 (Saturday) 14:00 to 18:00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downloaded and compared with the control figures; differences explained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workbook</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(Sunday) 09:00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sample checks (20 policies per line, 20 open items, TB line by line)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check sheet</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(Sunday) 12:00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report signed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owners; Accounting Manager</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report</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(Sunday) 14:00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GNG-2 (final):</w:t>
            </w:r>
            <w:r>
              <w:rPr>
                <w:rFonts w:eastAsia="Segoe UI" w:cs="Segoe UI" w:ascii="Segoe UI" w:hAnsi="Segoe UI"/>
                <w:color w:val="101820"/>
                <w:kern w:val="0"/>
                <w:sz w:val="18"/>
                <w:szCs w:val="24"/>
                <w:lang w:val="en-US" w:eastAsia="ja-JP" w:bidi="ar-SA"/>
              </w:rPr>
              <w:t xml:space="preserve"> criteria of the Data Migration and Cutover Plan</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go decision</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(Sunday) 15:00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golive.locked</w:t>
            </w:r>
            <w:r>
              <w:rPr>
                <w:rFonts w:eastAsia="Segoe UI" w:cs="Segoe UI" w:ascii="Segoe UI" w:hAnsi="Segoe UI"/>
                <w:color w:val="101820"/>
                <w:kern w:val="0"/>
                <w:sz w:val="18"/>
                <w:szCs w:val="24"/>
                <w:lang w:val="en-US" w:eastAsia="ja-JP" w:bidi="ar-SA"/>
              </w:rPr>
              <w:t xml:space="preserve"> switched on; snapshot of the go-live baseline</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entry; snapshot id</w:t>
            </w:r>
          </w:p>
        </w:tc>
      </w:tr>
      <w:tr>
        <w:trPr/>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(Sunday) 16:00</w:t>
            </w:r>
          </w:p>
        </w:tc>
        <w:tc>
          <w:tcPr>
            <w:tcW w:w="2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and "Send e-mails" switched on; old system set to read-only</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System Administrator; iorta TechNXT DevOps lead</w:t>
            </w:r>
          </w:p>
        </w:tc>
        <w:tc>
          <w:tcPr>
            <w:tcW w:w="2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screen; E-mail Outbox</w:t>
            </w:r>
          </w:p>
        </w:tc>
      </w:tr>
    </w:tbl>
    <w:p>
      <w:pPr>
        <w:pStyle w:val="Normal"/>
        <w:spacing w:before="0" w:after="80"/>
        <w:rPr/>
      </w:pPr>
      <w:r>
        <w:rPr/>
      </w:r>
    </w:p>
    <w:p>
      <w:pPr>
        <w:pStyle w:val="Heading2"/>
        <w:rPr/>
      </w:pPr>
      <w:bookmarkStart w:id="49" w:name="__RefHeading___Toc8495_1149970192"/>
      <w:bookmarkEnd w:id="49"/>
      <w:r>
        <w:rPr>
          <w:rFonts w:eastAsia="Segoe UI" w:cs="Segoe UI"/>
          <w:b/>
          <w:color w:val="0F4761"/>
          <w:sz w:val="26"/>
        </w:rPr>
        <w:t>9.3  T to T+30</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62"/>
        <w:gridCol w:w="2575"/>
        <w:gridCol w:w="2575"/>
        <w:gridCol w:w="2200"/>
      </w:tblGrid>
      <w:tr>
        <w:trPr>
          <w:tblHeader w:val="true"/>
        </w:trPr>
        <w:tc>
          <w:tcPr>
            <w:tcW w:w="16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22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 07:30</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checks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ready, </w:t>
            </w:r>
            <w:r>
              <w:rPr>
                <w:rFonts w:eastAsia="Consolas" w:cs="Consolas" w:ascii="Consolas" w:hAnsi="Consolas"/>
                <w:color w:val="101820"/>
                <w:kern w:val="0"/>
                <w:sz w:val="16"/>
                <w:szCs w:val="24"/>
                <w:lang w:val="en-US" w:eastAsia="ja-JP" w:bidi="ar-SA"/>
              </w:rPr>
              <w:t>/api/version</w:t>
            </w:r>
            <w:r>
              <w:rPr>
                <w:rFonts w:eastAsia="Segoe UI" w:cs="Segoe UI" w:ascii="Segoe UI" w:hAnsi="Segoe UI"/>
                <w:color w:val="101820"/>
                <w:kern w:val="0"/>
                <w:sz w:val="18"/>
                <w:szCs w:val="24"/>
                <w:lang w:val="en-US" w:eastAsia="ja-JP" w:bidi="ar-SA"/>
              </w:rPr>
              <w:t xml:space="preserve"> shows the tag); floor support in place</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 hypercare team</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policies, receipts and bank imports watched; daily list of BrokerVerse transactions for the rollback window</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team; broker key users</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list</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 17:00</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hypercare call: issues, decisions, rollback status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 iorta TechNXT PM</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T+1 to T+4</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check-ins; first remittance to insurers; first bank statement per account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hypercare team</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reference; bank reconciliation</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T+4 (Friday)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 window ends; decision recorded (continue, or roll back as in the Data Migration and Cutover Plan)</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T+7</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criteria checked; Go-live Acceptance Certificate (Form 2) signed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iorta TechNXT PM</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 2</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T+7 to T+30</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meetings; known issues and workarounds recorded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PM; broker PM</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knowledge base</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T+7 to T+30</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kept to rehearse hypercare fixes on the go-live data</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prepared by Accounting and approved by the Accounting Manager; TB compared with the opening balances plus the month's activity</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Month-End Close run</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T+30 (or after the first close)</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configuration baseline (</w:t>
            </w:r>
            <w:r>
              <w:rPr>
                <w:rFonts w:eastAsia="Segoe UI" w:cs="Segoe UI" w:ascii="Segoe UI" w:hAnsi="Segoe UI"/>
                <w:b/>
                <w:color w:val="101820"/>
                <w:kern w:val="0"/>
                <w:sz w:val="18"/>
                <w:szCs w:val="24"/>
                <w:lang w:val="en-US" w:eastAsia="ja-JP" w:bidi="ar-SA"/>
              </w:rPr>
              <w:t>Current data</w:t>
            </w:r>
            <w:r>
              <w:rPr>
                <w:rFonts w:eastAsia="Segoe UI" w:cs="Segoe UI" w:ascii="Segoe UI" w:hAnsi="Segoe UI"/>
                <w:color w:val="101820"/>
                <w:kern w:val="0"/>
                <w:sz w:val="18"/>
                <w:szCs w:val="24"/>
                <w:lang w:val="en-US" w:eastAsia="ja-JP" w:bidi="ar-SA"/>
              </w:rPr>
              <w:t xml:space="preserve"> workbook of Production) and environment sheet handed over; Hypercare Exit and Handover Certificate</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PM and support manager; broker IT head</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w:t>
            </w:r>
          </w:p>
        </w:tc>
      </w:tr>
      <w:tr>
        <w:trPr/>
        <w:tc>
          <w:tcPr>
            <w:tcW w:w="16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hypercare exit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removed: database, file store, backups and secrets deleted; hosting of Pre-Prod stops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DevOps lead</w:t>
            </w:r>
          </w:p>
        </w:tc>
        <w:tc>
          <w:tcPr>
            <w:tcW w:w="22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deletion record</w:t>
            </w:r>
          </w:p>
        </w:tc>
      </w:tr>
    </w:tbl>
    <w:p>
      <w:pPr>
        <w:pStyle w:val="Heading1"/>
        <w:rPr/>
      </w:pPr>
      <w:r>
        <w:br w:type="page"/>
      </w:r>
      <w:bookmarkStart w:id="50" w:name="__RefHeading___Toc8497_1149970192"/>
      <w:bookmarkEnd w:id="50"/>
      <w:r>
        <w:rPr>
          <w:rFonts w:eastAsia="Segoe UI" w:cs="Segoe UI" w:ascii="Segoe UI" w:hAnsi="Segoe UI"/>
          <w:b/>
          <w:color w:val="0F4761"/>
          <w:sz w:val="32"/>
        </w:rPr>
        <w:t>10.  RACI and checklists</w:t>
      </w:r>
    </w:p>
    <w:p>
      <w:pPr>
        <w:pStyle w:val="Heading2"/>
        <w:rPr/>
      </w:pPr>
      <w:bookmarkStart w:id="51" w:name="__RefHeading___Toc8499_1149970192"/>
      <w:bookmarkEnd w:id="51"/>
      <w:r>
        <w:rPr>
          <w:rFonts w:eastAsia="Segoe UI" w:cs="Segoe UI"/>
          <w:b/>
          <w:color w:val="0F4761"/>
          <w:sz w:val="26"/>
        </w:rPr>
        <w:t>10.1  RACI for environment and release activities</w:t>
      </w:r>
    </w:p>
    <w:p>
      <w:pPr>
        <w:pStyle w:val="Normal"/>
        <w:spacing w:lineRule="auto" w:line="276" w:before="0" w:after="120"/>
        <w:rPr/>
      </w:pPr>
      <w:r>
        <w:rPr>
          <w:rFonts w:eastAsia="Segoe UI" w:cs="Segoe UI" w:ascii="Segoe UI" w:hAnsi="Segoe UI"/>
          <w:color w:val="101820"/>
          <w:sz w:val="21"/>
        </w:rPr>
        <w:t>R responsible, A accountable, C consulted, I informed. iorta TechNXT roles: DevOps lead (Ops), delivery team with the migration lead (Dlv), release and support manager (Sup). Broker roles: project manager (PM), System Administrator (SA), Accounting Manager (AM), key users and process owners (KU), IT head and change owner (IT).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56"/>
        <w:gridCol w:w="908"/>
        <w:gridCol w:w="906"/>
        <w:gridCol w:w="907"/>
        <w:gridCol w:w="908"/>
        <w:gridCol w:w="906"/>
        <w:gridCol w:w="907"/>
        <w:gridCol w:w="908"/>
        <w:gridCol w:w="906"/>
      </w:tblGrid>
      <w:tr>
        <w:trPr>
          <w:tblHeader w:val="true"/>
        </w:trPr>
        <w:tc>
          <w:tcPr>
            <w:tcW w:w="17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Ops</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Dlv</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Sup</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PM</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KU</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Provision and size environments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Secrets and secret store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Branching, CI, release tag</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 to Dev and SIT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 (Dev or SIT) and SIT exit report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Promote configuration from Dev or SIT to UAT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and UAT sign-off</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and reconciliation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freeze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CAB approval of the release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 to Production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 mask and remove Pre-Prod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Promote configuration to Production; on-screen items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Smoke test and transaction reset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Final migration load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lock</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checkpoints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Rollback decision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1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after go-live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steering committee holds the go/no-go and rollback decisions; the PM column shows the broker's accountable member of it.</w:t>
      </w:r>
    </w:p>
    <w:p>
      <w:pPr>
        <w:pStyle w:val="Heading2"/>
        <w:rPr/>
      </w:pPr>
      <w:bookmarkStart w:id="52" w:name="__RefHeading___Toc8501_1149970192"/>
      <w:bookmarkEnd w:id="52"/>
      <w:r>
        <w:rPr>
          <w:rFonts w:eastAsia="Segoe UI" w:cs="Segoe UI"/>
          <w:b/>
          <w:color w:val="0F4761"/>
          <w:sz w:val="26"/>
        </w:rPr>
        <w:t>10.2  Checklist: system integration test (Dev or SIT)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requests merged; CI green on the last one; release candidate tagged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New tables classified in </w:t>
            </w:r>
            <w:r>
              <w:rPr>
                <w:rFonts w:eastAsia="Consolas" w:cs="Consolas" w:ascii="Consolas" w:hAnsi="Consolas"/>
                <w:color w:val="101820"/>
                <w:kern w:val="0"/>
                <w:sz w:val="16"/>
                <w:szCs w:val="24"/>
                <w:lang w:val="en-US" w:eastAsia="ja-JP" w:bidi="ar-SA"/>
              </w:rPr>
              <w:t>table-classification.js</w:t>
            </w:r>
            <w:r>
              <w:rPr>
                <w:rFonts w:eastAsia="Segoe UI" w:cs="Segoe UI" w:ascii="Segoe UI" w:hAnsi="Segoe UI"/>
                <w:color w:val="101820"/>
                <w:kern w:val="0"/>
                <w:sz w:val="18"/>
                <w:szCs w:val="24"/>
                <w:lang w:val="en-US" w:eastAsia="ja-JP" w:bidi="ar-SA"/>
              </w:rPr>
              <w:t>; upload templates regenerated if an importer changed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drafted, with migrations and manual actions listed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Deployed to Dev (small, medium) or SIT (large);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ready with </w:t>
            </w:r>
            <w:r>
              <w:rPr>
                <w:rFonts w:eastAsia="Consolas" w:cs="Consolas" w:ascii="Consolas" w:hAnsi="Consolas"/>
                <w:color w:val="101820"/>
                <w:kern w:val="0"/>
                <w:sz w:val="16"/>
                <w:szCs w:val="24"/>
                <w:lang w:val="en-US" w:eastAsia="ja-JP" w:bidi="ar-SA"/>
              </w:rPr>
              <w:t>pendingMigrations: 0</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/api/version</w:t>
            </w:r>
            <w:r>
              <w:rPr>
                <w:rFonts w:eastAsia="Segoe UI" w:cs="Segoe UI" w:ascii="Segoe UI" w:hAnsi="Segoe UI"/>
                <w:color w:val="101820"/>
                <w:kern w:val="0"/>
                <w:sz w:val="18"/>
                <w:szCs w:val="24"/>
                <w:lang w:val="en-US" w:eastAsia="ja-JP" w:bidi="ar-SA"/>
              </w:rPr>
              <w:t xml:space="preserve"> shows the tag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Smoke test of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passed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uat-scenario.js</w:t>
            </w:r>
            <w:r>
              <w:rPr>
                <w:rFonts w:eastAsia="Segoe UI" w:cs="Segoe UI" w:ascii="Segoe UI" w:hAnsi="Segoe UI"/>
                <w:color w:val="101820"/>
                <w:kern w:val="0"/>
                <w:sz w:val="18"/>
                <w:szCs w:val="24"/>
                <w:lang w:val="en-US" w:eastAsia="ja-JP" w:bidi="ar-SA"/>
              </w:rPr>
              <w:t xml:space="preserve"> on a fresh database: all steps passed</w:t>
            </w:r>
          </w:p>
        </w:tc>
      </w:tr>
    </w:tbl>
    <w:p>
      <w:pPr>
        <w:pStyle w:val="Normal"/>
        <w:spacing w:before="0" w:after="80"/>
        <w:rPr/>
      </w:pPr>
      <w:r>
        <w:rPr/>
      </w:r>
    </w:p>
    <w:p>
      <w:pPr>
        <w:pStyle w:val="Heading2"/>
        <w:rPr/>
      </w:pPr>
      <w:bookmarkStart w:id="53" w:name="__RefHeading___Toc8503_1149970192"/>
      <w:bookmarkEnd w:id="53"/>
      <w:r>
        <w:rPr>
          <w:rFonts w:eastAsia="Segoe UI" w:cs="Segoe UI"/>
          <w:b/>
          <w:color w:val="0F4761"/>
          <w:sz w:val="26"/>
        </w:rPr>
        <w:t>10.3  Checklist: Dev or SIT to UAT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 end-to-end flows passed, no open P1 or P2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tag deployed; migrations applied on start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w:t>
            </w:r>
            <w:r>
              <w:rPr>
                <w:rFonts w:eastAsia="Segoe UI" w:cs="Segoe UI" w:ascii="Segoe UI" w:hAnsi="Segoe UI"/>
                <w:b/>
                <w:color w:val="101820"/>
                <w:kern w:val="0"/>
                <w:sz w:val="18"/>
                <w:szCs w:val="24"/>
                <w:lang w:val="en-US" w:eastAsia="ja-JP" w:bidi="ar-SA"/>
              </w:rPr>
              <w:t>Current data</w:t>
            </w:r>
            <w:r>
              <w:rPr>
                <w:rFonts w:eastAsia="Segoe UI" w:cs="Segoe UI" w:ascii="Segoe UI" w:hAnsi="Segoe UI"/>
                <w:color w:val="101820"/>
                <w:kern w:val="0"/>
                <w:sz w:val="18"/>
                <w:szCs w:val="24"/>
                <w:lang w:val="en-US" w:eastAsia="ja-JP" w:bidi="ar-SA"/>
              </w:rPr>
              <w:t>) of Dev or SIT reviewed (users, numbering) and loaded; authority limits approved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On-screen items entered and ticked on the promotion checklist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access list approved; two-step verification on for the required roles; "Send e-mails" off or internal addresses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reset; latest mock migration loaded and reconciled</w:t>
            </w:r>
          </w:p>
        </w:tc>
      </w:tr>
    </w:tbl>
    <w:p>
      <w:pPr>
        <w:pStyle w:val="Normal"/>
        <w:spacing w:before="0" w:after="80"/>
        <w:rPr/>
      </w:pPr>
      <w:r>
        <w:rPr/>
      </w:r>
    </w:p>
    <w:p>
      <w:pPr>
        <w:pStyle w:val="Heading2"/>
        <w:rPr/>
      </w:pPr>
      <w:bookmarkStart w:id="54" w:name="__RefHeading___Toc8505_1149970192"/>
      <w:bookmarkEnd w:id="54"/>
      <w:r>
        <w:rPr>
          <w:rFonts w:eastAsia="Segoe UI" w:cs="Segoe UI"/>
          <w:b/>
          <w:color w:val="0F4761"/>
          <w:sz w:val="26"/>
        </w:rPr>
        <w:t>10.4  Checklist: UAT to Production and the Pre-Prod rehearsal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Certificate (Form 1) signed; configuration freeze declared; CAB approval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secrets set;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 production start-up check passed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tag deployed to Production; technical smoke test passed; administrator password changed; two-step verification 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promoted with test personas removed and numbering set from the old system; on-screen items entered; comparison UAT against Production shows no change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backup taken; Pre-Prod restored from it at production topology, versions and non-secret settings (section 4.8); masked if people without production access take part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Scheduler and e-mail controlled for the rehearsal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done and timed; reconciliation signed; lock switched off again if a second rehearsal is needed</w:t>
            </w:r>
          </w:p>
        </w:tc>
      </w:tr>
    </w:tbl>
    <w:p>
      <w:pPr>
        <w:pStyle w:val="Normal"/>
        <w:spacing w:before="0" w:after="80"/>
        <w:rPr/>
      </w:pPr>
      <w:r>
        <w:rPr/>
      </w:r>
    </w:p>
    <w:p>
      <w:pPr>
        <w:pStyle w:val="Heading2"/>
        <w:rPr/>
      </w:pPr>
      <w:bookmarkStart w:id="55" w:name="__RefHeading___Toc8507_1149970192"/>
      <w:bookmarkEnd w:id="55"/>
      <w:r>
        <w:rPr>
          <w:rFonts w:eastAsia="Segoe UI" w:cs="Segoe UI"/>
          <w:b/>
          <w:color w:val="0F4761"/>
          <w:sz w:val="26"/>
        </w:rPr>
        <w:t>10.5  Checklist: go-live in Production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GNG-1 passed; CAB approval of the cutover; release notes issued 5 business days ahead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Snapshot before the loads; </w:t>
            </w:r>
            <w:r>
              <w:rPr>
                <w:rFonts w:eastAsia="Consolas" w:cs="Consolas" w:ascii="Consolas" w:hAnsi="Consolas"/>
                <w:color w:val="101820"/>
                <w:kern w:val="0"/>
                <w:sz w:val="16"/>
                <w:szCs w:val="24"/>
                <w:lang w:val="en-US" w:eastAsia="ja-JP" w:bidi="ar-SA"/>
              </w:rPr>
              <w:t>golive.cutover_date</w:t>
            </w:r>
            <w:r>
              <w:rPr>
                <w:rFonts w:eastAsia="Segoe UI" w:cs="Segoe UI" w:ascii="Segoe UI" w:hAnsi="Segoe UI"/>
                <w:color w:val="101820"/>
                <w:kern w:val="0"/>
                <w:sz w:val="18"/>
                <w:szCs w:val="24"/>
                <w:lang w:val="en-US" w:eastAsia="ja-JP" w:bidi="ar-SA"/>
              </w:rPr>
              <w:t xml:space="preserve"> checked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Comparison Production against Pre-Prod shows no unapproved configuration change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If a smoke test ran in Production: transaction reset done and checked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Final migration loaded and reconciled; GNG-2 passed; </w:t>
            </w:r>
            <w:r>
              <w:rPr>
                <w:rFonts w:eastAsia="Consolas" w:cs="Consolas" w:ascii="Consolas" w:hAnsi="Consolas"/>
                <w:color w:val="101820"/>
                <w:kern w:val="0"/>
                <w:sz w:val="16"/>
                <w:szCs w:val="24"/>
                <w:lang w:val="en-US" w:eastAsia="ja-JP" w:bidi="ar-SA"/>
              </w:rPr>
              <w:t>golive.locked</w:t>
            </w:r>
            <w:r>
              <w:rPr>
                <w:rFonts w:eastAsia="Segoe UI" w:cs="Segoe UI" w:ascii="Segoe UI" w:hAnsi="Segoe UI"/>
                <w:color w:val="101820"/>
                <w:kern w:val="0"/>
                <w:sz w:val="18"/>
                <w:szCs w:val="24"/>
                <w:lang w:val="en-US" w:eastAsia="ja-JP" w:bidi="ar-SA"/>
              </w:rPr>
              <w:t xml:space="preserve"> on; schedules and e-mail 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removal planned for hypercare exit and recorded in the environment sheet</w:t>
            </w:r>
          </w:p>
        </w:tc>
      </w:tr>
    </w:tbl>
    <w:p>
      <w:pPr>
        <w:pStyle w:val="Normal"/>
        <w:spacing w:before="0" w:after="80"/>
        <w:rPr/>
      </w:pPr>
      <w:r>
        <w:rPr/>
      </w:r>
    </w:p>
    <w:p>
      <w:pPr>
        <w:pStyle w:val="Heading2"/>
        <w:rPr/>
      </w:pPr>
      <w:bookmarkStart w:id="56" w:name="__RefHeading___Toc8509_1149970192"/>
      <w:bookmarkEnd w:id="56"/>
      <w:r>
        <w:rPr>
          <w:rFonts w:eastAsia="Segoe UI" w:cs="Segoe UI"/>
          <w:b/>
          <w:color w:val="0F4761"/>
          <w:sz w:val="26"/>
        </w:rPr>
        <w:t>10.6  Checklist: release after go-live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approved by the CAB, with test evidence and rollback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rehearsed on the same tag: major release in a Pre-Prod created from a Production backup (masked if needed) and removed afterwards; minor or patch release in UAT (and SIT for a large broker)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taken in the maintenance window before deploying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Deployed one instance first; </w:t>
            </w:r>
            <w:r>
              <w:rPr>
                <w:rFonts w:eastAsia="Consolas" w:cs="Consolas" w:ascii="Consolas" w:hAnsi="Consolas"/>
                <w:color w:val="101820"/>
                <w:kern w:val="0"/>
                <w:sz w:val="16"/>
                <w:szCs w:val="24"/>
                <w:lang w:val="en-US" w:eastAsia="ja-JP" w:bidi="ar-SA"/>
              </w:rPr>
              <w:t>/api/version</w:t>
            </w:r>
            <w:r>
              <w:rPr>
                <w:rFonts w:eastAsia="Segoe UI" w:cs="Segoe UI" w:ascii="Segoe UI" w:hAnsi="Segoe UI"/>
                <w:color w:val="101820"/>
                <w:kern w:val="0"/>
                <w:sz w:val="18"/>
                <w:szCs w:val="24"/>
                <w:lang w:val="en-US" w:eastAsia="ja-JP" w:bidi="ar-SA"/>
              </w:rPr>
              <w:t xml:space="preserve"> shows the tag; no pending migration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passed; manual actions of the release notes 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image and front-end build kept for rollback</w:t>
            </w:r>
          </w:p>
        </w:tc>
      </w:tr>
    </w:tbl>
    <w:p>
      <w:pPr>
        <w:pStyle w:val="Heading1"/>
        <w:rPr/>
      </w:pPr>
      <w:r>
        <w:br w:type="page"/>
      </w:r>
      <w:bookmarkStart w:id="57" w:name="__RefHeading___Toc8511_1149970192"/>
      <w:bookmarkEnd w:id="57"/>
      <w:r>
        <w:rPr>
          <w:rFonts w:eastAsia="Segoe UI" w:cs="Segoe UI" w:ascii="Segoe UI" w:hAnsi="Segoe UI"/>
          <w:b/>
          <w:color w:val="0F4761"/>
          <w:sz w:val="32"/>
        </w:rPr>
        <w:t>11.  Decisions and sections to complete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82"/>
        <w:gridCol w:w="2974"/>
        <w:gridCol w:w="275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3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 of 04 October 2026</w:t>
            </w:r>
          </w:p>
        </w:tc>
        <w:tc>
          <w:tcPr>
            <w:tcW w:w="27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by broker size</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and medium: Dev, UAT, Production, with integration in Dev. Large: Dev, SIT, UAT, Production, with SIT and UAT separate</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4.2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 for every size: created from a Production backup for the go-live rehearsal and each major release, then removed</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4.3</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cost of SIT and Pre-Prod</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Priced per environment in the pricing workbook and the Rate Card; Pre-Prod per month of use</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4.5</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build</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build promoted through all environments, with runtime configuration</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5.5: to be completed with the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jobs</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pipeline with an approval gate per environment</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5.3: to be completed with the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Comparison report between environments</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Added</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6.6: to be completed with the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3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w:t>
            </w:r>
          </w:p>
        </w:tc>
        <w:tc>
          <w:tcPr>
            <w:tcW w:w="2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masking tool is required</w:t>
            </w:r>
          </w:p>
        </w:tc>
        <w:tc>
          <w:tcPr>
            <w:tcW w:w="27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4.9: to be completed with the release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58" w:name="__RefHeading___Toc8513_1149970192"/>
      <w:bookmarkStart w:id="59" w:name="_Toc233203395"/>
      <w:bookmarkEnd w:id="58"/>
      <w:r>
        <w:rPr>
          <w:rStyle w:val="BookTitle"/>
          <w:bCs w:val="false"/>
          <w:i w:val="false"/>
          <w:iCs w:val="false"/>
          <w:spacing w:val="0"/>
        </w:rPr>
        <w:t>12.  Document Sign-Off</w:t>
      </w:r>
      <w:bookmarkEnd w:id="5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Sections marked "Section to be completed with the release" (front-end build, release pipeline, comparison report, data masking) are completed when those deliveries are released</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DevOps lead</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lvlOverride w:ilvl="0">
      <w:startOverride w:val="1"/>
    </w:lvlOverride>
  </w:num>
  <w:num w:numId="18">
    <w:abstractNumId w:val="2"/>
  </w:num>
  <w:num w:numId="19">
    <w:abstractNumId w:val="2"/>
  </w:num>
  <w:num w:numId="20">
    <w:abstractNumId w:val="2"/>
    <w:lvlOverride w:ilvl="0">
      <w:startOverride w:val="1"/>
    </w:lvlOverride>
  </w:num>
  <w:num w:numId="21">
    <w:abstractNumId w:val="2"/>
  </w:num>
  <w:num w:numId="22">
    <w:abstractNumId w:val="2"/>
  </w:num>
  <w:num w:numId="23">
    <w:abstractNumId w:val="2"/>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35</Pages>
  <Words>888</Words>
  <Characters>4357</Characters>
  <CharactersWithSpaces>5000</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2026-10-04T05:35:24Z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