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Implementation Approach</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Implementation Approach</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Plan for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Plan for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0769_164975900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0771_164975900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0773_1649759004">
            <w:r>
              <w:rPr>
                <w:webHidden/>
                <w:rStyle w:val="IndexLink"/>
              </w:rPr>
              <w:t>3. Introduction</w:t>
              <w:tab/>
              <w:t>5</w:t>
            </w:r>
          </w:hyperlink>
        </w:p>
        <w:p>
          <w:pPr>
            <w:pStyle w:val="TOC2"/>
            <w:tabs>
              <w:tab w:val="clear" w:pos="900"/>
              <w:tab w:val="clear" w:pos="9350"/>
              <w:tab w:val="right" w:pos="9025" w:leader="dot"/>
            </w:tabs>
            <w:rPr/>
          </w:pPr>
          <w:hyperlink w:anchor="__RefHeading___Toc10775_1649759004">
            <w:r>
              <w:rPr>
                <w:webHidden/>
                <w:rStyle w:val="IndexLink"/>
              </w:rPr>
              <w:t>3.1 Purpose</w:t>
              <w:tab/>
              <w:t>5</w:t>
            </w:r>
          </w:hyperlink>
        </w:p>
        <w:p>
          <w:pPr>
            <w:pStyle w:val="TOC2"/>
            <w:tabs>
              <w:tab w:val="clear" w:pos="900"/>
              <w:tab w:val="clear" w:pos="9350"/>
              <w:tab w:val="right" w:pos="9025" w:leader="dot"/>
            </w:tabs>
            <w:rPr/>
          </w:pPr>
          <w:hyperlink w:anchor="__RefHeading___Toc10777_1649759004">
            <w:r>
              <w:rPr>
                <w:webHidden/>
                <w:rStyle w:val="IndexLink"/>
              </w:rPr>
              <w:t>3.2 Audience</w:t>
              <w:tab/>
              <w:t>5</w:t>
            </w:r>
          </w:hyperlink>
        </w:p>
        <w:p>
          <w:pPr>
            <w:pStyle w:val="TOC2"/>
            <w:tabs>
              <w:tab w:val="clear" w:pos="900"/>
              <w:tab w:val="clear" w:pos="9350"/>
              <w:tab w:val="right" w:pos="9025" w:leader="dot"/>
            </w:tabs>
            <w:rPr/>
          </w:pPr>
          <w:hyperlink w:anchor="__RefHeading___Toc10779_1649759004">
            <w:r>
              <w:rPr>
                <w:webHidden/>
                <w:rStyle w:val="IndexLink"/>
              </w:rPr>
              <w:t>3.3 Related documents</w:t>
              <w:tab/>
              <w:t>5</w:t>
            </w:r>
          </w:hyperlink>
        </w:p>
        <w:p>
          <w:pPr>
            <w:pStyle w:val="TOC1"/>
            <w:tabs>
              <w:tab w:val="clear" w:pos="900"/>
              <w:tab w:val="clear" w:pos="9350"/>
              <w:tab w:val="right" w:pos="9025" w:leader="dot"/>
            </w:tabs>
            <w:rPr/>
          </w:pPr>
          <w:hyperlink w:anchor="__RefHeading___Toc10781_1649759004">
            <w:r>
              <w:rPr>
                <w:webHidden/>
                <w:rStyle w:val="IndexLink"/>
              </w:rPr>
              <w:t>4. Implementation approach</w:t>
              <w:tab/>
              <w:t>6</w:t>
            </w:r>
          </w:hyperlink>
        </w:p>
        <w:p>
          <w:pPr>
            <w:pStyle w:val="TOC2"/>
            <w:tabs>
              <w:tab w:val="clear" w:pos="900"/>
              <w:tab w:val="clear" w:pos="9350"/>
              <w:tab w:val="right" w:pos="9025" w:leader="dot"/>
            </w:tabs>
            <w:rPr/>
          </w:pPr>
          <w:hyperlink w:anchor="__RefHeading___Toc10783_1649759004">
            <w:r>
              <w:rPr>
                <w:webHidden/>
                <w:rStyle w:val="IndexLink"/>
              </w:rPr>
              <w:t>4.1 Configure, do not customise</w:t>
              <w:tab/>
              <w:t>6</w:t>
            </w:r>
          </w:hyperlink>
        </w:p>
        <w:p>
          <w:pPr>
            <w:pStyle w:val="TOC2"/>
            <w:tabs>
              <w:tab w:val="clear" w:pos="900"/>
              <w:tab w:val="clear" w:pos="9350"/>
              <w:tab w:val="right" w:pos="9025" w:leader="dot"/>
            </w:tabs>
            <w:rPr/>
          </w:pPr>
          <w:hyperlink w:anchor="__RefHeading___Toc10785_1649759004">
            <w:r>
              <w:rPr>
                <w:webHidden/>
                <w:rStyle w:val="IndexLink"/>
              </w:rPr>
              <w:t>4.2 Principles</w:t>
              <w:tab/>
              <w:t>6</w:t>
            </w:r>
          </w:hyperlink>
        </w:p>
        <w:p>
          <w:pPr>
            <w:pStyle w:val="TOC2"/>
            <w:tabs>
              <w:tab w:val="clear" w:pos="900"/>
              <w:tab w:val="clear" w:pos="9350"/>
              <w:tab w:val="right" w:pos="9025" w:leader="dot"/>
            </w:tabs>
            <w:rPr/>
          </w:pPr>
          <w:hyperlink w:anchor="__RefHeading___Toc10787_1649759004">
            <w:r>
              <w:rPr>
                <w:webHidden/>
                <w:rStyle w:val="IndexLink"/>
              </w:rPr>
              <w:t>4.3 Implementation sizes</w:t>
              <w:tab/>
              <w:t>7</w:t>
            </w:r>
          </w:hyperlink>
        </w:p>
        <w:p>
          <w:pPr>
            <w:pStyle w:val="TOC1"/>
            <w:tabs>
              <w:tab w:val="clear" w:pos="900"/>
              <w:tab w:val="clear" w:pos="9350"/>
              <w:tab w:val="right" w:pos="9025" w:leader="dot"/>
            </w:tabs>
            <w:rPr/>
          </w:pPr>
          <w:hyperlink w:anchor="__RefHeading___Toc10789_1649759004">
            <w:r>
              <w:rPr>
                <w:webHidden/>
                <w:rStyle w:val="IndexLink"/>
              </w:rPr>
              <w:t>5. Phases</w:t>
              <w:tab/>
              <w:t>8</w:t>
            </w:r>
          </w:hyperlink>
        </w:p>
        <w:p>
          <w:pPr>
            <w:pStyle w:val="TOC2"/>
            <w:tabs>
              <w:tab w:val="clear" w:pos="900"/>
              <w:tab w:val="clear" w:pos="9350"/>
              <w:tab w:val="right" w:pos="9025" w:leader="dot"/>
            </w:tabs>
            <w:rPr/>
          </w:pPr>
          <w:hyperlink w:anchor="__RefHeading___Toc10791_1649759004">
            <w:r>
              <w:rPr>
                <w:webHidden/>
                <w:rStyle w:val="IndexLink"/>
              </w:rPr>
              <w:t>5.1 Overview</w:t>
              <w:tab/>
              <w:t>8</w:t>
            </w:r>
          </w:hyperlink>
        </w:p>
        <w:p>
          <w:pPr>
            <w:pStyle w:val="TOC2"/>
            <w:tabs>
              <w:tab w:val="clear" w:pos="900"/>
              <w:tab w:val="clear" w:pos="9350"/>
              <w:tab w:val="right" w:pos="9025" w:leader="dot"/>
            </w:tabs>
            <w:rPr/>
          </w:pPr>
          <w:hyperlink w:anchor="__RefHeading___Toc10793_1649759004">
            <w:r>
              <w:rPr>
                <w:webHidden/>
                <w:rStyle w:val="IndexLink"/>
              </w:rPr>
              <w:t>5.2 Mobilisation</w:t>
              <w:tab/>
              <w:t>8</w:t>
            </w:r>
          </w:hyperlink>
        </w:p>
        <w:p>
          <w:pPr>
            <w:pStyle w:val="TOC2"/>
            <w:tabs>
              <w:tab w:val="clear" w:pos="900"/>
              <w:tab w:val="clear" w:pos="9350"/>
              <w:tab w:val="right" w:pos="9025" w:leader="dot"/>
            </w:tabs>
            <w:rPr/>
          </w:pPr>
          <w:hyperlink w:anchor="__RefHeading___Toc10795_1649759004">
            <w:r>
              <w:rPr>
                <w:webHidden/>
                <w:rStyle w:val="IndexLink"/>
              </w:rPr>
              <w:t>5.3 Discovery and fit-gap</w:t>
              <w:tab/>
              <w:t>8</w:t>
            </w:r>
          </w:hyperlink>
        </w:p>
        <w:p>
          <w:pPr>
            <w:pStyle w:val="TOC2"/>
            <w:tabs>
              <w:tab w:val="clear" w:pos="900"/>
              <w:tab w:val="clear" w:pos="9350"/>
              <w:tab w:val="right" w:pos="9025" w:leader="dot"/>
            </w:tabs>
            <w:rPr/>
          </w:pPr>
          <w:hyperlink w:anchor="__RefHeading___Toc10797_1649759004">
            <w:r>
              <w:rPr>
                <w:webHidden/>
                <w:rStyle w:val="IndexLink"/>
              </w:rPr>
              <w:t>5.4 Environment set-up</w:t>
              <w:tab/>
              <w:t>9</w:t>
            </w:r>
          </w:hyperlink>
        </w:p>
        <w:p>
          <w:pPr>
            <w:pStyle w:val="TOC2"/>
            <w:tabs>
              <w:tab w:val="clear" w:pos="900"/>
              <w:tab w:val="clear" w:pos="9350"/>
              <w:tab w:val="right" w:pos="9025" w:leader="dot"/>
            </w:tabs>
            <w:rPr/>
          </w:pPr>
          <w:hyperlink w:anchor="__RefHeading___Toc10799_1649759004">
            <w:r>
              <w:rPr>
                <w:webHidden/>
                <w:rStyle w:val="IndexLink"/>
              </w:rPr>
              <w:t>5.5 Configuration</w:t>
              <w:tab/>
              <w:t>9</w:t>
            </w:r>
          </w:hyperlink>
        </w:p>
        <w:p>
          <w:pPr>
            <w:pStyle w:val="TOC2"/>
            <w:tabs>
              <w:tab w:val="clear" w:pos="900"/>
              <w:tab w:val="clear" w:pos="9350"/>
              <w:tab w:val="right" w:pos="9025" w:leader="dot"/>
            </w:tabs>
            <w:rPr/>
          </w:pPr>
          <w:hyperlink w:anchor="__RefHeading___Toc10801_1649759004">
            <w:r>
              <w:rPr>
                <w:webHidden/>
                <w:rStyle w:val="IndexLink"/>
              </w:rPr>
              <w:t>5.6 Data migration</w:t>
              <w:tab/>
              <w:t>10</w:t>
            </w:r>
          </w:hyperlink>
        </w:p>
        <w:p>
          <w:pPr>
            <w:pStyle w:val="TOC2"/>
            <w:tabs>
              <w:tab w:val="clear" w:pos="900"/>
              <w:tab w:val="clear" w:pos="9350"/>
              <w:tab w:val="right" w:pos="9025" w:leader="dot"/>
            </w:tabs>
            <w:rPr/>
          </w:pPr>
          <w:hyperlink w:anchor="__RefHeading___Toc10803_1649759004">
            <w:r>
              <w:rPr>
                <w:webHidden/>
                <w:rStyle w:val="IndexLink"/>
              </w:rPr>
              <w:t>5.7 Integrations</w:t>
              <w:tab/>
              <w:t>11</w:t>
            </w:r>
          </w:hyperlink>
        </w:p>
        <w:p>
          <w:pPr>
            <w:pStyle w:val="TOC2"/>
            <w:tabs>
              <w:tab w:val="clear" w:pos="900"/>
              <w:tab w:val="clear" w:pos="9350"/>
              <w:tab w:val="right" w:pos="9025" w:leader="dot"/>
            </w:tabs>
            <w:rPr/>
          </w:pPr>
          <w:hyperlink w:anchor="__RefHeading___Toc10805_1649759004">
            <w:r>
              <w:rPr>
                <w:webHidden/>
                <w:rStyle w:val="IndexLink"/>
              </w:rPr>
              <w:t>5.8 Training</w:t>
              <w:tab/>
              <w:t>11</w:t>
            </w:r>
          </w:hyperlink>
        </w:p>
        <w:p>
          <w:pPr>
            <w:pStyle w:val="TOC2"/>
            <w:tabs>
              <w:tab w:val="clear" w:pos="900"/>
              <w:tab w:val="clear" w:pos="9350"/>
              <w:tab w:val="right" w:pos="9025" w:leader="dot"/>
            </w:tabs>
            <w:rPr/>
          </w:pPr>
          <w:hyperlink w:anchor="__RefHeading___Toc10807_1649759004">
            <w:r>
              <w:rPr>
                <w:webHidden/>
                <w:rStyle w:val="IndexLink"/>
              </w:rPr>
              <w:t>5.9 System integration test</w:t>
              <w:tab/>
              <w:t>11</w:t>
            </w:r>
          </w:hyperlink>
        </w:p>
        <w:p>
          <w:pPr>
            <w:pStyle w:val="TOC2"/>
            <w:tabs>
              <w:tab w:val="clear" w:pos="900"/>
              <w:tab w:val="clear" w:pos="9350"/>
              <w:tab w:val="right" w:pos="9025" w:leader="dot"/>
            </w:tabs>
            <w:rPr/>
          </w:pPr>
          <w:hyperlink w:anchor="__RefHeading___Toc10809_1649759004">
            <w:r>
              <w:rPr>
                <w:webHidden/>
                <w:rStyle w:val="IndexLink"/>
              </w:rPr>
              <w:t>5.10 User acceptance test</w:t>
              <w:tab/>
              <w:t>11</w:t>
            </w:r>
          </w:hyperlink>
        </w:p>
        <w:p>
          <w:pPr>
            <w:pStyle w:val="TOC2"/>
            <w:tabs>
              <w:tab w:val="clear" w:pos="900"/>
              <w:tab w:val="clear" w:pos="9350"/>
              <w:tab w:val="right" w:pos="9025" w:leader="dot"/>
            </w:tabs>
            <w:rPr/>
          </w:pPr>
          <w:hyperlink w:anchor="__RefHeading___Toc10811_1649759004">
            <w:r>
              <w:rPr>
                <w:webHidden/>
                <w:rStyle w:val="IndexLink"/>
              </w:rPr>
              <w:t>5.11 Cutover and go-live</w:t>
              <w:tab/>
              <w:t>12</w:t>
            </w:r>
          </w:hyperlink>
        </w:p>
        <w:p>
          <w:pPr>
            <w:pStyle w:val="TOC2"/>
            <w:tabs>
              <w:tab w:val="clear" w:pos="900"/>
              <w:tab w:val="clear" w:pos="9350"/>
              <w:tab w:val="right" w:pos="9025" w:leader="dot"/>
            </w:tabs>
            <w:rPr/>
          </w:pPr>
          <w:hyperlink w:anchor="__RefHeading___Toc10813_1649759004">
            <w:r>
              <w:rPr>
                <w:webHidden/>
                <w:rStyle w:val="IndexLink"/>
              </w:rPr>
              <w:t>5.12 Hypercare</w:t>
              <w:tab/>
              <w:t>12</w:t>
            </w:r>
          </w:hyperlink>
        </w:p>
        <w:p>
          <w:pPr>
            <w:pStyle w:val="TOC1"/>
            <w:tabs>
              <w:tab w:val="clear" w:pos="900"/>
              <w:tab w:val="clear" w:pos="9350"/>
              <w:tab w:val="right" w:pos="9025" w:leader="dot"/>
            </w:tabs>
            <w:rPr/>
          </w:pPr>
          <w:hyperlink w:anchor="__RefHeading___Toc10815_1649759004">
            <w:r>
              <w:rPr>
                <w:webHidden/>
                <w:rStyle w:val="IndexLink"/>
              </w:rPr>
              <w:t>6. Timeline: small broker (8 weeks)</w:t>
              <w:tab/>
              <w:t>13</w:t>
            </w:r>
          </w:hyperlink>
        </w:p>
        <w:p>
          <w:pPr>
            <w:pStyle w:val="TOC1"/>
            <w:tabs>
              <w:tab w:val="clear" w:pos="900"/>
              <w:tab w:val="clear" w:pos="9350"/>
              <w:tab w:val="right" w:pos="9025" w:leader="dot"/>
            </w:tabs>
            <w:rPr/>
          </w:pPr>
          <w:hyperlink w:anchor="__RefHeading___Toc10817_1649759004">
            <w:r>
              <w:rPr>
                <w:webHidden/>
                <w:rStyle w:val="IndexLink"/>
              </w:rPr>
              <w:t>7. Timeline: medium broker (12 weeks)</w:t>
              <w:tab/>
              <w:t>14</w:t>
            </w:r>
          </w:hyperlink>
        </w:p>
        <w:p>
          <w:pPr>
            <w:pStyle w:val="TOC1"/>
            <w:tabs>
              <w:tab w:val="clear" w:pos="900"/>
              <w:tab w:val="clear" w:pos="9350"/>
              <w:tab w:val="right" w:pos="9025" w:leader="dot"/>
            </w:tabs>
            <w:rPr/>
          </w:pPr>
          <w:hyperlink w:anchor="__RefHeading___Toc10819_1649759004">
            <w:r>
              <w:rPr>
                <w:webHidden/>
                <w:rStyle w:val="IndexLink"/>
              </w:rPr>
              <w:t>8. Timeline: large broker (16 to 20 weeks)</w:t>
              <w:tab/>
              <w:t>15</w:t>
            </w:r>
          </w:hyperlink>
        </w:p>
        <w:p>
          <w:pPr>
            <w:pStyle w:val="TOC1"/>
            <w:tabs>
              <w:tab w:val="clear" w:pos="900"/>
              <w:tab w:val="clear" w:pos="9350"/>
              <w:tab w:val="right" w:pos="9025" w:leader="dot"/>
            </w:tabs>
            <w:rPr/>
          </w:pPr>
          <w:hyperlink w:anchor="__RefHeading___Toc10821_1649759004">
            <w:r>
              <w:rPr>
                <w:webHidden/>
                <w:rStyle w:val="IndexLink"/>
              </w:rPr>
              <w:t>9. Roles and responsibilities</w:t>
              <w:tab/>
              <w:t>17</w:t>
            </w:r>
          </w:hyperlink>
        </w:p>
        <w:p>
          <w:pPr>
            <w:pStyle w:val="TOC2"/>
            <w:tabs>
              <w:tab w:val="clear" w:pos="900"/>
              <w:tab w:val="clear" w:pos="9350"/>
              <w:tab w:val="right" w:pos="9025" w:leader="dot"/>
            </w:tabs>
            <w:rPr/>
          </w:pPr>
          <w:hyperlink w:anchor="__RefHeading___Toc10823_1649759004">
            <w:r>
              <w:rPr>
                <w:webHidden/>
                <w:rStyle w:val="IndexLink"/>
              </w:rPr>
              <w:t>9.1 Project roles</w:t>
              <w:tab/>
              <w:t>17</w:t>
            </w:r>
          </w:hyperlink>
        </w:p>
        <w:p>
          <w:pPr>
            <w:pStyle w:val="TOC2"/>
            <w:tabs>
              <w:tab w:val="clear" w:pos="900"/>
              <w:tab w:val="clear" w:pos="9350"/>
              <w:tab w:val="right" w:pos="9025" w:leader="dot"/>
            </w:tabs>
            <w:rPr/>
          </w:pPr>
          <w:hyperlink w:anchor="__RefHeading___Toc10825_1649759004">
            <w:r>
              <w:rPr>
                <w:webHidden/>
                <w:rStyle w:val="IndexLink"/>
              </w:rPr>
              <w:t>9.2 RACI</w:t>
              <w:tab/>
              <w:t>17</w:t>
            </w:r>
          </w:hyperlink>
        </w:p>
        <w:p>
          <w:pPr>
            <w:pStyle w:val="TOC1"/>
            <w:tabs>
              <w:tab w:val="clear" w:pos="900"/>
              <w:tab w:val="clear" w:pos="9350"/>
              <w:tab w:val="right" w:pos="9025" w:leader="dot"/>
            </w:tabs>
            <w:rPr/>
          </w:pPr>
          <w:hyperlink w:anchor="__RefHeading___Toc10827_1649759004">
            <w:r>
              <w:rPr>
                <w:webHidden/>
                <w:rStyle w:val="IndexLink"/>
              </w:rPr>
              <w:t>10. Governance</w:t>
              <w:tab/>
              <w:t>19</w:t>
            </w:r>
          </w:hyperlink>
        </w:p>
        <w:p>
          <w:pPr>
            <w:pStyle w:val="TOC2"/>
            <w:tabs>
              <w:tab w:val="clear" w:pos="900"/>
              <w:tab w:val="clear" w:pos="9350"/>
              <w:tab w:val="right" w:pos="9025" w:leader="dot"/>
            </w:tabs>
            <w:rPr/>
          </w:pPr>
          <w:hyperlink w:anchor="__RefHeading___Toc10829_1649759004">
            <w:r>
              <w:rPr>
                <w:webHidden/>
                <w:rStyle w:val="IndexLink"/>
              </w:rPr>
              <w:t>10.1 Steering committee</w:t>
              <w:tab/>
              <w:t>19</w:t>
            </w:r>
          </w:hyperlink>
        </w:p>
        <w:p>
          <w:pPr>
            <w:pStyle w:val="TOC2"/>
            <w:tabs>
              <w:tab w:val="clear" w:pos="900"/>
              <w:tab w:val="clear" w:pos="9350"/>
              <w:tab w:val="right" w:pos="9025" w:leader="dot"/>
            </w:tabs>
            <w:rPr/>
          </w:pPr>
          <w:hyperlink w:anchor="__RefHeading___Toc10831_1649759004">
            <w:r>
              <w:rPr>
                <w:webHidden/>
                <w:rStyle w:val="IndexLink"/>
              </w:rPr>
              <w:t>10.2 Weekly status</w:t>
              <w:tab/>
              <w:t>19</w:t>
            </w:r>
          </w:hyperlink>
        </w:p>
        <w:p>
          <w:pPr>
            <w:pStyle w:val="TOC2"/>
            <w:tabs>
              <w:tab w:val="clear" w:pos="900"/>
              <w:tab w:val="clear" w:pos="9350"/>
              <w:tab w:val="right" w:pos="9025" w:leader="dot"/>
            </w:tabs>
            <w:rPr/>
          </w:pPr>
          <w:hyperlink w:anchor="__RefHeading___Toc10833_1649759004">
            <w:r>
              <w:rPr>
                <w:webHidden/>
                <w:rStyle w:val="IndexLink"/>
              </w:rPr>
              <w:t>10.3 RAID log</w:t>
              <w:tab/>
              <w:t>19</w:t>
            </w:r>
          </w:hyperlink>
        </w:p>
        <w:p>
          <w:pPr>
            <w:pStyle w:val="TOC1"/>
            <w:tabs>
              <w:tab w:val="clear" w:pos="900"/>
              <w:tab w:val="clear" w:pos="9350"/>
              <w:tab w:val="right" w:pos="9025" w:leader="dot"/>
            </w:tabs>
            <w:rPr/>
          </w:pPr>
          <w:hyperlink w:anchor="__RefHeading___Toc10835_1649759004">
            <w:r>
              <w:rPr>
                <w:webHidden/>
                <w:rStyle w:val="IndexLink"/>
              </w:rPr>
              <w:t>11. Deliverables and acceptance criteria</w:t>
              <w:tab/>
              <w:t>20</w:t>
            </w:r>
          </w:hyperlink>
        </w:p>
        <w:p>
          <w:pPr>
            <w:pStyle w:val="TOC1"/>
            <w:tabs>
              <w:tab w:val="clear" w:pos="900"/>
              <w:tab w:val="clear" w:pos="9350"/>
              <w:tab w:val="right" w:pos="9025" w:leader="dot"/>
            </w:tabs>
            <w:rPr/>
          </w:pPr>
          <w:hyperlink w:anchor="__RefHeading___Toc10837_1649759004">
            <w:r>
              <w:rPr>
                <w:webHidden/>
                <w:rStyle w:val="IndexLink"/>
              </w:rPr>
              <w:t>12. Assumptions</w:t>
              <w:tab/>
              <w:t>21</w:t>
            </w:r>
          </w:hyperlink>
        </w:p>
        <w:p>
          <w:pPr>
            <w:pStyle w:val="TOC1"/>
            <w:tabs>
              <w:tab w:val="clear" w:pos="900"/>
              <w:tab w:val="clear" w:pos="9350"/>
              <w:tab w:val="right" w:pos="9025" w:leader="dot"/>
            </w:tabs>
            <w:rPr/>
          </w:pPr>
          <w:hyperlink w:anchor="__RefHeading___Toc10839_1649759004">
            <w:r>
              <w:rPr>
                <w:webHidden/>
                <w:rStyle w:val="IndexLink"/>
              </w:rPr>
              <w:t>13. Exclusions</w:t>
              <w:tab/>
              <w:t>22</w:t>
            </w:r>
          </w:hyperlink>
        </w:p>
        <w:p>
          <w:pPr>
            <w:pStyle w:val="TOC1"/>
            <w:tabs>
              <w:tab w:val="clear" w:pos="900"/>
              <w:tab w:val="clear" w:pos="9350"/>
              <w:tab w:val="right" w:pos="9025" w:leader="dot"/>
            </w:tabs>
            <w:rPr/>
          </w:pPr>
          <w:hyperlink w:anchor="__RefHeading___Toc10841_1649759004">
            <w:r>
              <w:rPr>
                <w:webHidden/>
                <w:rStyle w:val="IndexLink"/>
              </w:rPr>
              <w:t>14. Dependencies on the broker</w:t>
              <w:tab/>
              <w:t>23</w:t>
            </w:r>
          </w:hyperlink>
        </w:p>
        <w:p>
          <w:pPr>
            <w:pStyle w:val="TOC1"/>
            <w:tabs>
              <w:tab w:val="clear" w:pos="900"/>
              <w:tab w:val="clear" w:pos="9350"/>
              <w:tab w:val="right" w:pos="9025" w:leader="dot"/>
            </w:tabs>
            <w:rPr/>
          </w:pPr>
          <w:hyperlink w:anchor="__RefHeading___Toc10843_1649759004">
            <w:r>
              <w:rPr>
                <w:webHidden/>
                <w:rStyle w:val="IndexLink"/>
              </w:rPr>
              <w:t>15. Risks and mitigations</w:t>
              <w:tab/>
              <w:t>24</w:t>
            </w:r>
          </w:hyperlink>
        </w:p>
        <w:p>
          <w:pPr>
            <w:pStyle w:val="TOC1"/>
            <w:tabs>
              <w:tab w:val="clear" w:pos="900"/>
              <w:tab w:val="clear" w:pos="9350"/>
              <w:tab w:val="right" w:pos="9025" w:leader="dot"/>
            </w:tabs>
            <w:rPr/>
          </w:pPr>
          <w:hyperlink w:anchor="__RefHeading___Toc10845_1649759004">
            <w:r>
              <w:rPr>
                <w:webHidden/>
                <w:rStyle w:val="IndexLink"/>
              </w:rPr>
              <w:t>16. Change request process</w:t>
              <w:tab/>
              <w:t>25</w:t>
            </w:r>
          </w:hyperlink>
        </w:p>
        <w:p>
          <w:pPr>
            <w:pStyle w:val="TOC1"/>
            <w:tabs>
              <w:tab w:val="clear" w:pos="900"/>
              <w:tab w:val="clear" w:pos="9350"/>
              <w:tab w:val="right" w:pos="9025" w:leader="dot"/>
            </w:tabs>
            <w:rPr/>
          </w:pPr>
          <w:hyperlink w:anchor="__RefHeading___Toc10847_1649759004">
            <w:r>
              <w:rPr>
                <w:webHidden/>
                <w:rStyle w:val="IndexLink"/>
                <w:i w:val="false"/>
                <w:iCs w:val="false"/>
              </w:rPr>
              <w:t>17. Document Sign-Off</w:t>
            </w:r>
            <w:r>
              <w:rPr>
                <w:rStyle w:val="IndexLink"/>
              </w:rPr>
              <w:tab/>
              <w:t>26</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0769_164975900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0771_164975900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Responsible, Accountable, Consulted, Informed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SteerCo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Steering committee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Chart of accounts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TTT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Train the trainer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0773_1649759004"/>
      <w:bookmarkEnd w:id="6"/>
      <w:r>
        <w:rPr>
          <w:rFonts w:eastAsia="Segoe UI" w:cs="Segoe UI" w:ascii="Segoe UI" w:hAnsi="Segoe UI"/>
          <w:b/>
          <w:color w:val="0F4761"/>
          <w:sz w:val="32"/>
        </w:rPr>
        <w:t>3.  Introduction</w:t>
      </w:r>
    </w:p>
    <w:p>
      <w:pPr>
        <w:pStyle w:val="Heading2"/>
        <w:rPr/>
      </w:pPr>
      <w:bookmarkStart w:id="7" w:name="__RefHeading___Toc10775_164975900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describes how iorta TechNXT implements BrokerVerse OOTB for a Philippine non-life insurance broker: the approach, the phases, a week-by-week plan for small, medium and large brokers, who does what, how the project is governed, what each phase delivers and how it is accepted, and what is in and out of scope.</w:t>
      </w:r>
    </w:p>
    <w:p>
      <w:pPr>
        <w:pStyle w:val="Normal"/>
        <w:spacing w:lineRule="auto" w:line="276" w:before="0" w:after="120"/>
        <w:rPr/>
      </w:pPr>
      <w:r>
        <w:rPr>
          <w:rFonts w:eastAsia="Segoe UI" w:cs="Segoe UI" w:ascii="Segoe UI" w:hAnsi="Segoe UI"/>
          <w:color w:val="101820"/>
          <w:sz w:val="21"/>
        </w:rPr>
        <w:t xml:space="preserve">The companion workbook </w:t>
      </w:r>
      <w:r>
        <w:rPr>
          <w:rFonts w:eastAsia="Consolas" w:cs="Consolas" w:ascii="Consolas" w:hAnsi="Consolas"/>
          <w:color w:val="101820"/>
          <w:sz w:val="19"/>
        </w:rPr>
        <w:t>BrokerVerse_Implementation_Plan.xlsx</w:t>
      </w:r>
      <w:r>
        <w:rPr>
          <w:rFonts w:eastAsia="Segoe UI" w:cs="Segoe UI" w:ascii="Segoe UI" w:hAnsi="Segoe UI"/>
          <w:color w:val="101820"/>
          <w:sz w:val="21"/>
        </w:rPr>
        <w:t xml:space="preserve"> holds the three timelines as Gantt charts and the full RACI matrix.</w:t>
      </w:r>
    </w:p>
    <w:p>
      <w:pPr>
        <w:pStyle w:val="Heading2"/>
        <w:rPr/>
      </w:pPr>
      <w:bookmarkStart w:id="8" w:name="__RefHeading___Toc10777_1649759004"/>
      <w:bookmarkEnd w:id="8"/>
      <w:r>
        <w:rPr>
          <w:rFonts w:eastAsia="Segoe UI" w:cs="Segoe UI"/>
          <w:b/>
          <w:color w:val="0F4761"/>
          <w:sz w:val="26"/>
        </w:rPr>
        <w:t>3.2  Audience</w:t>
      </w:r>
    </w:p>
    <w:p>
      <w:pPr>
        <w:pStyle w:val="Normal"/>
        <w:spacing w:lineRule="auto" w:line="276" w:before="0" w:after="120"/>
        <w:rPr/>
      </w:pPr>
      <w:r>
        <w:rPr>
          <w:rFonts w:eastAsia="Segoe UI" w:cs="Segoe UI" w:ascii="Segoe UI" w:hAnsi="Segoe UI"/>
          <w:color w:val="101820"/>
          <w:sz w:val="21"/>
        </w:rPr>
        <w:t>The broker's management (sponsor and steering committee), the broker's project manager, the process owners of Sales, Placement and Policy Processing, Client Servicing, Claims and Accounting, the broker's IT or System Administrator, and the iorta TechNXT project team.</w:t>
      </w:r>
    </w:p>
    <w:p>
      <w:pPr>
        <w:pStyle w:val="Heading2"/>
        <w:rPr/>
      </w:pPr>
      <w:bookmarkStart w:id="9" w:name="__RefHeading___Toc10779_1649759004"/>
      <w:bookmarkEnd w:id="9"/>
      <w:r>
        <w:rPr>
          <w:rFonts w:eastAsia="Segoe UI" w:cs="Segoe UI"/>
          <w:b/>
          <w:color w:val="0F4761"/>
          <w:sz w:val="26"/>
        </w:rPr>
        <w:t>3.3  Related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Data Migration and Cutover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objects, templates, load sequence, reconciliation, cutover and rollback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Training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per role, curriculum, train-the-trainer, assessment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Production Support Approach and Standards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after hypercare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Philippine Regulatory Compliance Matrix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the system supports the broker's obligations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User Manual (</w:t>
            </w:r>
            <w:r>
              <w:rPr>
                <w:rFonts w:eastAsia="Consolas" w:cs="Consolas" w:ascii="Consolas" w:hAnsi="Consolas"/>
                <w:color w:val="101820"/>
                <w:kern w:val="0"/>
                <w:sz w:val="16"/>
                <w:szCs w:val="24"/>
                <w:lang w:val="en-US" w:eastAsia="ja-JP" w:bidi="ar-SA"/>
              </w:rPr>
              <w:t>docs/manual</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screen, for every role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 set-up (</w:t>
            </w:r>
            <w:r>
              <w:rPr>
                <w:rFonts w:eastAsia="Consolas" w:cs="Consolas" w:ascii="Consolas" w:hAnsi="Consolas"/>
                <w:color w:val="101820"/>
                <w:kern w:val="0"/>
                <w:sz w:val="16"/>
                <w:szCs w:val="24"/>
                <w:lang w:val="en-US" w:eastAsia="ja-JP" w:bidi="ar-SA"/>
              </w:rPr>
              <w:t>docs/onboarding/GO_LIVE_DATA_SETUP.md</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order of set-up from company to first month-end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acceptance test scripts (</w:t>
            </w:r>
            <w:r>
              <w:rPr>
                <w:rFonts w:eastAsia="Consolas" w:cs="Consolas" w:ascii="Consolas" w:hAnsi="Consolas"/>
                <w:color w:val="101820"/>
                <w:kern w:val="0"/>
                <w:sz w:val="16"/>
                <w:szCs w:val="24"/>
                <w:lang w:val="en-US" w:eastAsia="ja-JP" w:bidi="ar-SA"/>
              </w:rPr>
              <w:t>docs/onboarding/UAT_SCRIPTS.md</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to 8 scenarios per role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Deployment checklist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deploy/REFERENCE.md</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Servers, database, secrets, e-mail, health checks, rollback</w:t>
            </w:r>
          </w:p>
        </w:tc>
      </w:tr>
    </w:tbl>
    <w:p>
      <w:pPr>
        <w:pStyle w:val="Normal"/>
        <w:spacing w:before="0" w:after="80"/>
        <w:rPr/>
      </w:pPr>
      <w:r>
        <w:rPr/>
      </w:r>
      <w:r>
        <w:br w:type="page"/>
      </w:r>
    </w:p>
    <w:p>
      <w:pPr>
        <w:pStyle w:val="Heading1"/>
        <w:rPr/>
      </w:pPr>
      <w:bookmarkStart w:id="10" w:name="__RefHeading___Toc10781_1649759004"/>
      <w:bookmarkEnd w:id="10"/>
      <w:r>
        <w:rPr>
          <w:rFonts w:eastAsia="Segoe UI" w:cs="Segoe UI" w:ascii="Segoe UI" w:hAnsi="Segoe UI"/>
          <w:b/>
          <w:color w:val="0F4761"/>
          <w:sz w:val="32"/>
        </w:rPr>
        <w:t>4.  Implementation approach</w:t>
      </w:r>
    </w:p>
    <w:p>
      <w:pPr>
        <w:pStyle w:val="Heading2"/>
        <w:rPr/>
      </w:pPr>
      <w:bookmarkStart w:id="11" w:name="__RefHeading___Toc10783_1649759004"/>
      <w:bookmarkEnd w:id="11"/>
      <w:r>
        <w:rPr>
          <w:rFonts w:eastAsia="Segoe UI" w:cs="Segoe UI"/>
          <w:b/>
          <w:color w:val="0F4761"/>
          <w:sz w:val="26"/>
        </w:rPr>
        <w:t>4.1  Configure, do not customise</w:t>
      </w:r>
    </w:p>
    <w:p>
      <w:pPr>
        <w:pStyle w:val="Normal"/>
        <w:spacing w:lineRule="auto" w:line="276" w:before="0" w:after="120"/>
        <w:rPr/>
      </w:pPr>
      <w:r>
        <w:rPr>
          <w:rFonts w:eastAsia="Segoe UI" w:cs="Segoe UI" w:ascii="Segoe UI" w:hAnsi="Segoe UI"/>
          <w:color w:val="101820"/>
          <w:sz w:val="21"/>
        </w:rPr>
        <w:t>BrokerVerse OOTB is a finished product for Philippine non-life broking. It covers the broking cycle from prospect to renewal (prospects, requests for quotation, quotations, placement slips, policy issue, endorsements, claims, renewals), the accounting of a broker (billing, official receipts, collections, remittance to insurers, direct bill, commission, petty cash, journals, bank reconciliation, month-end and year-end close) and the BIR working papers (Form 2307, VAT Summary, SAWT, QAP, SLSP). The implementation fits the broker to the product through configuration and master data. It does not change the code.</w:t>
      </w:r>
    </w:p>
    <w:p>
      <w:pPr>
        <w:pStyle w:val="Normal"/>
        <w:spacing w:lineRule="auto" w:line="276" w:before="0" w:after="120"/>
        <w:rPr/>
      </w:pPr>
      <w:r>
        <w:rPr>
          <w:rFonts w:eastAsia="Segoe UI" w:cs="Segoe UI" w:ascii="Segoe UI" w:hAnsi="Segoe UI"/>
          <w:color w:val="101820"/>
          <w:sz w:val="21"/>
        </w:rPr>
        <w:t>What the broker can set without code: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in BrokerVerse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letterhead, branches, departments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Organization; Master &gt; System Settings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and the seven delivered roles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(User, Role, User Access Matrix, Authority Matrix, Delegations, Segregation of Duties, Access Reviews)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credit and remittance terms, billing mode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Insurance Management &gt; Insurance Company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 products, covers, vehicles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Insurance Management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 motor tariff (CTPL and Auto Passenger PA), rating, acceptance rules, approval workflows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rates and referrer sharing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Commission Rate Matrix</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taxes and LGU rates, tax codes with BIR ATC</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Premium Taxes &amp; LGU Rates; Master &gt; Finance &gt; Taxation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account determination, posting rules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Main Account, Sub Account, Account Determination, Posting Rules, Configuration Approvals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(52 series)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Document Numbering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rules, limits, maker-checker switches, security policy, e-mail texts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Schedules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bank accounts, statement formats, transaction types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Bank, Bank Statement Formats, Bank Transaction Types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Payment Gateways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requirement that cannot be met by configuration, master data or a change in the broker's procedure is a gap. Gaps are recorded in the fit-gap register and handled through the change request process (chapter 16). They do not enter the go-live scope unless the steering committee approves them as a change request.</w:t>
      </w:r>
    </w:p>
    <w:p>
      <w:pPr>
        <w:pStyle w:val="Heading2"/>
        <w:rPr/>
      </w:pPr>
      <w:bookmarkStart w:id="12" w:name="__RefHeading___Toc10785_1649759004"/>
      <w:bookmarkEnd w:id="12"/>
      <w:r>
        <w:rPr>
          <w:rFonts w:eastAsia="Segoe UI" w:cs="Segoe UI"/>
          <w:b/>
          <w:color w:val="0F4761"/>
          <w:sz w:val="26"/>
        </w:rPr>
        <w:t>4.2  Principles</w:t>
      </w:r>
    </w:p>
    <w:p>
      <w:pPr>
        <w:pStyle w:val="Normal"/>
        <w:numPr>
          <w:ilvl w:val="0"/>
          <w:numId w:val="1"/>
        </w:numPr>
        <w:spacing w:before="0" w:after="60"/>
        <w:rPr/>
      </w:pPr>
      <w:r>
        <w:rPr>
          <w:rFonts w:eastAsia="Segoe UI" w:cs="Segoe UI" w:ascii="Segoe UI" w:hAnsi="Segoe UI"/>
          <w:b/>
          <w:color w:val="101820"/>
          <w:sz w:val="21"/>
        </w:rPr>
        <w:t>Product first.</w:t>
      </w:r>
      <w:r>
        <w:rPr>
          <w:rFonts w:eastAsia="Segoe UI" w:cs="Segoe UI" w:ascii="Segoe UI" w:hAnsi="Segoe UI"/>
          <w:color w:val="101820"/>
          <w:sz w:val="21"/>
        </w:rPr>
        <w:t xml:space="preserve"> The process walk-throughs use the delivered screens with the broker's own examples. The broker adapts a procedure before anyone asks for a change.</w:t>
      </w:r>
    </w:p>
    <w:p>
      <w:pPr>
        <w:pStyle w:val="Normal"/>
        <w:numPr>
          <w:ilvl w:val="0"/>
          <w:numId w:val="1"/>
        </w:numPr>
        <w:spacing w:before="0" w:after="60"/>
        <w:rPr/>
      </w:pPr>
      <w:r>
        <w:rPr>
          <w:rFonts w:eastAsia="Segoe UI" w:cs="Segoe UI" w:ascii="Segoe UI" w:hAnsi="Segoe UI"/>
          <w:b/>
          <w:color w:val="101820"/>
          <w:sz w:val="21"/>
        </w:rPr>
        <w:t>Data drives the timeline.</w:t>
      </w:r>
      <w:r>
        <w:rPr>
          <w:rFonts w:eastAsia="Segoe UI" w:cs="Segoe UI" w:ascii="Segoe UI" w:hAnsi="Segoe UI"/>
          <w:color w:val="101820"/>
          <w:sz w:val="21"/>
        </w:rPr>
        <w:t xml:space="preserve"> Most of the effort sits with the broker's data: insurer agreements, commission rates, the chart of accounts, in-force policies, open receivables and the trial balance. Requests for data go out in week 1.</w:t>
      </w:r>
    </w:p>
    <w:p>
      <w:pPr>
        <w:pStyle w:val="Normal"/>
        <w:numPr>
          <w:ilvl w:val="0"/>
          <w:numId w:val="1"/>
        </w:numPr>
        <w:spacing w:before="0" w:after="60"/>
        <w:rPr/>
      </w:pPr>
      <w:r>
        <w:rPr>
          <w:rFonts w:eastAsia="Segoe UI" w:cs="Segoe UI" w:ascii="Segoe UI" w:hAnsi="Segoe UI"/>
          <w:b/>
          <w:color w:val="101820"/>
          <w:sz w:val="21"/>
        </w:rPr>
        <w:t>Key users own the result.</w:t>
      </w:r>
      <w:r>
        <w:rPr>
          <w:rFonts w:eastAsia="Segoe UI" w:cs="Segoe UI" w:ascii="Segoe UI" w:hAnsi="Segoe UI"/>
          <w:color w:val="101820"/>
          <w:sz w:val="21"/>
        </w:rPr>
        <w:t xml:space="preserve"> Each team names one key user who takes part in discovery, tests the configuration, runs the UAT scripts and trains the team.</w:t>
      </w:r>
    </w:p>
    <w:p>
      <w:pPr>
        <w:pStyle w:val="Normal"/>
        <w:numPr>
          <w:ilvl w:val="0"/>
          <w:numId w:val="1"/>
        </w:numPr>
        <w:spacing w:before="0" w:after="60"/>
        <w:rPr/>
      </w:pPr>
      <w:r>
        <w:rPr>
          <w:rFonts w:eastAsia="Segoe UI" w:cs="Segoe UI" w:ascii="Segoe UI" w:hAnsi="Segoe UI"/>
          <w:b/>
          <w:color w:val="101820"/>
          <w:sz w:val="21"/>
        </w:rPr>
        <w:t>Repeatable loads.</w:t>
      </w:r>
      <w:r>
        <w:rPr>
          <w:rFonts w:eastAsia="Segoe UI" w:cs="Segoe UI" w:ascii="Segoe UI" w:hAnsi="Segoe UI"/>
          <w:color w:val="101820"/>
          <w:sz w:val="21"/>
        </w:rPr>
        <w:t xml:space="preserve"> Every data load uses the delivered upload templates (</w:t>
      </w:r>
      <w:r>
        <w:rPr>
          <w:rFonts w:eastAsia="Consolas" w:cs="Consolas" w:ascii="Consolas" w:hAnsi="Consolas"/>
          <w:color w:val="101820"/>
          <w:sz w:val="19"/>
        </w:rPr>
        <w:t>docs/templates</w:t>
      </w:r>
      <w:r>
        <w:rPr>
          <w:rFonts w:eastAsia="Segoe UI" w:cs="Segoe UI" w:ascii="Segoe UI" w:hAnsi="Segoe UI"/>
          <w:color w:val="101820"/>
          <w:sz w:val="21"/>
        </w:rPr>
        <w:t>) and is rehearsed at least twice before cutover.</w:t>
      </w:r>
    </w:p>
    <w:p>
      <w:pPr>
        <w:pStyle w:val="Normal"/>
        <w:numPr>
          <w:ilvl w:val="0"/>
          <w:numId w:val="1"/>
        </w:numPr>
        <w:spacing w:before="0" w:after="60"/>
        <w:rPr/>
      </w:pPr>
      <w:r>
        <w:rPr>
          <w:rFonts w:eastAsia="Segoe UI" w:cs="Segoe UI" w:ascii="Segoe UI" w:hAnsi="Segoe UI"/>
          <w:b/>
          <w:color w:val="101820"/>
          <w:sz w:val="21"/>
        </w:rPr>
        <w:t>Evidence for every acceptance.</w:t>
      </w:r>
      <w:r>
        <w:rPr>
          <w:rFonts w:eastAsia="Segoe UI" w:cs="Segoe UI" w:ascii="Segoe UI" w:hAnsi="Segoe UI"/>
          <w:color w:val="101820"/>
          <w:sz w:val="21"/>
        </w:rPr>
        <w:t xml:space="preserve"> Each phase ends with named deliverables and acceptance criteria (chapter 11). Sign-off is written.</w:t>
      </w:r>
    </w:p>
    <w:p>
      <w:pPr>
        <w:pStyle w:val="Heading2"/>
        <w:rPr/>
      </w:pPr>
      <w:bookmarkStart w:id="13" w:name="__RefHeading___Toc10787_1649759004"/>
      <w:bookmarkEnd w:id="13"/>
      <w:r>
        <w:rPr>
          <w:rFonts w:eastAsia="Segoe UI" w:cs="Segoe UI"/>
          <w:b/>
          <w:color w:val="0F4761"/>
          <w:sz w:val="26"/>
        </w:rPr>
        <w:t>4.3  Implementation sizes</w:t>
      </w:r>
    </w:p>
    <w:p>
      <w:pPr>
        <w:pStyle w:val="Normal"/>
        <w:spacing w:lineRule="auto" w:line="276" w:before="0" w:after="120"/>
        <w:rPr/>
      </w:pPr>
      <w:r>
        <w:rPr>
          <w:rFonts w:eastAsia="Segoe UI" w:cs="Segoe UI" w:ascii="Segoe UI" w:hAnsi="Segoe UI"/>
          <w:color w:val="101820"/>
          <w:sz w:val="21"/>
        </w:rPr>
        <w:t>The plan has three sizes. The size is agreed at mobilisation from the figures below. These thresholds are planning assumptions; the steering committee confirms the size once the data volumes are known.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248"/>
        <w:gridCol w:w="286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52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Typical profile (assumption)</w:t>
            </w:r>
          </w:p>
        </w:tc>
        <w:tc>
          <w:tcPr>
            <w:tcW w:w="28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Duration to hypercare exit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5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office, up to 25 users, up to 10 insurers, up to 5,000 in-force policies, one or two bank accounts</w:t>
            </w:r>
          </w:p>
        </w:tc>
        <w:tc>
          <w:tcPr>
            <w:tcW w:w="28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weeks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5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3 offices, 26 to 100 users, up to 25 insurers, up to 25,000 in-force policies, co-insurance in use</w:t>
            </w:r>
          </w:p>
        </w:tc>
        <w:tc>
          <w:tcPr>
            <w:tcW w:w="28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weeks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5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More than 3 offices, more than 100 users, many insurers, more than 25,000 in-force policies, several bank accounts and referrer networks</w:t>
            </w:r>
          </w:p>
        </w:tc>
        <w:tc>
          <w:tcPr>
            <w:tcW w:w="28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to 20 weeks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An import file holds at most 20,000 data rows (</w:t>
      </w:r>
      <w:r>
        <w:rPr>
          <w:rFonts w:eastAsia="Consolas" w:cs="Consolas" w:ascii="Consolas" w:hAnsi="Consolas"/>
          <w:color w:val="101820"/>
          <w:sz w:val="19"/>
        </w:rPr>
        <w:t>IMPORT_MAX_ROWS</w:t>
      </w:r>
      <w:r>
        <w:rPr>
          <w:rFonts w:eastAsia="Segoe UI" w:cs="Segoe UI" w:ascii="Segoe UI" w:hAnsi="Segoe UI"/>
          <w:color w:val="101820"/>
          <w:sz w:val="21"/>
        </w:rPr>
        <w:t>). Larger books are loaded in several files, which the large plan allows for.</w:t>
      </w:r>
      <w:r>
        <w:br w:type="page"/>
      </w:r>
    </w:p>
    <w:p>
      <w:pPr>
        <w:pStyle w:val="Heading1"/>
        <w:rPr/>
      </w:pPr>
      <w:bookmarkStart w:id="14" w:name="__RefHeading___Toc10789_1649759004"/>
      <w:bookmarkEnd w:id="14"/>
      <w:r>
        <w:rPr>
          <w:rFonts w:eastAsia="Segoe UI" w:cs="Segoe UI" w:ascii="Segoe UI" w:hAnsi="Segoe UI"/>
          <w:b/>
          <w:color w:val="0F4761"/>
          <w:sz w:val="32"/>
        </w:rPr>
        <w:t>5.  Phases</w:t>
      </w:r>
    </w:p>
    <w:p>
      <w:pPr>
        <w:pStyle w:val="Heading2"/>
        <w:rPr/>
      </w:pPr>
      <w:bookmarkStart w:id="15" w:name="__RefHeading___Toc10791_1649759004"/>
      <w:bookmarkEnd w:id="15"/>
      <w:r>
        <w:rPr>
          <w:rFonts w:eastAsia="Segoe UI" w:cs="Segoe UI"/>
          <w:b/>
          <w:color w:val="0F4761"/>
          <w:sz w:val="26"/>
        </w:rPr>
        <w:t>5.1  Overview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659"/>
        <w:gridCol w:w="544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26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54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team and governance, plan confirmed, data requests issued, environments ordered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Walk-through of each process on the delivered system; configuration decisions; fit-gap register limited to configuration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set-up</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(UAT) and production environments, e-mail account, backups, monitoring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products and rates, numbering, chart of accounts, posting rules, approvals, security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Extraction by the broker, mapping to the templates, mock loads, reconciliation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bank statement files, payment gateway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Train-the-trainer for key users, then end-user training per role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integration test</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runs across roles with the configured data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acceptance test</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run the UAT scripts with the broker's own data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Final extract, final loads, reconciliation, go/no-go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day of transactions in BrokerVerse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26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54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support by the project team until the first month-end close is done</w:t>
            </w:r>
          </w:p>
        </w:tc>
      </w:tr>
    </w:tbl>
    <w:p>
      <w:pPr>
        <w:pStyle w:val="Normal"/>
        <w:spacing w:before="0" w:after="80"/>
        <w:rPr/>
      </w:pPr>
      <w:r>
        <w:rPr/>
      </w:r>
    </w:p>
    <w:p>
      <w:pPr>
        <w:pStyle w:val="Heading2"/>
        <w:rPr/>
      </w:pPr>
      <w:bookmarkStart w:id="16" w:name="__RefHeading___Toc10793_1649759004"/>
      <w:bookmarkEnd w:id="16"/>
      <w:r>
        <w:rPr>
          <w:rFonts w:eastAsia="Segoe UI" w:cs="Segoe UI"/>
          <w:b/>
          <w:color w:val="0F4761"/>
          <w:sz w:val="26"/>
        </w:rPr>
        <w:t>5.2  Mobilisation</w:t>
      </w:r>
    </w:p>
    <w:p>
      <w:pPr>
        <w:pStyle w:val="Normal"/>
        <w:numPr>
          <w:ilvl w:val="0"/>
          <w:numId w:val="1"/>
        </w:numPr>
        <w:spacing w:before="0" w:after="60"/>
        <w:rPr/>
      </w:pPr>
      <w:r>
        <w:rPr>
          <w:rFonts w:eastAsia="Segoe UI" w:cs="Segoe UI" w:ascii="Segoe UI" w:hAnsi="Segoe UI"/>
          <w:color w:val="101820"/>
          <w:sz w:val="21"/>
        </w:rPr>
        <w:t>Kick-off meeting with the sponsor, the broker's project manager, the key users and the iorta TechNXT team.</w:t>
      </w:r>
    </w:p>
    <w:p>
      <w:pPr>
        <w:pStyle w:val="Normal"/>
        <w:numPr>
          <w:ilvl w:val="0"/>
          <w:numId w:val="1"/>
        </w:numPr>
        <w:spacing w:before="0" w:after="60"/>
        <w:rPr/>
      </w:pPr>
      <w:r>
        <w:rPr>
          <w:rFonts w:eastAsia="Segoe UI" w:cs="Segoe UI" w:ascii="Segoe UI" w:hAnsi="Segoe UI"/>
          <w:color w:val="101820"/>
          <w:sz w:val="21"/>
        </w:rPr>
        <w:t>Confirm the implementation size, the plan, the go-live date and the hypercare window.</w:t>
      </w:r>
    </w:p>
    <w:p>
      <w:pPr>
        <w:pStyle w:val="Normal"/>
        <w:numPr>
          <w:ilvl w:val="0"/>
          <w:numId w:val="1"/>
        </w:numPr>
        <w:spacing w:before="0" w:after="60"/>
        <w:rPr/>
      </w:pPr>
      <w:r>
        <w:rPr>
          <w:rFonts w:eastAsia="Segoe UI" w:cs="Segoe UI" w:ascii="Segoe UI" w:hAnsi="Segoe UI"/>
          <w:color w:val="101820"/>
          <w:sz w:val="21"/>
        </w:rPr>
        <w:t>Set up the steering committee, the weekly status meeting and the RAID log (chapter 10).</w:t>
      </w:r>
    </w:p>
    <w:p>
      <w:pPr>
        <w:pStyle w:val="Normal"/>
        <w:numPr>
          <w:ilvl w:val="0"/>
          <w:numId w:val="1"/>
        </w:numPr>
        <w:spacing w:before="0" w:after="60"/>
        <w:rPr/>
      </w:pPr>
      <w:r>
        <w:rPr>
          <w:rFonts w:eastAsia="Segoe UI" w:cs="Segoe UI" w:ascii="Segoe UI" w:hAnsi="Segoe UI"/>
          <w:color w:val="101820"/>
          <w:sz w:val="21"/>
        </w:rPr>
        <w:t>Issue the data request list: insurer list and agreements, commission and referrer rates, product list, chart of accounts, last trial balance, in-force policy extract, open receivable ageing, amounts due to insurers, bank accounts, official receipt and invoice series with the BIR Authority to Print, user list with roles.</w:t>
      </w:r>
    </w:p>
    <w:p>
      <w:pPr>
        <w:pStyle w:val="Normal"/>
        <w:numPr>
          <w:ilvl w:val="0"/>
          <w:numId w:val="1"/>
        </w:numPr>
        <w:spacing w:before="0" w:after="60"/>
        <w:rPr/>
      </w:pPr>
      <w:r>
        <w:rPr>
          <w:rFonts w:eastAsia="Segoe UI" w:cs="Segoe UI" w:ascii="Segoe UI" w:hAnsi="Segoe UI"/>
          <w:color w:val="101820"/>
          <w:sz w:val="21"/>
        </w:rPr>
        <w:t>Order the environments (phase 3).</w:t>
      </w:r>
    </w:p>
    <w:p>
      <w:pPr>
        <w:pStyle w:val="Heading2"/>
        <w:rPr/>
      </w:pPr>
      <w:bookmarkStart w:id="17" w:name="__RefHeading___Toc10795_1649759004"/>
      <w:bookmarkEnd w:id="17"/>
      <w:r>
        <w:rPr>
          <w:rFonts w:eastAsia="Segoe UI" w:cs="Segoe UI"/>
          <w:b/>
          <w:color w:val="0F4761"/>
          <w:sz w:val="26"/>
        </w:rPr>
        <w:t>5.3  Discovery and fit-gap</w:t>
      </w:r>
    </w:p>
    <w:p>
      <w:pPr>
        <w:pStyle w:val="Normal"/>
        <w:spacing w:lineRule="auto" w:line="276" w:before="0" w:after="120"/>
        <w:rPr/>
      </w:pPr>
      <w:r>
        <w:rPr>
          <w:rFonts w:eastAsia="Segoe UI" w:cs="Segoe UI" w:ascii="Segoe UI" w:hAnsi="Segoe UI"/>
          <w:color w:val="101820"/>
          <w:sz w:val="21"/>
        </w:rPr>
        <w:t>Discovery is limited to configuration. Each workshop shows the delivered screens with the broker's own examples and records the decisions in the configuration workbook.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42"/>
        <w:gridCol w:w="2642"/>
        <w:gridCol w:w="3730"/>
      </w:tblGrid>
      <w:tr>
        <w:trPr>
          <w:tblHeader w:val="true"/>
        </w:trPr>
        <w:tc>
          <w:tcPr>
            <w:tcW w:w="26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Workshop</w:t>
            </w:r>
          </w:p>
        </w:tc>
        <w:tc>
          <w:tcPr>
            <w:tcW w:w="26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Participants</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Decisions recorded</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 and access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System Administrator</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Companies, branches, departments, users per role, two-step verification roles, security policy</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and placement</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journey per line (</w:t>
            </w:r>
            <w:r>
              <w:rPr>
                <w:rFonts w:eastAsia="Consolas" w:cs="Consolas" w:ascii="Consolas" w:hAnsi="Consolas"/>
                <w:color w:val="101820"/>
                <w:kern w:val="0"/>
                <w:sz w:val="16"/>
                <w:szCs w:val="24"/>
                <w:lang w:val="en-US" w:eastAsia="ja-JP" w:bidi="ar-SA"/>
              </w:rPr>
              <w:t>placement.journey</w:t>
            </w:r>
            <w:r>
              <w:rPr>
                <w:rFonts w:eastAsia="Segoe UI" w:cs="Segoe UI" w:ascii="Segoe UI" w:hAnsi="Segoe UI"/>
                <w:color w:val="101820"/>
                <w:kern w:val="0"/>
                <w:sz w:val="18"/>
                <w:szCs w:val="24"/>
                <w:lang w:val="en-US" w:eastAsia="ja-JP" w:bidi="ar-SA"/>
              </w:rPr>
              <w:t>), quotation validity, maker-checker on quotations, product templates in use</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servicing and renewals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Processing Team</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handling, renewal timetable (pipeline 90 days, notices at 60, 30 and 15 days), renewal maker-checker</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controls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 settlement maker-checker, SLA days), claim letters</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collection and remittance</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mode per insurer, premium payment warranty days, remittance terms, remittance approval levels, direct bill settings</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and incentives</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Sales &amp; Marketing</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rules, rate matrix, referrer withholding rates, payout conditions</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and close</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account determination, posting rules, fiscal year, close checklist, period control, bank reconciliation</w:t>
            </w:r>
          </w:p>
        </w:tc>
      </w:tr>
      <w:tr>
        <w:trPr/>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w:t>
            </w:r>
          </w:p>
        </w:tc>
        <w:tc>
          <w:tcPr>
            <w:tcW w:w="26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tax adviser</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and ATC, premium taxes and LGU rates, BIR settings for the forms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Output: the configuration workbook and the fit-gap register. Each register line is classed as Fit (delivered), Configure (setting or master data), Procedure (the broker changes how it works) or Gap (needs a change request).</w:t>
      </w:r>
    </w:p>
    <w:p>
      <w:pPr>
        <w:pStyle w:val="Heading2"/>
        <w:rPr/>
      </w:pPr>
      <w:bookmarkStart w:id="18" w:name="__RefHeading___Toc10797_1649759004"/>
      <w:bookmarkEnd w:id="18"/>
      <w:r>
        <w:rPr>
          <w:rFonts w:eastAsia="Segoe UI" w:cs="Segoe UI"/>
          <w:b/>
          <w:color w:val="0F4761"/>
          <w:sz w:val="26"/>
        </w:rPr>
        <w:t>5.4  Environment set-up</w:t>
      </w:r>
    </w:p>
    <w:p>
      <w:pPr>
        <w:pStyle w:val="Normal"/>
        <w:numPr>
          <w:ilvl w:val="0"/>
          <w:numId w:val="1"/>
        </w:numPr>
        <w:spacing w:before="0" w:after="60"/>
        <w:rPr/>
      </w:pPr>
      <w:r>
        <w:rPr>
          <w:rFonts w:eastAsia="Segoe UI" w:cs="Segoe UI" w:ascii="Segoe UI" w:hAnsi="Segoe UI"/>
          <w:color w:val="101820"/>
          <w:sz w:val="21"/>
        </w:rPr>
        <w:t xml:space="preserve">iorta TechNXT provisions a test environment (used for configuration, SIT, mock loads, training and UAT) and the production environment following </w:t>
      </w:r>
      <w:r>
        <w:rPr>
          <w:rFonts w:eastAsia="Consolas" w:cs="Consolas" w:ascii="Consolas" w:hAnsi="Consolas"/>
          <w:color w:val="101820"/>
          <w:sz w:val="19"/>
        </w:rPr>
        <w:t>deploy/README.md</w:t>
      </w:r>
      <w:r>
        <w:rPr>
          <w:rFonts w:eastAsia="Segoe UI" w:cs="Segoe UI" w:ascii="Segoe UI" w:hAnsi="Segoe UI"/>
          <w:color w:val="101820"/>
          <w:sz w:val="21"/>
        </w:rPr>
        <w:t>. Assumption: iorta TechNXT hosts both on AWS in region ap-southeast-1; a broker-hosted installation is a separate option.</w:t>
      </w:r>
    </w:p>
    <w:p>
      <w:pPr>
        <w:pStyle w:val="Normal"/>
        <w:numPr>
          <w:ilvl w:val="0"/>
          <w:numId w:val="1"/>
        </w:numPr>
        <w:spacing w:before="0" w:after="60"/>
        <w:rPr/>
      </w:pPr>
      <w:r>
        <w:rPr>
          <w:rFonts w:eastAsia="Segoe UI" w:cs="Segoe UI" w:ascii="Segoe UI" w:hAnsi="Segoe UI"/>
          <w:color w:val="101820"/>
          <w:sz w:val="21"/>
        </w:rPr>
        <w:t>Production starts with reference data only (</w:t>
      </w:r>
      <w:r>
        <w:rPr>
          <w:rFonts w:eastAsia="Consolas" w:cs="Consolas" w:ascii="Consolas" w:hAnsi="Consolas"/>
          <w:color w:val="101820"/>
          <w:sz w:val="19"/>
        </w:rPr>
        <w:t>SEED_SAMPLE_DATA=false</w:t>
      </w:r>
      <w:r>
        <w:rPr>
          <w:rFonts w:eastAsia="Segoe UI" w:cs="Segoe UI" w:ascii="Segoe UI" w:hAnsi="Segoe UI"/>
          <w:color w:val="101820"/>
          <w:sz w:val="21"/>
        </w:rPr>
        <w:t>). The test environment may carry the delivered sample data for training.</w:t>
      </w:r>
    </w:p>
    <w:p>
      <w:pPr>
        <w:pStyle w:val="Normal"/>
        <w:numPr>
          <w:ilvl w:val="0"/>
          <w:numId w:val="1"/>
        </w:numPr>
        <w:spacing w:before="0" w:after="60"/>
        <w:rPr/>
      </w:pPr>
      <w:r>
        <w:rPr>
          <w:rFonts w:eastAsia="Segoe UI" w:cs="Segoe UI" w:ascii="Segoe UI" w:hAnsi="Segoe UI"/>
          <w:color w:val="101820"/>
          <w:sz w:val="21"/>
        </w:rPr>
        <w:t>Database time zone Asia/Manila, daily database snapshots with at least 30 days' retention, backup of the upload volume and the encryption key, a restore test before go-live.</w:t>
      </w:r>
    </w:p>
    <w:p>
      <w:pPr>
        <w:pStyle w:val="Normal"/>
        <w:numPr>
          <w:ilvl w:val="0"/>
          <w:numId w:val="1"/>
        </w:numPr>
        <w:spacing w:before="0" w:after="60"/>
        <w:rPr/>
      </w:pPr>
      <w:r>
        <w:rPr>
          <w:rFonts w:eastAsia="Segoe UI" w:cs="Segoe UI" w:ascii="Segoe UI" w:hAnsi="Segoe UI"/>
          <w:color w:val="101820"/>
          <w:sz w:val="21"/>
        </w:rPr>
        <w:t>Health checks (</w:t>
      </w:r>
      <w:r>
        <w:rPr>
          <w:rFonts w:eastAsia="Consolas" w:cs="Consolas" w:ascii="Consolas" w:hAnsi="Consolas"/>
          <w:color w:val="101820"/>
          <w:sz w:val="19"/>
        </w:rPr>
        <w:t>/api/health</w:t>
      </w:r>
      <w:r>
        <w:rPr>
          <w:rFonts w:eastAsia="Segoe UI" w:cs="Segoe UI" w:ascii="Segoe UI" w:hAnsi="Segoe UI"/>
          <w:color w:val="101820"/>
          <w:sz w:val="21"/>
        </w:rPr>
        <w:t xml:space="preserve">, </w:t>
      </w:r>
      <w:r>
        <w:rPr>
          <w:rFonts w:eastAsia="Consolas" w:cs="Consolas" w:ascii="Consolas" w:hAnsi="Consolas"/>
          <w:color w:val="101820"/>
          <w:sz w:val="19"/>
        </w:rPr>
        <w:t>/api/health/live</w:t>
      </w:r>
      <w:r>
        <w:rPr>
          <w:rFonts w:eastAsia="Segoe UI" w:cs="Segoe UI" w:ascii="Segoe UI" w:hAnsi="Segoe UI"/>
          <w:color w:val="101820"/>
          <w:sz w:val="21"/>
        </w:rPr>
        <w:t>) wired to the load balancer and monitoring.</w:t>
      </w:r>
    </w:p>
    <w:p>
      <w:pPr>
        <w:pStyle w:val="Normal"/>
        <w:numPr>
          <w:ilvl w:val="0"/>
          <w:numId w:val="1"/>
        </w:numPr>
        <w:spacing w:before="0" w:after="60"/>
        <w:rPr/>
      </w:pPr>
      <w:r>
        <w:rPr>
          <w:rFonts w:eastAsia="Segoe UI" w:cs="Segoe UI" w:ascii="Segoe UI" w:hAnsi="Segoe UI"/>
          <w:color w:val="101820"/>
          <w:sz w:val="21"/>
        </w:rPr>
        <w:t>SMTP mailbox for outgoing e-mail.</w:t>
      </w:r>
    </w:p>
    <w:p>
      <w:pPr>
        <w:pStyle w:val="Normal"/>
        <w:numPr>
          <w:ilvl w:val="0"/>
          <w:numId w:val="1"/>
        </w:numPr>
        <w:spacing w:before="0" w:after="60"/>
        <w:rPr/>
      </w:pPr>
      <w:r>
        <w:rPr>
          <w:rFonts w:eastAsia="Segoe UI" w:cs="Segoe UI" w:ascii="Segoe UI" w:hAnsi="Segoe UI"/>
          <w:color w:val="101820"/>
          <w:sz w:val="21"/>
        </w:rPr>
        <w:t>Smoke test of section 4 of the deployment checklist on each environment.</w:t>
      </w:r>
    </w:p>
    <w:p>
      <w:pPr>
        <w:pStyle w:val="Heading2"/>
        <w:rPr/>
      </w:pPr>
      <w:bookmarkStart w:id="19" w:name="__RefHeading___Toc10799_1649759004"/>
      <w:bookmarkEnd w:id="19"/>
      <w:r>
        <w:rPr>
          <w:rFonts w:eastAsia="Segoe UI" w:cs="Segoe UI"/>
          <w:b/>
          <w:color w:val="0F4761"/>
          <w:sz w:val="26"/>
        </w:rPr>
        <w:t>5.5  Configuration</w:t>
      </w:r>
    </w:p>
    <w:p>
      <w:pPr>
        <w:pStyle w:val="Normal"/>
        <w:spacing w:lineRule="auto" w:line="276" w:before="0" w:after="120"/>
        <w:rPr/>
      </w:pPr>
      <w:r>
        <w:rPr>
          <w:rFonts w:eastAsia="Segoe UI" w:cs="Segoe UI" w:ascii="Segoe UI" w:hAnsi="Segoe UI"/>
          <w:color w:val="101820"/>
          <w:sz w:val="21"/>
        </w:rPr>
        <w:t xml:space="preserve">Configuration follows the order of </w:t>
      </w:r>
      <w:r>
        <w:rPr>
          <w:rFonts w:eastAsia="Consolas" w:cs="Consolas" w:ascii="Consolas" w:hAnsi="Consolas"/>
          <w:color w:val="101820"/>
          <w:sz w:val="19"/>
        </w:rPr>
        <w:t>GO_LIVE_DATA_SETUP.md</w:t>
      </w:r>
      <w:r>
        <w:rPr>
          <w:rFonts w:eastAsia="Segoe UI" w:cs="Segoe UI" w:ascii="Segoe UI" w:hAnsi="Segoe UI"/>
          <w:color w:val="101820"/>
          <w:sz w:val="21"/>
        </w:rPr>
        <w:t>, steps 1 to 10, first in the test environment. Once accepted in UAT, the same values are applied to production, by upload where a template exists and on the screen otherwise.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Template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and letterhead, system name and logo</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Organization &gt; Company; Master &gt; System Settings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Company_Upload_Template.xlsx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Branches, departments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Organization &gt; Branch</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Branch_…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Department_Upload_Template.xlsx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and roles, security settings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&gt; User; Master &gt; Configuration &gt; Security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Users_Provisioning_Template.xlsx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credit and remittance terms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Insurance Management &gt; Insurance Company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Insurance_Company_Upload_Template.xlsx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Commission Rate Matrix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 products, policy types, covers, vehicles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Insurance Management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Line_of_Business_…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Policy_Type_…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Cover_…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Vehicle_…</w:t>
            </w:r>
            <w:r>
              <w:rPr>
                <w:rFonts w:eastAsia="Segoe UI" w:cs="Segoe UI" w:ascii="Segoe UI" w:hAnsi="Segoe UI"/>
                <w:color w:val="101820"/>
                <w:kern w:val="0"/>
                <w:sz w:val="18"/>
                <w:szCs w:val="24"/>
                <w:lang w:val="en-US" w:eastAsia="ja-JP" w:bidi="ar-SA"/>
              </w:rPr>
              <w:t xml:space="preserve"> templates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 motor tariff, rating, acceptance rules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 (approval limits: Master &gt; User Management &gt; Authority Matrix)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premium taxes and LGU rates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Taxation; Premium Taxes &amp; LGU Rates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Main Account, Sub Account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Chart_of_Accounts_Upload_Template.xlsx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determination and posting rules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Account Determination, Posting Rules (Simulate), Configuration Approvals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bank accounts, signatories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Bank; Insurance Management &gt; Signatories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Bank_Account_…</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Signatories_Upload_Template.xlsx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Document Numbering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Approvals and maker-checker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(switches and remittance approval levels); User Management &gt; Authority Matrix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texts, notification recipients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&gt; Schedules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screen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delivered data already holds Philippine lines of business, products, covers, vehicle makes, the 2025 motor tariff, the tax codes (VAT 12%, DST 12.5%, LGT 0.75% and expanded withholding codes with ATC) and a Philippine broker chart of accounts. Configuration therefore reviews and adjusts more than it builds. The broker's accountant and tax adviser confirm tax rates, ATC and GL accounts.</w:t>
      </w:r>
    </w:p>
    <w:p>
      <w:pPr>
        <w:pStyle w:val="Heading2"/>
        <w:rPr/>
      </w:pPr>
      <w:bookmarkStart w:id="20" w:name="__RefHeading___Toc10801_1649759004"/>
      <w:bookmarkEnd w:id="20"/>
      <w:r>
        <w:rPr>
          <w:rFonts w:eastAsia="Segoe UI" w:cs="Segoe UI"/>
          <w:b/>
          <w:color w:val="0F4761"/>
          <w:sz w:val="26"/>
        </w:rPr>
        <w:t>5.6  Data migration</w:t>
      </w:r>
    </w:p>
    <w:p>
      <w:pPr>
        <w:pStyle w:val="Normal"/>
        <w:spacing w:lineRule="auto" w:line="276" w:before="0" w:after="120"/>
        <w:rPr/>
      </w:pPr>
      <w:r>
        <w:rPr>
          <w:rFonts w:eastAsia="Segoe UI" w:cs="Segoe UI" w:ascii="Segoe UI" w:hAnsi="Segoe UI"/>
          <w:color w:val="101820"/>
          <w:sz w:val="21"/>
        </w:rPr>
        <w:t>The detail is in the Data Migration and Cutover Plan. In outline:</w:t>
      </w:r>
    </w:p>
    <w:p>
      <w:pPr>
        <w:pStyle w:val="Normal"/>
        <w:numPr>
          <w:ilvl w:val="0"/>
          <w:numId w:val="1"/>
        </w:numPr>
        <w:spacing w:before="0" w:after="60"/>
        <w:rPr/>
      </w:pPr>
      <w:r>
        <w:rPr>
          <w:rFonts w:eastAsia="Segoe UI" w:cs="Segoe UI" w:ascii="Segoe UI" w:hAnsi="Segoe UI"/>
          <w:color w:val="101820"/>
          <w:sz w:val="21"/>
        </w:rPr>
        <w:t>Masters, in-force policies and clients, open premium receivables, GL opening balances (which carry the amounts due to insurers), and optionally leads and quotations in progress.</w:t>
      </w:r>
    </w:p>
    <w:p>
      <w:pPr>
        <w:pStyle w:val="Normal"/>
        <w:numPr>
          <w:ilvl w:val="0"/>
          <w:numId w:val="1"/>
        </w:numPr>
        <w:spacing w:before="0" w:after="60"/>
        <w:rPr/>
      </w:pPr>
      <w:r>
        <w:rPr>
          <w:rFonts w:eastAsia="Segoe UI" w:cs="Segoe UI" w:ascii="Segoe UI" w:hAnsi="Segoe UI"/>
          <w:color w:val="101820"/>
          <w:sz w:val="21"/>
        </w:rPr>
        <w:t>The broker extracts and cleanses the data; iorta TechNXT advises on mapping, runs the loads with the broker and checks the results.</w:t>
      </w:r>
    </w:p>
    <w:p>
      <w:pPr>
        <w:pStyle w:val="Normal"/>
        <w:numPr>
          <w:ilvl w:val="0"/>
          <w:numId w:val="1"/>
        </w:numPr>
        <w:spacing w:before="0" w:after="60"/>
        <w:rPr/>
      </w:pPr>
      <w:r>
        <w:rPr>
          <w:rFonts w:eastAsia="Segoe UI" w:cs="Segoe UI" w:ascii="Segoe UI" w:hAnsi="Segoe UI"/>
          <w:color w:val="101820"/>
          <w:sz w:val="21"/>
        </w:rPr>
        <w:t>Three mock loads for medium and large brokers, two for small brokers, each reconciled on counts and totals. The last mock load is the cutover rehearsal.</w:t>
      </w:r>
    </w:p>
    <w:p>
      <w:pPr>
        <w:pStyle w:val="Heading2"/>
        <w:rPr/>
      </w:pPr>
      <w:bookmarkStart w:id="21" w:name="__RefHeading___Toc10803_1649759004"/>
      <w:bookmarkEnd w:id="21"/>
      <w:r>
        <w:rPr>
          <w:rFonts w:eastAsia="Segoe UI" w:cs="Segoe UI"/>
          <w:b/>
          <w:color w:val="0F4761"/>
          <w:sz w:val="26"/>
        </w:rPr>
        <w:t>5.7  Integrations</w:t>
      </w:r>
    </w:p>
    <w:p>
      <w:pPr>
        <w:pStyle w:val="Normal"/>
        <w:spacing w:lineRule="auto" w:line="276" w:before="0" w:after="120"/>
        <w:rPr/>
      </w:pPr>
      <w:r>
        <w:rPr>
          <w:rFonts w:eastAsia="Segoe UI" w:cs="Segoe UI" w:ascii="Segoe UI" w:hAnsi="Segoe UI"/>
          <w:color w:val="101820"/>
          <w:sz w:val="21"/>
        </w:rPr>
        <w:t>The OOTB integrations are configured, not built.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730"/>
        <w:gridCol w:w="3730"/>
      </w:tblGrid>
      <w:tr>
        <w:trPr>
          <w:tblHeader w:val="true"/>
        </w:trPr>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Integration</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is delivered</w:t>
            </w:r>
          </w:p>
        </w:tc>
        <w:tc>
          <w:tcPr>
            <w:tcW w:w="37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 work</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Outgoing mail through an SMTP mailbox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queued in the E-mail Outbox and sent every 5 minutes; texts and recipients in Master &gt; Configuration</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Mailbox and credentials from the broker, sender name, texts, test of password reset and quotation approval link</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files</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 import in Accounts &gt; Bank Reconciliation with the delivered formats BDO-SAMPLE, BPI-SAMPLE, MBT-SAMPLE and GENERIC; remittance bank transactions import (CSV)</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sample statement per bank account; adjust the format columns in Master &gt; Finance &gt; Bank Statement Formats if a bank's export differs</w:t>
            </w:r>
          </w:p>
        </w:tc>
      </w:tr>
      <w:tr>
        <w:trPr/>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links with the providers PayMongo and Dragonpay, plus a sandbox provider; a confirmed payment posts the official receipt</w:t>
            </w:r>
          </w:p>
        </w:tc>
        <w:tc>
          <w:tcPr>
            <w:tcW w:w="37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merchant account and credentials (kept in the secret store), notification address registered with the provider, sandbox test then a live test payment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Electronic transfers to insurers (InstaPay, PESONet, RTGS, wire) are recorded and approved in Accounts &gt; Remittance &gt; Electronic Transfer and executed in the bank's own portal. Outgoing payment files for bank portals are not part of the OOTB scope.</w:t>
      </w:r>
    </w:p>
    <w:p>
      <w:pPr>
        <w:pStyle w:val="Heading2"/>
        <w:rPr/>
      </w:pPr>
      <w:bookmarkStart w:id="22" w:name="__RefHeading___Toc10805_1649759004"/>
      <w:bookmarkEnd w:id="22"/>
      <w:r>
        <w:rPr>
          <w:rFonts w:eastAsia="Segoe UI" w:cs="Segoe UI"/>
          <w:b/>
          <w:color w:val="0F4761"/>
          <w:sz w:val="26"/>
        </w:rPr>
        <w:t>5.8  Training</w:t>
      </w:r>
    </w:p>
    <w:p>
      <w:pPr>
        <w:pStyle w:val="Normal"/>
        <w:spacing w:lineRule="auto" w:line="276" w:before="0" w:after="120"/>
        <w:rPr/>
      </w:pPr>
      <w:r>
        <w:rPr>
          <w:rFonts w:eastAsia="Segoe UI" w:cs="Segoe UI" w:ascii="Segoe UI" w:hAnsi="Segoe UI"/>
          <w:color w:val="101820"/>
          <w:sz w:val="21"/>
        </w:rPr>
        <w:t xml:space="preserve">Train-the-trainer for the key users first, then end-user training per role, delivered by the key users with iorta TechNXT present. The Training Plan gives the curriculum and durations. Materials: the user manual and the seven role decks in </w:t>
      </w:r>
      <w:r>
        <w:rPr>
          <w:rFonts w:eastAsia="Consolas" w:cs="Consolas" w:ascii="Consolas" w:hAnsi="Consolas"/>
          <w:color w:val="101820"/>
          <w:sz w:val="19"/>
        </w:rPr>
        <w:t>docs/decks</w:t>
      </w:r>
      <w:r>
        <w:rPr>
          <w:rFonts w:eastAsia="Segoe UI" w:cs="Segoe UI" w:ascii="Segoe UI" w:hAnsi="Segoe UI"/>
          <w:color w:val="101820"/>
          <w:sz w:val="21"/>
        </w:rPr>
        <w:t>.</w:t>
      </w:r>
    </w:p>
    <w:p>
      <w:pPr>
        <w:pStyle w:val="Heading2"/>
        <w:rPr/>
      </w:pPr>
      <w:bookmarkStart w:id="23" w:name="__RefHeading___Toc10807_1649759004"/>
      <w:bookmarkEnd w:id="23"/>
      <w:r>
        <w:rPr>
          <w:rFonts w:eastAsia="Segoe UI" w:cs="Segoe UI"/>
          <w:b/>
          <w:color w:val="0F4761"/>
          <w:sz w:val="26"/>
        </w:rPr>
        <w:t>5.9  System integration test</w:t>
      </w:r>
    </w:p>
    <w:p>
      <w:pPr>
        <w:pStyle w:val="Normal"/>
        <w:spacing w:lineRule="auto" w:line="276" w:before="0" w:after="120"/>
        <w:rPr/>
      </w:pPr>
      <w:r>
        <w:rPr>
          <w:rFonts w:eastAsia="Segoe UI" w:cs="Segoe UI" w:ascii="Segoe UI" w:hAnsi="Segoe UI"/>
          <w:color w:val="101820"/>
          <w:sz w:val="21"/>
        </w:rPr>
        <w:t xml:space="preserve">iorta TechNXT runs the end-to-end flows across all roles in the test environment with the configured masters and the migrated data of the latest mock load. The test follows the end-to-end plan in </w:t>
      </w:r>
      <w:r>
        <w:rPr>
          <w:rFonts w:eastAsia="Consolas" w:cs="Consolas" w:ascii="Consolas" w:hAnsi="Consolas"/>
          <w:color w:val="101820"/>
          <w:sz w:val="19"/>
        </w:rPr>
        <w:t>docs/e2e/E2E_TEST_PLAN.md</w:t>
      </w:r>
      <w:r>
        <w:rPr>
          <w:rFonts w:eastAsia="Segoe UI" w:cs="Segoe UI" w:ascii="Segoe UI" w:hAnsi="Segoe UI"/>
          <w:color w:val="101820"/>
          <w:sz w:val="21"/>
        </w:rPr>
        <w:t xml:space="preserve"> (one motor policy through its whole life, plus a co-insured placement and the month-end close) and the scripted scenario </w:t>
      </w:r>
      <w:r>
        <w:rPr>
          <w:rFonts w:eastAsia="Consolas" w:cs="Consolas" w:ascii="Consolas" w:hAnsi="Consolas"/>
          <w:color w:val="101820"/>
          <w:sz w:val="19"/>
        </w:rPr>
        <w:t>backend/scripts/uat-scenario.js</w:t>
      </w:r>
      <w:r>
        <w:rPr>
          <w:rFonts w:eastAsia="Segoe UI" w:cs="Segoe UI" w:ascii="Segoe UI" w:hAnsi="Segoe UI"/>
          <w:color w:val="101820"/>
          <w:sz w:val="21"/>
        </w:rPr>
        <w:t>, which drives the full broking cycle through the API with one user per role. Defects are logged with the request ID shown in error messages.</w:t>
      </w:r>
    </w:p>
    <w:p>
      <w:pPr>
        <w:pStyle w:val="Heading2"/>
        <w:rPr/>
      </w:pPr>
      <w:bookmarkStart w:id="24" w:name="__RefHeading___Toc10809_1649759004"/>
      <w:bookmarkEnd w:id="24"/>
      <w:r>
        <w:rPr>
          <w:rFonts w:eastAsia="Segoe UI" w:cs="Segoe UI"/>
          <w:b/>
          <w:color w:val="0F4761"/>
          <w:sz w:val="26"/>
        </w:rPr>
        <w:t>5.10  User acceptance test</w:t>
      </w:r>
    </w:p>
    <w:p>
      <w:pPr>
        <w:pStyle w:val="Normal"/>
        <w:spacing w:lineRule="auto" w:line="276" w:before="0" w:after="120"/>
        <w:rPr/>
      </w:pPr>
      <w:r>
        <w:rPr>
          <w:rFonts w:eastAsia="Segoe UI" w:cs="Segoe UI" w:ascii="Segoe UI" w:hAnsi="Segoe UI"/>
          <w:color w:val="101820"/>
          <w:sz w:val="21"/>
        </w:rPr>
        <w:t xml:space="preserve">Key users run </w:t>
      </w:r>
      <w:r>
        <w:rPr>
          <w:rFonts w:eastAsia="Consolas" w:cs="Consolas" w:ascii="Consolas" w:hAnsi="Consolas"/>
          <w:color w:val="101820"/>
          <w:sz w:val="19"/>
        </w:rPr>
        <w:t>docs/onboarding/UAT_SCRIPTS.md</w:t>
      </w:r>
      <w:r>
        <w:rPr>
          <w:rFonts w:eastAsia="Segoe UI" w:cs="Segoe UI" w:ascii="Segoe UI" w:hAnsi="Segoe UI"/>
          <w:color w:val="101820"/>
          <w:sz w:val="21"/>
        </w:rPr>
        <w:t xml:space="preserve"> (System Administrator A1 to A7, Sales &amp; Marketing S1 to S6, Processing Team P1 to P6, Operations O1 to O5, Claims C1 to C5, Accounting F1 to F8, Accounting Manager M1 to M5) with the broker's own products, insurers and data, plus broker-specific scenarios agreed in discovery. Each scenario is marked Pass or Fail with date, name and, for a failure, the record number and request ID.</w:t>
      </w:r>
    </w:p>
    <w:p>
      <w:pPr>
        <w:pStyle w:val="Heading2"/>
        <w:rPr/>
      </w:pPr>
      <w:bookmarkStart w:id="25" w:name="__RefHeading___Toc10811_1649759004"/>
      <w:bookmarkEnd w:id="25"/>
      <w:r>
        <w:rPr>
          <w:rFonts w:eastAsia="Segoe UI" w:cs="Segoe UI"/>
          <w:b/>
          <w:color w:val="0F4761"/>
          <w:sz w:val="26"/>
        </w:rPr>
        <w:t>5.11  Cutover and go-live</w:t>
      </w:r>
    </w:p>
    <w:p>
      <w:pPr>
        <w:pStyle w:val="Normal"/>
        <w:spacing w:lineRule="auto" w:line="276" w:before="0" w:after="120"/>
        <w:rPr/>
      </w:pPr>
      <w:r>
        <w:rPr>
          <w:rFonts w:eastAsia="Segoe UI" w:cs="Segoe UI" w:ascii="Segoe UI" w:hAnsi="Segoe UI"/>
          <w:color w:val="101820"/>
          <w:sz w:val="21"/>
        </w:rPr>
        <w:t>Cutover follows the checklist of the Data Migration and Cutover Plan: freeze of the old system at the close of the day before go-live, final extract, final loads, reconciliation of counts and totals, sign-off by Accounting and the Accounting Manager, go/no-go by the steering committee, then go-live. The rollback plan is ready before the go/no-go.</w:t>
      </w:r>
    </w:p>
    <w:p>
      <w:pPr>
        <w:pStyle w:val="Heading2"/>
        <w:rPr/>
      </w:pPr>
      <w:bookmarkStart w:id="26" w:name="__RefHeading___Toc10813_1649759004"/>
      <w:bookmarkEnd w:id="26"/>
      <w:r>
        <w:rPr>
          <w:rFonts w:eastAsia="Segoe UI" w:cs="Segoe UI"/>
          <w:b/>
          <w:color w:val="0F4761"/>
          <w:sz w:val="26"/>
        </w:rPr>
        <w:t>5.12  Hypercare</w:t>
      </w:r>
    </w:p>
    <w:p>
      <w:pPr>
        <w:pStyle w:val="Normal"/>
        <w:spacing w:lineRule="auto" w:line="276" w:before="0" w:after="120"/>
        <w:rPr/>
      </w:pPr>
      <w:r>
        <w:rPr>
          <w:rFonts w:eastAsia="Segoe UI" w:cs="Segoe UI" w:ascii="Segoe UI" w:hAnsi="Segoe UI"/>
          <w:color w:val="101820"/>
          <w:sz w:val="21"/>
        </w:rPr>
        <w:t>The project team stays with the broker after go-live: daily check-in in the first week, then weekly. Hypercare covers the first month-end close (bank reconciliation, remittance, Month-End Close run, BIR reports). It ends with the handover to production support described in the Production Support Approach and Standards. Default hypercare length: 2 weeks (small), 3 weeks (medium), 4 to 6 weeks (large). If the first month-end close falls after that window, hypercare extends to cover it.</w:t>
      </w:r>
      <w:r>
        <w:br w:type="page"/>
      </w:r>
    </w:p>
    <w:p>
      <w:pPr>
        <w:pStyle w:val="Heading1"/>
        <w:rPr/>
      </w:pPr>
      <w:bookmarkStart w:id="27" w:name="__RefHeading___Toc10815_1649759004"/>
      <w:bookmarkEnd w:id="27"/>
      <w:r>
        <w:rPr>
          <w:rFonts w:eastAsia="Segoe UI" w:cs="Segoe UI" w:ascii="Segoe UI" w:hAnsi="Segoe UI"/>
          <w:b/>
          <w:color w:val="0F4761"/>
          <w:sz w:val="32"/>
        </w:rPr>
        <w:t>6.  Timeline: small broker (8 weeks)</w:t>
      </w:r>
    </w:p>
    <w:p>
      <w:pPr>
        <w:pStyle w:val="Normal"/>
        <w:spacing w:lineRule="auto" w:line="276" w:before="0" w:after="120"/>
        <w:rPr/>
      </w:pPr>
      <w:r>
        <w:rPr>
          <w:rFonts w:eastAsia="Segoe UI" w:cs="Segoe UI" w:ascii="Segoe UI" w:hAnsi="Segoe UI"/>
          <w:color w:val="101820"/>
          <w:sz w:val="21"/>
        </w:rPr>
        <w:t>Go-live is at the start of week 7. Hypercare runs in weeks 7 and 8.</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8"/>
        <w:gridCol w:w="404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Week</w:t>
            </w:r>
          </w:p>
        </w:tc>
        <w:tc>
          <w:tcPr>
            <w:tcW w:w="40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Activities</w:t>
            </w:r>
          </w:p>
        </w:tc>
        <w:tc>
          <w:tcPr>
            <w:tcW w:w="4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governance set up; data requests issued; test environment provisioned; discovery workshops start</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held; plan and go-live date confirmed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 completed; production environment provisioned; configuration of company, branches, users, insurers, commission</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and fit-gap register signed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products, motor tariff, taxes, chart of accounts, account determination, posting rules, numbering, approvals; e-mail set-up; bank statement formats; mock load 1</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completed; payment gateway sandbox test; SIT; train-the-trainer for key users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report; configuration frozen for UAT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with the UAT scripts; end-user training; configuration fixes; mock load 2 (cutover rehearsal)</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2 reconciled; trained users listed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configuration copied to production; production smoke test; go/no-go; cutover at the close of the last day of week 6</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go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daily hypercare check-ins; first official receipts, remittances and bank imports watched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weekly review; knowledge transfer to support; handover</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 (or extension to the first month-end)</w:t>
            </w:r>
          </w:p>
        </w:tc>
      </w:tr>
    </w:tbl>
    <w:p>
      <w:pPr>
        <w:pStyle w:val="Normal"/>
        <w:spacing w:before="0" w:after="80"/>
        <w:rPr/>
      </w:pPr>
      <w:r>
        <w:rPr/>
      </w:r>
      <w:r>
        <w:br w:type="page"/>
      </w:r>
    </w:p>
    <w:p>
      <w:pPr>
        <w:pStyle w:val="Heading1"/>
        <w:rPr/>
      </w:pPr>
      <w:bookmarkStart w:id="28" w:name="__RefHeading___Toc10817_1649759004"/>
      <w:bookmarkEnd w:id="28"/>
      <w:r>
        <w:rPr>
          <w:rFonts w:eastAsia="Segoe UI" w:cs="Segoe UI" w:ascii="Segoe UI" w:hAnsi="Segoe UI"/>
          <w:b/>
          <w:color w:val="0F4761"/>
          <w:sz w:val="32"/>
        </w:rPr>
        <w:t>7.  Timeline: medium broker (12 weeks)</w:t>
      </w:r>
    </w:p>
    <w:p>
      <w:pPr>
        <w:pStyle w:val="Normal"/>
        <w:spacing w:lineRule="auto" w:line="276" w:before="0" w:after="120"/>
        <w:rPr/>
      </w:pPr>
      <w:r>
        <w:rPr>
          <w:rFonts w:eastAsia="Segoe UI" w:cs="Segoe UI" w:ascii="Segoe UI" w:hAnsi="Segoe UI"/>
          <w:color w:val="101820"/>
          <w:sz w:val="21"/>
        </w:rPr>
        <w:t>Go-live is at the start of week 10. Hypercare runs in weeks 10 to 12.</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8"/>
        <w:gridCol w:w="404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Week</w:t>
            </w:r>
          </w:p>
        </w:tc>
        <w:tc>
          <w:tcPr>
            <w:tcW w:w="40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Activities</w:t>
            </w:r>
          </w:p>
        </w:tc>
        <w:tc>
          <w:tcPr>
            <w:tcW w:w="4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governance; data requests; test environment provisioned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workshops (organisation, sales and placement, servicing, claims); production environment provisioned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ready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workshops (billing, remittance, commission, ledger, tax); fit-gap register; configuration of organisation, users, insurers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and fit-gap register signed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products, product templates, motor tariff, commission, taxes; data mapping to templates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mapping agreed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chart of accounts, account determination, posting rules, numbering, approvals, schedules; e-mail; mock load 1</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completed; bank statement formats; payment gateway sandbox; SIT cycle 1</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cycle 2; mock load 2; train-the-trainer for key users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report; mock load 2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 end-user training starts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 results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2 and sign-off; end-user training completed; mock load 3 (cutover rehearsal); configuration copied to production; go/no-go; cutover at the close of week 9</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go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daily hypercare check-ins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first remittance run and bank reconciliations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hypercare review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first month-end close supported where it falls; knowledge transfer; handover</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w:t>
            </w:r>
          </w:p>
        </w:tc>
      </w:tr>
    </w:tbl>
    <w:p>
      <w:pPr>
        <w:pStyle w:val="Normal"/>
        <w:spacing w:before="0" w:after="80"/>
        <w:rPr/>
      </w:pPr>
      <w:r>
        <w:rPr/>
      </w:r>
      <w:r>
        <w:br w:type="page"/>
      </w:r>
    </w:p>
    <w:p>
      <w:pPr>
        <w:pStyle w:val="Heading1"/>
        <w:rPr/>
      </w:pPr>
      <w:bookmarkStart w:id="29" w:name="__RefHeading___Toc10819_1649759004"/>
      <w:bookmarkEnd w:id="29"/>
      <w:r>
        <w:rPr>
          <w:rFonts w:eastAsia="Segoe UI" w:cs="Segoe UI" w:ascii="Segoe UI" w:hAnsi="Segoe UI"/>
          <w:b/>
          <w:color w:val="0F4761"/>
          <w:sz w:val="32"/>
        </w:rPr>
        <w:t>8.  Timeline: large broker (16 to 20 weeks)</w:t>
      </w:r>
    </w:p>
    <w:p>
      <w:pPr>
        <w:pStyle w:val="Normal"/>
        <w:spacing w:lineRule="auto" w:line="276" w:before="0" w:after="120"/>
        <w:rPr/>
      </w:pPr>
      <w:r>
        <w:rPr>
          <w:rFonts w:eastAsia="Segoe UI" w:cs="Segoe UI" w:ascii="Segoe UI" w:hAnsi="Segoe UI"/>
          <w:color w:val="101820"/>
          <w:sz w:val="21"/>
        </w:rPr>
        <w:t>The plan below is the 20-week version. Go-live is at the start of week 15 for all branches at once, because the general ledger, the receivables and the amounts due to insurers move to BrokerVerse on a single go-live date. Hypercare runs in weeks 15 to 20 and covers the first month-end close and the BIR working papers of the first month.</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8"/>
        <w:gridCol w:w="404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Week</w:t>
            </w:r>
          </w:p>
        </w:tc>
        <w:tc>
          <w:tcPr>
            <w:tcW w:w="40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Activities</w:t>
            </w:r>
          </w:p>
        </w:tc>
        <w:tc>
          <w:tcPr>
            <w:tcW w:w="4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governance; data requests; test environment ordered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 completed; test environment provisioned; discovery starts (organisation and access)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baselined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sales, placement, co-insurance, servicing, claims, renewals; production environment provisioned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ready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billing, remittance, direct bill, commission and incentives, ledger, close, tax; configuration of organisation and users starts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register completed; configuration of insurers, commission, products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and fit-gap register signed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product templates, motor tariff, rating, acceptance rules; data mapping; e-mail set-up</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mapping agreed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chart of accounts, account determination, posting rules, numbering; mock load 1</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1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approvals, authority matrix, schedules, bank accounts and statement formats; payment gateway sandbox</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completed; SIT cycle 1</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cycle 2; mock load 2; train-the-trainer starts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2 reconciled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train-the-trainer completed; UAT preparation with broker-specific scenarios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exit report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 end-user training (head office)</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1 results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cycle 2; mock load 3; end-user training (branches)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4 (cutover rehearsal); configuration copied to production; production smoke test; go/no-go; cutover at the close of week 14</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daily hypercare check-ins at head office; floor walkers in the branches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first remittance runs and bank reconciliations across all bank accounts</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hypercare review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collection, commission payout and renewal cycles watched</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 hypercare review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first month-end close supported (timing depends on the go-live date)</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close completed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BIR working papers of the first month; settings review after the first close</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 review held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40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Knowledge transfer; handover to production support</w:t>
            </w:r>
          </w:p>
        </w:tc>
        <w:tc>
          <w:tcPr>
            <w:tcW w:w="4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large broker with one office cluster and a simple product mix can follow a 16-week variant: discovery ends in week 4, configuration in week 8, three mock loads, go-live at the start of week 13 and hypercare in weeks 13 to 16 (extended to the first month-end close if needed).</w:t>
      </w:r>
      <w:r>
        <w:br w:type="page"/>
      </w:r>
    </w:p>
    <w:p>
      <w:pPr>
        <w:pStyle w:val="Heading1"/>
        <w:rPr/>
      </w:pPr>
      <w:bookmarkStart w:id="30" w:name="__RefHeading___Toc10821_1649759004"/>
      <w:bookmarkEnd w:id="30"/>
      <w:r>
        <w:rPr>
          <w:rFonts w:eastAsia="Segoe UI" w:cs="Segoe UI" w:ascii="Segoe UI" w:hAnsi="Segoe UI"/>
          <w:b/>
          <w:color w:val="0F4761"/>
          <w:sz w:val="32"/>
        </w:rPr>
        <w:t>9.  Roles and responsibilities</w:t>
      </w:r>
    </w:p>
    <w:p>
      <w:pPr>
        <w:pStyle w:val="Heading2"/>
        <w:rPr/>
      </w:pPr>
      <w:bookmarkStart w:id="31" w:name="__RefHeading___Toc10823_1649759004"/>
      <w:bookmarkEnd w:id="31"/>
      <w:r>
        <w:rPr>
          <w:rFonts w:eastAsia="Segoe UI" w:cs="Segoe UI"/>
          <w:b/>
          <w:color w:val="0F4761"/>
          <w:sz w:val="26"/>
        </w:rPr>
        <w:t>9.1  Project roles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6"/>
        <w:gridCol w:w="1317"/>
        <w:gridCol w:w="4862"/>
      </w:tblGrid>
      <w:tr>
        <w:trPr>
          <w:tblHeader w:val="true"/>
        </w:trPr>
        <w:tc>
          <w:tcPr>
            <w:tcW w:w="28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3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4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w:t>
            </w:r>
          </w:p>
        </w:tc>
      </w:tr>
      <w:tr>
        <w:trPr/>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sponsor</w:t>
            </w:r>
          </w:p>
        </w:tc>
        <w:tc>
          <w:tcPr>
            <w:tcW w:w="1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Chairs the steering committee; approves scope, change requests, go/no-go</w:t>
            </w:r>
          </w:p>
        </w:tc>
      </w:tr>
      <w:tr>
        <w:trPr/>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1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Plans the broker's work, obtains data and decisions, runs UAT and training logistics</w:t>
            </w:r>
          </w:p>
        </w:tc>
      </w:tr>
      <w:tr>
        <w:trPr/>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owners and key users</w:t>
            </w:r>
          </w:p>
        </w:tc>
        <w:tc>
          <w:tcPr>
            <w:tcW w:w="1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per team; take part in discovery, decide configuration, test, train their team</w:t>
            </w:r>
          </w:p>
        </w:tc>
      </w:tr>
      <w:tr>
        <w:trPr/>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1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 masters and settings after go-live; second line of support</w:t>
            </w:r>
          </w:p>
        </w:tc>
      </w:tr>
      <w:tr>
        <w:trPr/>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1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posting rules, tax set-up, opening balances, close; signs off financial reconciliation</w:t>
            </w:r>
          </w:p>
        </w:tc>
      </w:tr>
      <w:tr>
        <w:trPr/>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1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RAID log, status reports, steering committee papers, coordination of the iorta TechNXT team</w:t>
            </w:r>
          </w:p>
        </w:tc>
      </w:tr>
      <w:tr>
        <w:trPr/>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Functional consultants</w:t>
            </w:r>
          </w:p>
        </w:tc>
        <w:tc>
          <w:tcPr>
            <w:tcW w:w="1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configuration, data mapping, SIT, training of key users, UAT support</w:t>
            </w:r>
          </w:p>
        </w:tc>
      </w:tr>
      <w:tr>
        <w:trPr/>
        <w:tc>
          <w:tcPr>
            <w:tcW w:w="28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and DevOps lead</w:t>
            </w:r>
          </w:p>
        </w:tc>
        <w:tc>
          <w:tcPr>
            <w:tcW w:w="13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e-mail, payment gateway, backups, monitoring, data loads, cutover execution</w:t>
            </w:r>
          </w:p>
        </w:tc>
      </w:tr>
    </w:tbl>
    <w:p>
      <w:pPr>
        <w:pStyle w:val="Normal"/>
        <w:spacing w:before="0" w:after="80"/>
        <w:rPr/>
      </w:pPr>
      <w:r>
        <w:rPr/>
      </w:r>
    </w:p>
    <w:p>
      <w:pPr>
        <w:pStyle w:val="Heading2"/>
        <w:rPr/>
      </w:pPr>
      <w:bookmarkStart w:id="32" w:name="__RefHeading___Toc10825_1649759004"/>
      <w:bookmarkEnd w:id="32"/>
      <w:r>
        <w:rPr>
          <w:rFonts w:eastAsia="Segoe UI" w:cs="Segoe UI"/>
          <w:b/>
          <w:color w:val="0F4761"/>
          <w:sz w:val="26"/>
        </w:rPr>
        <w:t>9.2  RACI</w:t>
      </w:r>
    </w:p>
    <w:p>
      <w:pPr>
        <w:pStyle w:val="Normal"/>
        <w:spacing w:lineRule="auto" w:line="276" w:before="0" w:after="120"/>
        <w:rPr/>
      </w:pPr>
      <w:r>
        <w:rPr>
          <w:rFonts w:eastAsia="Segoe UI" w:cs="Segoe UI" w:ascii="Segoe UI" w:hAnsi="Segoe UI"/>
          <w:color w:val="101820"/>
          <w:sz w:val="21"/>
        </w:rPr>
        <w:t>R = Responsible, A = Accountable, C = Consulted, I = Informed. The full matrix with each activity is in the workbook.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9"/>
        <w:gridCol w:w="1254"/>
        <w:gridCol w:w="1412"/>
        <w:gridCol w:w="1646"/>
        <w:gridCol w:w="1803"/>
      </w:tblGrid>
      <w:tr>
        <w:trPr>
          <w:tblHeader w:val="true"/>
        </w:trPr>
        <w:tc>
          <w:tcPr>
            <w:tcW w:w="28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Activity</w:t>
            </w:r>
          </w:p>
        </w:tc>
        <w:tc>
          <w:tcPr>
            <w:tcW w:w="1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PM</w:t>
            </w:r>
          </w:p>
        </w:tc>
        <w:tc>
          <w:tcPr>
            <w:tcW w:w="14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team</w:t>
            </w:r>
          </w:p>
        </w:tc>
        <w:tc>
          <w:tcPr>
            <w:tcW w:w="16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 sponsor and PM</w:t>
            </w:r>
          </w:p>
        </w:tc>
        <w:tc>
          <w:tcPr>
            <w:tcW w:w="1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 key users and IT</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plan and governance</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I</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I</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request and extraction</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workshops</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decisions</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in the system</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Environments, backups, monitoring</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cleansing</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loads and reconciliation</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bank formats, payment gateway</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test</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execution and sign-off</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Train-the-trainer</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End-user training</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execution</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 decision</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28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Handover to production support</w:t>
            </w:r>
          </w:p>
        </w:tc>
        <w:tc>
          <w:tcPr>
            <w:tcW w:w="1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4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Consultants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bl>
    <w:p>
      <w:pPr>
        <w:pStyle w:val="Normal"/>
        <w:spacing w:before="0" w:after="80"/>
        <w:rPr/>
      </w:pPr>
      <w:r>
        <w:rPr/>
      </w:r>
      <w:r>
        <w:br w:type="page"/>
      </w:r>
    </w:p>
    <w:p>
      <w:pPr>
        <w:pStyle w:val="Heading1"/>
        <w:rPr/>
      </w:pPr>
      <w:bookmarkStart w:id="33" w:name="__RefHeading___Toc10827_1649759004"/>
      <w:bookmarkEnd w:id="33"/>
      <w:r>
        <w:rPr>
          <w:rFonts w:eastAsia="Segoe UI" w:cs="Segoe UI" w:ascii="Segoe UI" w:hAnsi="Segoe UI"/>
          <w:b/>
          <w:color w:val="0F4761"/>
          <w:sz w:val="32"/>
        </w:rPr>
        <w:t>10.  Governance</w:t>
      </w:r>
    </w:p>
    <w:p>
      <w:pPr>
        <w:pStyle w:val="Heading2"/>
        <w:rPr/>
      </w:pPr>
      <w:bookmarkStart w:id="34" w:name="__RefHeading___Toc10829_1649759004"/>
      <w:bookmarkEnd w:id="34"/>
      <w:r>
        <w:rPr>
          <w:rFonts w:eastAsia="Segoe UI" w:cs="Segoe UI"/>
          <w:b/>
          <w:color w:val="0F4761"/>
          <w:sz w:val="26"/>
        </w:rPr>
        <w:t>10.1  Steering committee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3"/>
        <w:gridCol w:w="7590"/>
      </w:tblGrid>
      <w:tr>
        <w:trPr>
          <w:tblHeader w:val="true"/>
        </w:trPr>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5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Members</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sponsor (chair), broker project manager, Accounting Manager, a business head; iorta TechNXT account manager and project manager</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Frequency</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weeks, plus a meeting for each go/no-go</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Inputs</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report, milestone tracker, RAID log extract, change requests for decision</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Decisions</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 change requests, plan changes, phase acceptance, go/no-go, hypercare exit</w:t>
            </w:r>
          </w:p>
        </w:tc>
      </w:tr>
    </w:tbl>
    <w:p>
      <w:pPr>
        <w:pStyle w:val="Normal"/>
        <w:spacing w:before="0" w:after="80"/>
        <w:rPr/>
      </w:pPr>
      <w:r>
        <w:rPr/>
      </w:r>
    </w:p>
    <w:p>
      <w:pPr>
        <w:pStyle w:val="Heading2"/>
        <w:rPr/>
      </w:pPr>
      <w:bookmarkStart w:id="35" w:name="__RefHeading___Toc10831_1649759004"/>
      <w:bookmarkEnd w:id="35"/>
      <w:r>
        <w:rPr>
          <w:rFonts w:eastAsia="Segoe UI" w:cs="Segoe UI"/>
          <w:b/>
          <w:color w:val="0F4761"/>
          <w:sz w:val="26"/>
        </w:rPr>
        <w:t>10.2  Weekly status</w:t>
      </w:r>
    </w:p>
    <w:p>
      <w:pPr>
        <w:pStyle w:val="Normal"/>
        <w:spacing w:lineRule="auto" w:line="276" w:before="0" w:after="120"/>
        <w:rPr/>
      </w:pPr>
      <w:r>
        <w:rPr>
          <w:rFonts w:eastAsia="Segoe UI" w:cs="Segoe UI" w:ascii="Segoe UI" w:hAnsi="Segoe UI"/>
          <w:color w:val="101820"/>
          <w:sz w:val="21"/>
        </w:rPr>
        <w:t>A weekly meeting of both project managers and the leads, with a written status report: progress against the plan, milestones due and done, decisions needed, top risks and issues, data received and outstanding, next week's activities. Status uses green, amber and red against the baselined plan.</w:t>
      </w:r>
    </w:p>
    <w:p>
      <w:pPr>
        <w:pStyle w:val="Heading2"/>
        <w:rPr/>
      </w:pPr>
      <w:bookmarkStart w:id="36" w:name="__RefHeading___Toc10833_1649759004"/>
      <w:bookmarkEnd w:id="36"/>
      <w:r>
        <w:rPr>
          <w:rFonts w:eastAsia="Segoe UI" w:cs="Segoe UI"/>
          <w:b/>
          <w:color w:val="0F4761"/>
          <w:sz w:val="26"/>
        </w:rPr>
        <w:t>10.3  RAID log</w:t>
      </w:r>
    </w:p>
    <w:p>
      <w:pPr>
        <w:pStyle w:val="Normal"/>
        <w:spacing w:lineRule="auto" w:line="276" w:before="0" w:after="120"/>
        <w:rPr/>
      </w:pPr>
      <w:r>
        <w:rPr>
          <w:rFonts w:eastAsia="Segoe UI" w:cs="Segoe UI" w:ascii="Segoe UI" w:hAnsi="Segoe UI"/>
          <w:color w:val="101820"/>
          <w:sz w:val="21"/>
        </w:rPr>
        <w:t>One shared log of risks, assumptions, issues and dependencies, kept by the iorta TechNXT project manager and reviewed in every weekly status meeting.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 type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 A, I or D with a running number</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Description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it is and its effect on scope, time or quality</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Owner</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named person</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Rating</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medium or low (probability and impact for risks)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Action and due date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Mitigation or resolution and when</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in progress, closed; closure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Items rated high go to the steering committee.</w:t>
      </w:r>
      <w:r>
        <w:br w:type="page"/>
      </w:r>
    </w:p>
    <w:p>
      <w:pPr>
        <w:pStyle w:val="Heading1"/>
        <w:rPr/>
      </w:pPr>
      <w:bookmarkStart w:id="37" w:name="__RefHeading___Toc10835_1649759004"/>
      <w:bookmarkEnd w:id="37"/>
      <w:r>
        <w:rPr>
          <w:rFonts w:eastAsia="Segoe UI" w:cs="Segoe UI" w:ascii="Segoe UI" w:hAnsi="Segoe UI"/>
          <w:b/>
          <w:color w:val="0F4761"/>
          <w:sz w:val="32"/>
        </w:rPr>
        <w:t>11.  Deliverables and acceptance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8"/>
        <w:gridCol w:w="3697"/>
        <w:gridCol w:w="3699"/>
      </w:tblGrid>
      <w:tr>
        <w:trPr>
          <w:tblHeader w:val="true"/>
        </w:trPr>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36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Deliverables</w:t>
            </w:r>
          </w:p>
        </w:tc>
        <w:tc>
          <w:tcPr>
            <w:tcW w:w="36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Acceptance criteria</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charter, baselined plan, RAID log, data request list, governance calendar</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Charter and plan signed by both project managers and the sponsor</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fit-gap register</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process walked through; every register line classed and owned; signed by the process owners</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set-up</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and production environments, environment sheet (addresses, backups, monitoring)</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Smoke test of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section 4 passed on each; restore test done once</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test environment; configuration workbook updated with the values set</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Each workbook item set and checked as in </w:t>
            </w:r>
            <w:r>
              <w:rPr>
                <w:rFonts w:eastAsia="Consolas" w:cs="Consolas" w:ascii="Consolas" w:hAnsi="Consolas"/>
                <w:color w:val="101820"/>
                <w:kern w:val="0"/>
                <w:sz w:val="16"/>
                <w:szCs w:val="24"/>
                <w:lang w:val="en-US" w:eastAsia="ja-JP" w:bidi="ar-SA"/>
              </w:rPr>
              <w:t>GO_LIVE_DATA_SETUP.md</w:t>
            </w:r>
            <w:r>
              <w:rPr>
                <w:rFonts w:eastAsia="Segoe UI" w:cs="Segoe UI" w:ascii="Segoe UI" w:hAnsi="Segoe UI"/>
                <w:color w:val="101820"/>
                <w:kern w:val="0"/>
                <w:sz w:val="18"/>
                <w:szCs w:val="24"/>
                <w:lang w:val="en-US" w:eastAsia="ja-JP" w:bidi="ar-SA"/>
              </w:rPr>
              <w:t xml:space="preserve"> steps 1 to 10; test quotation premiums and taxes agree with manual calculations</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sheets, filled templates, load logs, reconciliation reports for each mock load</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and totals agree within the agreed tolerance (default: exact); trial balance as at go-live agrees with the old system</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bank statement formats, payment gateway set up</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e-mail and quotation approval link received; one statement per bank account imported with a balancing preview; one sandbox payment receipted</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schedule, attendance lists, assessment results</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user trained in the role before go-live; key users pass the assessment</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plan, test results, defect log, SIT exit report</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end-to-end flows passed; no open severity 1 or 2 defect</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results per script, defect log, UAT sign-off</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UAT scripts passed or accepted with a workaround; sign-off by each process owner and the sponsor</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checklist with times and owners, final reconciliation, go/no-go minutes</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 criteria met (Data Migration and Cutover Plan)</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in use; go-live communication</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signed in and transacting; first receipts, remittances and bank imports processed</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first month-end close support, handover pack</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severity 1 or 2 issue; first close completed; handover accepted by production support and the System Administrator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deliverable is deemed accepted when the broker has not raised a written objection within 5 business days of submission (assumption, to be agreed in the contract).</w:t>
      </w:r>
      <w:r>
        <w:br w:type="page"/>
      </w:r>
    </w:p>
    <w:p>
      <w:pPr>
        <w:pStyle w:val="Heading1"/>
        <w:rPr/>
      </w:pPr>
      <w:bookmarkStart w:id="38" w:name="__RefHeading___Toc10837_1649759004"/>
      <w:bookmarkEnd w:id="38"/>
      <w:r>
        <w:rPr>
          <w:rFonts w:eastAsia="Segoe UI" w:cs="Segoe UI" w:ascii="Segoe UI" w:hAnsi="Segoe UI"/>
          <w:b/>
          <w:color w:val="0F4761"/>
          <w:sz w:val="32"/>
        </w:rPr>
        <w:t>12.  Assumptions</w:t>
      </w:r>
    </w:p>
    <w:p>
      <w:pPr>
        <w:pStyle w:val="Normal"/>
        <w:numPr>
          <w:ilvl w:val="0"/>
          <w:numId w:val="1"/>
        </w:numPr>
        <w:spacing w:before="0" w:after="60"/>
        <w:rPr/>
      </w:pPr>
      <w:r>
        <w:rPr>
          <w:rFonts w:eastAsia="Segoe UI" w:cs="Segoe UI" w:ascii="Segoe UI" w:hAnsi="Segoe UI"/>
          <w:color w:val="101820"/>
          <w:sz w:val="21"/>
        </w:rPr>
        <w:t>The implementation is OOTB: the broker uses the delivered screens, workflows, reports and printed documents.</w:t>
      </w:r>
    </w:p>
    <w:p>
      <w:pPr>
        <w:pStyle w:val="Normal"/>
        <w:numPr>
          <w:ilvl w:val="0"/>
          <w:numId w:val="1"/>
        </w:numPr>
        <w:spacing w:before="0" w:after="60"/>
        <w:rPr/>
      </w:pPr>
      <w:r>
        <w:rPr>
          <w:rFonts w:eastAsia="Segoe UI" w:cs="Segoe UI" w:ascii="Segoe UI" w:hAnsi="Segoe UI"/>
          <w:color w:val="101820"/>
          <w:sz w:val="21"/>
        </w:rPr>
        <w:t>The broker names a project manager and one key user per team, available at least 50% of their time during discovery, UAT and cutover, and an Accounting Manager available for the ledger, tax and opening balance decisions.</w:t>
      </w:r>
    </w:p>
    <w:p>
      <w:pPr>
        <w:pStyle w:val="Normal"/>
        <w:numPr>
          <w:ilvl w:val="0"/>
          <w:numId w:val="1"/>
        </w:numPr>
        <w:spacing w:before="0" w:after="60"/>
        <w:rPr/>
      </w:pPr>
      <w:r>
        <w:rPr>
          <w:rFonts w:eastAsia="Segoe UI" w:cs="Segoe UI" w:ascii="Segoe UI" w:hAnsi="Segoe UI"/>
          <w:color w:val="101820"/>
          <w:sz w:val="21"/>
        </w:rPr>
        <w:t>The broker provides complete and cleansed data in the delivered templates by the dates in the plan.</w:t>
      </w:r>
    </w:p>
    <w:p>
      <w:pPr>
        <w:pStyle w:val="Normal"/>
        <w:numPr>
          <w:ilvl w:val="0"/>
          <w:numId w:val="1"/>
        </w:numPr>
        <w:spacing w:before="0" w:after="60"/>
        <w:rPr/>
      </w:pPr>
      <w:r>
        <w:rPr>
          <w:rFonts w:eastAsia="Segoe UI" w:cs="Segoe UI" w:ascii="Segoe UI" w:hAnsi="Segoe UI"/>
          <w:color w:val="101820"/>
          <w:sz w:val="21"/>
        </w:rPr>
        <w:t>Decisions in discovery are made within 3 business days of each workshop.</w:t>
      </w:r>
    </w:p>
    <w:p>
      <w:pPr>
        <w:pStyle w:val="Normal"/>
        <w:numPr>
          <w:ilvl w:val="0"/>
          <w:numId w:val="1"/>
        </w:numPr>
        <w:spacing w:before="0" w:after="60"/>
        <w:rPr/>
      </w:pPr>
      <w:r>
        <w:rPr>
          <w:rFonts w:eastAsia="Segoe UI" w:cs="Segoe UI" w:ascii="Segoe UI" w:hAnsi="Segoe UI"/>
          <w:color w:val="101820"/>
          <w:sz w:val="21"/>
        </w:rPr>
        <w:t>iorta TechNXT hosts the test and production environments on AWS (region ap-southeast-1). Other hosting is priced separately.</w:t>
      </w:r>
    </w:p>
    <w:p>
      <w:pPr>
        <w:pStyle w:val="Normal"/>
        <w:numPr>
          <w:ilvl w:val="0"/>
          <w:numId w:val="1"/>
        </w:numPr>
        <w:spacing w:before="0" w:after="60"/>
        <w:rPr/>
      </w:pPr>
      <w:r>
        <w:rPr>
          <w:rFonts w:eastAsia="Segoe UI" w:cs="Segoe UI" w:ascii="Segoe UI" w:hAnsi="Segoe UI"/>
          <w:color w:val="101820"/>
          <w:sz w:val="21"/>
        </w:rPr>
        <w:t>Workshops and training are delivered on site in Metro Manila or online, in English, during Philippine business hours.</w:t>
      </w:r>
    </w:p>
    <w:p>
      <w:pPr>
        <w:pStyle w:val="Normal"/>
        <w:numPr>
          <w:ilvl w:val="0"/>
          <w:numId w:val="1"/>
        </w:numPr>
        <w:spacing w:before="0" w:after="60"/>
        <w:rPr/>
      </w:pPr>
      <w:r>
        <w:rPr>
          <w:rFonts w:eastAsia="Segoe UI" w:cs="Segoe UI" w:ascii="Segoe UI" w:hAnsi="Segoe UI"/>
          <w:color w:val="101820"/>
          <w:sz w:val="21"/>
        </w:rPr>
        <w:t>One legal entity and one fiscal year are migrated; opening balances are taken at a single go-live date.</w:t>
      </w:r>
    </w:p>
    <w:p>
      <w:pPr>
        <w:pStyle w:val="Normal"/>
        <w:numPr>
          <w:ilvl w:val="0"/>
          <w:numId w:val="1"/>
        </w:numPr>
        <w:spacing w:before="0" w:after="60"/>
        <w:rPr/>
      </w:pPr>
      <w:r>
        <w:rPr>
          <w:rFonts w:eastAsia="Segoe UI" w:cs="Segoe UI" w:ascii="Segoe UI" w:hAnsi="Segoe UI"/>
          <w:color w:val="101820"/>
          <w:sz w:val="21"/>
        </w:rPr>
        <w:t>The broker uses the delivered roles: System Administrator, Sales &amp; Marketing, Processing Team, Operations, Claims, Accounting and Accounting Manager.</w:t>
      </w:r>
    </w:p>
    <w:p>
      <w:pPr>
        <w:pStyle w:val="Normal"/>
        <w:numPr>
          <w:ilvl w:val="0"/>
          <w:numId w:val="1"/>
        </w:numPr>
        <w:spacing w:before="0" w:after="60"/>
        <w:rPr/>
      </w:pPr>
      <w:r>
        <w:rPr>
          <w:rFonts w:eastAsia="Segoe UI" w:cs="Segoe UI" w:ascii="Segoe UI" w:hAnsi="Segoe UI"/>
          <w:color w:val="101820"/>
          <w:sz w:val="21"/>
        </w:rPr>
        <w:t>The delivered tax codes, rates and BIR working papers are confirmed by the broker's tax adviser before go-live.</w:t>
      </w:r>
    </w:p>
    <w:p>
      <w:pPr>
        <w:pStyle w:val="Normal"/>
        <w:numPr>
          <w:ilvl w:val="0"/>
          <w:numId w:val="1"/>
        </w:numPr>
        <w:spacing w:before="0" w:after="60"/>
        <w:rPr/>
      </w:pPr>
      <w:r>
        <w:rPr>
          <w:rFonts w:eastAsia="Segoe UI" w:cs="Segoe UI" w:ascii="Segoe UI" w:hAnsi="Segoe UI"/>
          <w:color w:val="101820"/>
          <w:sz w:val="21"/>
        </w:rPr>
        <w:t>Testing uses the test environment; production is used only after the go decision.</w:t>
      </w:r>
      <w:r>
        <w:br w:type="page"/>
      </w:r>
    </w:p>
    <w:p>
      <w:pPr>
        <w:pStyle w:val="Heading1"/>
        <w:rPr/>
      </w:pPr>
      <w:bookmarkStart w:id="39" w:name="__RefHeading___Toc10839_1649759004"/>
      <w:bookmarkEnd w:id="39"/>
      <w:r>
        <w:rPr>
          <w:rFonts w:eastAsia="Segoe UI" w:cs="Segoe UI" w:ascii="Segoe UI" w:hAnsi="Segoe UI"/>
          <w:b/>
          <w:color w:val="0F4761"/>
          <w:sz w:val="32"/>
        </w:rPr>
        <w:t>13.  Exclusions</w:t>
      </w:r>
    </w:p>
    <w:p>
      <w:pPr>
        <w:pStyle w:val="Normal"/>
        <w:spacing w:lineRule="auto" w:line="276" w:before="0" w:after="120"/>
        <w:rPr/>
      </w:pPr>
      <w:r>
        <w:rPr>
          <w:rFonts w:eastAsia="Segoe UI" w:cs="Segoe UI" w:ascii="Segoe UI" w:hAnsi="Segoe UI"/>
          <w:color w:val="101820"/>
          <w:sz w:val="21"/>
        </w:rPr>
        <w:t>The following are outside the OOTB implementation. Any of them can be quoted separately through a change request.</w:t>
      </w:r>
    </w:p>
    <w:p>
      <w:pPr>
        <w:pStyle w:val="Normal"/>
        <w:numPr>
          <w:ilvl w:val="0"/>
          <w:numId w:val="1"/>
        </w:numPr>
        <w:spacing w:before="0" w:after="60"/>
        <w:rPr/>
      </w:pPr>
      <w:r>
        <w:rPr>
          <w:rFonts w:eastAsia="Segoe UI" w:cs="Segoe UI" w:ascii="Segoe UI" w:hAnsi="Segoe UI"/>
          <w:color w:val="101820"/>
          <w:sz w:val="21"/>
        </w:rPr>
        <w:t>Customisation of screens, workflows, reports, printed documents or the database, and new reports.</w:t>
      </w:r>
    </w:p>
    <w:p>
      <w:pPr>
        <w:pStyle w:val="Normal"/>
        <w:numPr>
          <w:ilvl w:val="0"/>
          <w:numId w:val="1"/>
        </w:numPr>
        <w:spacing w:before="0" w:after="60"/>
        <w:rPr/>
      </w:pPr>
      <w:r>
        <w:rPr>
          <w:rFonts w:eastAsia="Segoe UI" w:cs="Segoe UI" w:ascii="Segoe UI" w:hAnsi="Segoe UI"/>
          <w:color w:val="101820"/>
          <w:sz w:val="21"/>
        </w:rPr>
        <w:t>New integrations, for example with insurer systems, core banking, bank payment file generation, SMS gateways, accounting packages, BIR eFPS or eBIRForms, LTO or IC systems, and payment gateways other than PayMongo and Dragonpay.</w:t>
      </w:r>
    </w:p>
    <w:p>
      <w:pPr>
        <w:pStyle w:val="Normal"/>
        <w:numPr>
          <w:ilvl w:val="0"/>
          <w:numId w:val="1"/>
        </w:numPr>
        <w:spacing w:before="0" w:after="60"/>
        <w:rPr/>
      </w:pPr>
      <w:r>
        <w:rPr>
          <w:rFonts w:eastAsia="Segoe UI" w:cs="Segoe UI" w:ascii="Segoe UI" w:hAnsi="Segoe UI"/>
          <w:color w:val="101820"/>
          <w:sz w:val="21"/>
        </w:rPr>
        <w:t>Data cleansing, de-duplication and enrichment of the broker's data, and extraction from the old system.</w:t>
      </w:r>
    </w:p>
    <w:p>
      <w:pPr>
        <w:pStyle w:val="Normal"/>
        <w:numPr>
          <w:ilvl w:val="0"/>
          <w:numId w:val="1"/>
        </w:numPr>
        <w:spacing w:before="0" w:after="60"/>
        <w:rPr/>
      </w:pPr>
      <w:r>
        <w:rPr>
          <w:rFonts w:eastAsia="Segoe UI" w:cs="Segoe UI" w:ascii="Segoe UI" w:hAnsi="Segoe UI"/>
          <w:color w:val="101820"/>
          <w:sz w:val="21"/>
        </w:rPr>
        <w:t>Migration of closed or expired policies, settled claims, paid receivables, transaction history and documents, and more than one fiscal year of balances.</w:t>
      </w:r>
    </w:p>
    <w:p>
      <w:pPr>
        <w:pStyle w:val="Normal"/>
        <w:numPr>
          <w:ilvl w:val="0"/>
          <w:numId w:val="1"/>
        </w:numPr>
        <w:spacing w:before="0" w:after="60"/>
        <w:rPr/>
      </w:pPr>
      <w:r>
        <w:rPr>
          <w:rFonts w:eastAsia="Segoe UI" w:cs="Segoe UI" w:ascii="Segoe UI" w:hAnsi="Segoe UI"/>
          <w:color w:val="101820"/>
          <w:sz w:val="21"/>
        </w:rPr>
        <w:t>Hardware, end-user devices, networks, browsers and office software.</w:t>
      </w:r>
    </w:p>
    <w:p>
      <w:pPr>
        <w:pStyle w:val="Normal"/>
        <w:numPr>
          <w:ilvl w:val="0"/>
          <w:numId w:val="1"/>
        </w:numPr>
        <w:spacing w:before="0" w:after="60"/>
        <w:rPr/>
      </w:pPr>
      <w:r>
        <w:rPr>
          <w:rFonts w:eastAsia="Segoe UI" w:cs="Segoe UI" w:ascii="Segoe UI" w:hAnsi="Segoe UI"/>
          <w:color w:val="101820"/>
          <w:sz w:val="21"/>
        </w:rPr>
        <w:t>Third-party licences and fees: cloud subscriptions beyond the agreed hosting, Microsoft 365 or other mailbox, payment gateway merchant fees, SSL certificates for broker-owned domains.</w:t>
      </w:r>
    </w:p>
    <w:p>
      <w:pPr>
        <w:pStyle w:val="Normal"/>
        <w:numPr>
          <w:ilvl w:val="0"/>
          <w:numId w:val="1"/>
        </w:numPr>
        <w:spacing w:before="0" w:after="60"/>
        <w:rPr/>
      </w:pPr>
      <w:r>
        <w:rPr>
          <w:rFonts w:eastAsia="Segoe UI" w:cs="Segoe UI" w:ascii="Segoe UI" w:hAnsi="Segoe UI"/>
          <w:color w:val="101820"/>
          <w:sz w:val="21"/>
        </w:rPr>
        <w:t>Regulatory filings and registrations: BIR returns and alphalists, Computerized Accounting System registration or acknowledgement, Authority to Print, IC reports, NPC registration, AMLC reports. The system provides working papers; filing remains with the broker.</w:t>
      </w:r>
    </w:p>
    <w:p>
      <w:pPr>
        <w:pStyle w:val="Normal"/>
        <w:numPr>
          <w:ilvl w:val="0"/>
          <w:numId w:val="1"/>
        </w:numPr>
        <w:spacing w:before="0" w:after="60"/>
        <w:rPr/>
      </w:pPr>
      <w:r>
        <w:rPr>
          <w:rFonts w:eastAsia="Segoe UI" w:cs="Segoe UI" w:ascii="Segoe UI" w:hAnsi="Segoe UI"/>
          <w:color w:val="101820"/>
          <w:sz w:val="21"/>
        </w:rPr>
        <w:t>Tax, legal, actuarial or audit advice.</w:t>
      </w:r>
    </w:p>
    <w:p>
      <w:pPr>
        <w:pStyle w:val="Normal"/>
        <w:numPr>
          <w:ilvl w:val="0"/>
          <w:numId w:val="1"/>
        </w:numPr>
        <w:spacing w:before="0" w:after="60"/>
        <w:rPr/>
      </w:pPr>
      <w:r>
        <w:rPr>
          <w:rFonts w:eastAsia="Segoe UI" w:cs="Segoe UI" w:ascii="Segoe UI" w:hAnsi="Segoe UI"/>
          <w:color w:val="101820"/>
          <w:sz w:val="21"/>
        </w:rPr>
        <w:t>Translation of the screens (Filipino has no translation file in this release).</w:t>
      </w:r>
    </w:p>
    <w:p>
      <w:pPr>
        <w:pStyle w:val="Normal"/>
        <w:numPr>
          <w:ilvl w:val="0"/>
          <w:numId w:val="1"/>
        </w:numPr>
        <w:spacing w:before="0" w:after="60"/>
        <w:rPr/>
      </w:pPr>
      <w:r>
        <w:rPr>
          <w:rFonts w:eastAsia="Segoe UI" w:cs="Segoe UI" w:ascii="Segoe UI" w:hAnsi="Segoe UI"/>
          <w:color w:val="101820"/>
          <w:sz w:val="21"/>
        </w:rPr>
        <w:t>Training beyond the curriculum of the Training Plan and training of users added after go-live.</w:t>
      </w:r>
    </w:p>
    <w:p>
      <w:pPr>
        <w:pStyle w:val="Normal"/>
        <w:numPr>
          <w:ilvl w:val="0"/>
          <w:numId w:val="1"/>
        </w:numPr>
        <w:spacing w:before="0" w:after="60"/>
        <w:rPr/>
      </w:pPr>
      <w:r>
        <w:rPr>
          <w:rFonts w:eastAsia="Segoe UI" w:cs="Segoe UI" w:ascii="Segoe UI" w:hAnsi="Segoe UI"/>
          <w:color w:val="101820"/>
          <w:sz w:val="21"/>
        </w:rPr>
        <w:t>Support after hypercare, which is covered by the production support agreement.</w:t>
      </w:r>
      <w:r>
        <w:br w:type="page"/>
      </w:r>
    </w:p>
    <w:p>
      <w:pPr>
        <w:pStyle w:val="Heading1"/>
        <w:rPr/>
      </w:pPr>
      <w:bookmarkStart w:id="40" w:name="__RefHeading___Toc10841_1649759004"/>
      <w:bookmarkEnd w:id="40"/>
      <w:r>
        <w:rPr>
          <w:rFonts w:eastAsia="Segoe UI" w:cs="Segoe UI" w:ascii="Segoe UI" w:hAnsi="Segoe UI"/>
          <w:b/>
          <w:color w:val="0F4761"/>
          <w:sz w:val="32"/>
        </w:rPr>
        <w:t>14.  Dependencies on the broker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50"/>
        <w:gridCol w:w="3863"/>
      </w:tblGrid>
      <w:tr>
        <w:trPr>
          <w:tblHeader w:val="true"/>
        </w:trPr>
        <w:tc>
          <w:tcPr>
            <w:tcW w:w="51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Dependency</w:t>
            </w:r>
          </w:p>
        </w:tc>
        <w:tc>
          <w:tcPr>
            <w:tcW w:w="3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Needed by</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project manager, key users and Accounting Manager</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list and agreements, commission and referrer rates, product list</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discovery</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and the accountant's mapping decisions</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configuration of the ledger</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Authority to Print or registered series for official receipts and invoices; last numbers used</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document numbering</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mailbox and credentials; payment gateway merchant account and credentials</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phase</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recent statement export per bank account</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phase</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policy, open receivable and trial balance extracts in the templates</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mock load and cutover</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list with roles and e-mail addresses</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weeks before training</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rooms, devices and attendance</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phase</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testers and sign-off authority</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phase</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Freeze of the old system and final extract at cutover</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r>
      <w:tr>
        <w:trPr/>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Decisions on the fit-gap register and change requests within the agreed time</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Throughout</w:t>
            </w:r>
          </w:p>
        </w:tc>
      </w:tr>
    </w:tbl>
    <w:p>
      <w:pPr>
        <w:pStyle w:val="Normal"/>
        <w:spacing w:before="0" w:after="80"/>
        <w:rPr/>
      </w:pPr>
      <w:r>
        <w:rPr/>
      </w:r>
      <w:r>
        <w:br w:type="page"/>
      </w:r>
    </w:p>
    <w:p>
      <w:pPr>
        <w:pStyle w:val="Heading1"/>
        <w:rPr/>
      </w:pPr>
      <w:bookmarkStart w:id="41" w:name="__RefHeading___Toc10843_1649759004"/>
      <w:bookmarkEnd w:id="41"/>
      <w:r>
        <w:rPr>
          <w:rFonts w:eastAsia="Segoe UI" w:cs="Segoe UI" w:ascii="Segoe UI" w:hAnsi="Segoe UI"/>
          <w:b/>
          <w:color w:val="0F4761"/>
          <w:sz w:val="32"/>
        </w:rPr>
        <w:t>15.  Risks and mitigations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Risk</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Mitigation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arrives late or incomplete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slip; go-live moves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requests in week 1; templates handed out at kick-off; data readiness tracked weekly; steering committee escalation after one week of delay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Poor data quality in the old system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 rows; receivables or balances do not reconcile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to four mock loads with reconciliation; the broker cleanses at source; rejected-row reports from each upload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customisation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 and timeline grow</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Configure-first principle; fit-gap classes; change request process with steering committee approval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unavailable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Decisions late; weak UAT and training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key users with committed time; backups named; workshops scheduled at kick-off</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balances and open items do not agree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wrong from day one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Premiums Receivable balance must equal open item total; Due to Insurers reconciled to insurer statements; Accounting Manager signs off</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rates or ATC not confirmed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Wrong VAT or withholding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 review in the configuration phase; VAT Summary checked in UAT (F8)</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numbering out of line with the Authority to Print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exposure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Numbering set from the last number used; checked in UAT (A6, F1)</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or payment gateway credentials late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approval links, password resets and online payments not working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Requested in mobilisation; the system works without the gateway; sandbox first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not ready at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Errors and slow work</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Role-based training, assessment, floor walkers in the first week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outside hypercare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issues found late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extends to the first close</w:t>
            </w:r>
          </w:p>
        </w:tc>
      </w:tr>
    </w:tbl>
    <w:p>
      <w:pPr>
        <w:pStyle w:val="Normal"/>
        <w:spacing w:before="0" w:after="80"/>
        <w:rPr/>
      </w:pPr>
      <w:r>
        <w:rPr/>
      </w:r>
      <w:r>
        <w:br w:type="page"/>
      </w:r>
    </w:p>
    <w:p>
      <w:pPr>
        <w:pStyle w:val="Heading1"/>
        <w:rPr/>
      </w:pPr>
      <w:bookmarkStart w:id="42" w:name="__RefHeading___Toc10845_1649759004"/>
      <w:bookmarkEnd w:id="42"/>
      <w:r>
        <w:rPr>
          <w:rFonts w:eastAsia="Segoe UI" w:cs="Segoe UI" w:ascii="Segoe UI" w:hAnsi="Segoe UI"/>
          <w:b/>
          <w:color w:val="0F4761"/>
          <w:sz w:val="32"/>
        </w:rPr>
        <w:t>16.  Change request process</w:t>
      </w:r>
    </w:p>
    <w:p>
      <w:pPr>
        <w:pStyle w:val="Normal"/>
        <w:spacing w:lineRule="auto" w:line="276" w:before="0" w:after="120"/>
        <w:rPr/>
      </w:pPr>
      <w:r>
        <w:rPr>
          <w:rFonts w:eastAsia="Segoe UI" w:cs="Segoe UI" w:ascii="Segoe UI" w:hAnsi="Segoe UI"/>
          <w:color w:val="101820"/>
          <w:sz w:val="21"/>
        </w:rPr>
        <w:t>A change request covers any change to the agreed scope, plan or deliverables, including any gap from the fit-gap register.</w:t>
      </w:r>
    </w:p>
    <w:p>
      <w:pPr>
        <w:pStyle w:val="Normal"/>
        <w:numPr>
          <w:ilvl w:val="0"/>
          <w:numId w:val="4"/>
        </w:numPr>
        <w:spacing w:before="0" w:after="60"/>
        <w:rPr/>
      </w:pPr>
      <w:r>
        <w:rPr>
          <w:rFonts w:eastAsia="Segoe UI" w:cs="Segoe UI" w:ascii="Segoe UI" w:hAnsi="Segoe UI"/>
          <w:color w:val="101820"/>
          <w:sz w:val="21"/>
        </w:rPr>
        <w:t>The requester writes the change request: description, reason, business impact, priority.</w:t>
      </w:r>
    </w:p>
    <w:p>
      <w:pPr>
        <w:pStyle w:val="Normal"/>
        <w:numPr>
          <w:ilvl w:val="0"/>
          <w:numId w:val="2"/>
        </w:numPr>
        <w:spacing w:before="0" w:after="60"/>
        <w:rPr/>
      </w:pPr>
      <w:r>
        <w:rPr>
          <w:rFonts w:eastAsia="Segoe UI" w:cs="Segoe UI" w:ascii="Segoe UI" w:hAnsi="Segoe UI"/>
          <w:color w:val="101820"/>
          <w:sz w:val="21"/>
        </w:rPr>
        <w:t>The iorta TechNXT project manager logs it and, within 5 business days, returns an impact assessment: effort, cost, effect on the timeline and on other deliverables, and whether it can be met by configuration instead.</w:t>
      </w:r>
    </w:p>
    <w:p>
      <w:pPr>
        <w:pStyle w:val="Normal"/>
        <w:numPr>
          <w:ilvl w:val="0"/>
          <w:numId w:val="2"/>
        </w:numPr>
        <w:spacing w:before="0" w:after="60"/>
        <w:rPr/>
      </w:pPr>
      <w:r>
        <w:rPr>
          <w:rFonts w:eastAsia="Segoe UI" w:cs="Segoe UI" w:ascii="Segoe UI" w:hAnsi="Segoe UI"/>
          <w:color w:val="101820"/>
          <w:sz w:val="21"/>
        </w:rPr>
        <w:t>The broker project manager reviews the assessment with the process owner.</w:t>
      </w:r>
    </w:p>
    <w:p>
      <w:pPr>
        <w:pStyle w:val="Normal"/>
        <w:numPr>
          <w:ilvl w:val="0"/>
          <w:numId w:val="2"/>
        </w:numPr>
        <w:spacing w:before="0" w:after="60"/>
        <w:rPr/>
      </w:pPr>
      <w:r>
        <w:rPr>
          <w:rFonts w:eastAsia="Segoe UI" w:cs="Segoe UI" w:ascii="Segoe UI" w:hAnsi="Segoe UI"/>
          <w:color w:val="101820"/>
          <w:sz w:val="21"/>
        </w:rPr>
        <w:t>The steering committee approves, rejects or defers it. Changes that affect cost or the go-live date need the sponsor's written approval.</w:t>
      </w:r>
    </w:p>
    <w:p>
      <w:pPr>
        <w:pStyle w:val="Normal"/>
        <w:numPr>
          <w:ilvl w:val="0"/>
          <w:numId w:val="2"/>
        </w:numPr>
        <w:spacing w:before="0" w:after="60"/>
        <w:rPr/>
      </w:pPr>
      <w:r>
        <w:rPr>
          <w:rFonts w:eastAsia="Segoe UI" w:cs="Segoe UI" w:ascii="Segoe UI" w:hAnsi="Segoe UI"/>
          <w:color w:val="101820"/>
          <w:sz w:val="21"/>
        </w:rPr>
        <w:t>An approved change request is added to the plan and the RAID log and is tracked to closure.</w:t>
      </w:r>
    </w:p>
    <w:p>
      <w:pPr>
        <w:pStyle w:val="Normal"/>
        <w:numPr>
          <w:ilvl w:val="0"/>
          <w:numId w:val="2"/>
        </w:numPr>
        <w:spacing w:before="0" w:after="60"/>
        <w:rPr/>
      </w:pPr>
      <w:r>
        <w:rPr>
          <w:rFonts w:eastAsia="Segoe UI" w:cs="Segoe UI" w:ascii="Segoe UI" w:hAnsi="Segoe UI"/>
          <w:color w:val="101820"/>
          <w:sz w:val="21"/>
        </w:rPr>
        <w:t>A rejected or deferred change request stays in the log with the reason.</w:t>
      </w:r>
    </w:p>
    <w:p>
      <w:pPr>
        <w:pStyle w:val="Normal"/>
        <w:spacing w:lineRule="auto" w:line="276" w:before="0" w:after="120"/>
        <w:rPr/>
      </w:pPr>
      <w:r>
        <w:rPr>
          <w:rFonts w:eastAsia="Segoe UI" w:cs="Segoe UI" w:ascii="Segoe UI" w:hAnsi="Segoe UI"/>
          <w:color w:val="101820"/>
          <w:sz w:val="21"/>
        </w:rPr>
        <w:t>Customisation approved through a change request is built, tested and released under the release process of the Production Support Approach and Standards, and may be scheduled after go-live so the OOTB go-live date holds.</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3" w:name="__RefHeading___Toc10847_1649759004"/>
      <w:bookmarkStart w:id="44" w:name="_Toc233203395"/>
      <w:bookmarkEnd w:id="43"/>
      <w:r>
        <w:rPr>
          <w:rStyle w:val="BookTitle"/>
          <w:bCs w:val="false"/>
          <w:i w:val="false"/>
          <w:iCs w:val="false"/>
          <w:spacing w:val="0"/>
        </w:rPr>
        <w:t>17.  Document Sign-Off</w:t>
      </w:r>
      <w:bookmarkEnd w:id="4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2026-10-03T18:40:35Z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