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5">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6">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6"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8"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0"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2"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Statement of Work</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Statement of Work</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4"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OOTB implementation</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OOTB implementation</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0118_4256504293">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0120_4256504293">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0122_4256504293">
            <w:r>
              <w:rPr>
                <w:webHidden/>
                <w:rStyle w:val="IndexLink"/>
              </w:rPr>
              <w:t>3. About this template</w:t>
              <w:tab/>
              <w:t>4</w:t>
            </w:r>
          </w:hyperlink>
        </w:p>
        <w:p>
          <w:pPr>
            <w:pStyle w:val="TOC1"/>
            <w:tabs>
              <w:tab w:val="clear" w:pos="900"/>
              <w:tab w:val="clear" w:pos="9350"/>
              <w:tab w:val="right" w:pos="9025" w:leader="dot"/>
            </w:tabs>
            <w:rPr/>
          </w:pPr>
          <w:hyperlink w:anchor="__RefHeading___Toc10124_4256504293">
            <w:r>
              <w:rPr>
                <w:webHidden/>
                <w:rStyle w:val="IndexLink"/>
              </w:rPr>
              <w:t>4. Scope</w:t>
              <w:tab/>
              <w:t>5</w:t>
            </w:r>
          </w:hyperlink>
        </w:p>
        <w:p>
          <w:pPr>
            <w:pStyle w:val="TOC2"/>
            <w:tabs>
              <w:tab w:val="clear" w:pos="900"/>
              <w:tab w:val="clear" w:pos="9350"/>
              <w:tab w:val="right" w:pos="9025" w:leader="dot"/>
            </w:tabs>
            <w:rPr/>
          </w:pPr>
          <w:hyperlink w:anchor="__RefHeading___Toc10126_4256504293">
            <w:r>
              <w:rPr>
                <w:webHidden/>
                <w:rStyle w:val="IndexLink"/>
              </w:rPr>
              <w:t>4.1 Objective</w:t>
              <w:tab/>
              <w:t>5</w:t>
            </w:r>
          </w:hyperlink>
        </w:p>
        <w:p>
          <w:pPr>
            <w:pStyle w:val="TOC2"/>
            <w:tabs>
              <w:tab w:val="clear" w:pos="900"/>
              <w:tab w:val="clear" w:pos="9350"/>
              <w:tab w:val="right" w:pos="9025" w:leader="dot"/>
            </w:tabs>
            <w:rPr/>
          </w:pPr>
          <w:hyperlink w:anchor="__RefHeading___Toc10128_4256504293">
            <w:r>
              <w:rPr>
                <w:webHidden/>
                <w:rStyle w:val="IndexLink"/>
              </w:rPr>
              <w:t>4.2 In scope</w:t>
              <w:tab/>
              <w:t>5</w:t>
            </w:r>
          </w:hyperlink>
        </w:p>
        <w:p>
          <w:pPr>
            <w:pStyle w:val="TOC2"/>
            <w:tabs>
              <w:tab w:val="clear" w:pos="900"/>
              <w:tab w:val="clear" w:pos="9350"/>
              <w:tab w:val="right" w:pos="9025" w:leader="dot"/>
            </w:tabs>
            <w:rPr/>
          </w:pPr>
          <w:hyperlink w:anchor="__RefHeading___Toc10130_4256504293">
            <w:r>
              <w:rPr>
                <w:webHidden/>
                <w:rStyle w:val="IndexLink"/>
              </w:rPr>
              <w:t>4.3 Implementation size</w:t>
              <w:tab/>
              <w:t>5</w:t>
            </w:r>
          </w:hyperlink>
        </w:p>
        <w:p>
          <w:pPr>
            <w:pStyle w:val="TOC1"/>
            <w:tabs>
              <w:tab w:val="clear" w:pos="900"/>
              <w:tab w:val="clear" w:pos="9350"/>
              <w:tab w:val="right" w:pos="9025" w:leader="dot"/>
            </w:tabs>
            <w:rPr/>
          </w:pPr>
          <w:hyperlink w:anchor="__RefHeading___Toc10132_4256504293">
            <w:r>
              <w:rPr>
                <w:webHidden/>
                <w:rStyle w:val="IndexLink"/>
              </w:rPr>
              <w:t>5. Approach and phases</w:t>
              <w:tab/>
              <w:t>7</w:t>
            </w:r>
          </w:hyperlink>
        </w:p>
        <w:p>
          <w:pPr>
            <w:pStyle w:val="TOC1"/>
            <w:tabs>
              <w:tab w:val="clear" w:pos="900"/>
              <w:tab w:val="clear" w:pos="9350"/>
              <w:tab w:val="right" w:pos="9025" w:leader="dot"/>
            </w:tabs>
            <w:rPr/>
          </w:pPr>
          <w:hyperlink w:anchor="__RefHeading___Toc10134_4256504293">
            <w:r>
              <w:rPr>
                <w:webHidden/>
                <w:rStyle w:val="IndexLink"/>
              </w:rPr>
              <w:t>6. Deliverables and acceptance</w:t>
              <w:tab/>
              <w:t>8</w:t>
            </w:r>
          </w:hyperlink>
        </w:p>
        <w:p>
          <w:pPr>
            <w:pStyle w:val="TOC2"/>
            <w:tabs>
              <w:tab w:val="clear" w:pos="900"/>
              <w:tab w:val="clear" w:pos="9350"/>
              <w:tab w:val="right" w:pos="9025" w:leader="dot"/>
            </w:tabs>
            <w:rPr/>
          </w:pPr>
          <w:hyperlink w:anchor="__RefHeading___Toc10136_4256504293">
            <w:r>
              <w:rPr>
                <w:webHidden/>
                <w:rStyle w:val="IndexLink"/>
              </w:rPr>
              <w:t>6.1 Deliverables and acceptance criteria</w:t>
              <w:tab/>
              <w:t>8</w:t>
            </w:r>
          </w:hyperlink>
        </w:p>
        <w:p>
          <w:pPr>
            <w:pStyle w:val="TOC2"/>
            <w:tabs>
              <w:tab w:val="clear" w:pos="900"/>
              <w:tab w:val="clear" w:pos="9350"/>
              <w:tab w:val="right" w:pos="9025" w:leader="dot"/>
            </w:tabs>
            <w:rPr/>
          </w:pPr>
          <w:hyperlink w:anchor="__RefHeading___Toc10138_4256504293">
            <w:r>
              <w:rPr>
                <w:webHidden/>
                <w:rStyle w:val="IndexLink"/>
              </w:rPr>
              <w:t>6.2 Acceptance procedure</w:t>
              <w:tab/>
              <w:t>8</w:t>
            </w:r>
          </w:hyperlink>
        </w:p>
        <w:p>
          <w:pPr>
            <w:pStyle w:val="TOC2"/>
            <w:tabs>
              <w:tab w:val="clear" w:pos="900"/>
              <w:tab w:val="clear" w:pos="9350"/>
              <w:tab w:val="right" w:pos="9025" w:leader="dot"/>
            </w:tabs>
            <w:rPr/>
          </w:pPr>
          <w:hyperlink w:anchor="__RefHeading___Toc10140_4256504293">
            <w:r>
              <w:rPr>
                <w:webHidden/>
                <w:rStyle w:val="IndexLink"/>
              </w:rPr>
              <w:t>6.3 Defect severity during the project</w:t>
              <w:tab/>
              <w:t>9</w:t>
            </w:r>
          </w:hyperlink>
        </w:p>
        <w:p>
          <w:pPr>
            <w:pStyle w:val="TOC1"/>
            <w:tabs>
              <w:tab w:val="clear" w:pos="900"/>
              <w:tab w:val="clear" w:pos="9350"/>
              <w:tab w:val="right" w:pos="9025" w:leader="dot"/>
            </w:tabs>
            <w:rPr/>
          </w:pPr>
          <w:hyperlink w:anchor="__RefHeading___Toc10142_4256504293">
            <w:r>
              <w:rPr>
                <w:webHidden/>
                <w:rStyle w:val="IndexLink"/>
              </w:rPr>
              <w:t>7. Client responsibilities</w:t>
              <w:tab/>
              <w:t>10</w:t>
            </w:r>
          </w:hyperlink>
        </w:p>
        <w:p>
          <w:pPr>
            <w:pStyle w:val="TOC1"/>
            <w:tabs>
              <w:tab w:val="clear" w:pos="900"/>
              <w:tab w:val="clear" w:pos="9350"/>
              <w:tab w:val="right" w:pos="9025" w:leader="dot"/>
            </w:tabs>
            <w:rPr/>
          </w:pPr>
          <w:hyperlink w:anchor="__RefHeading___Toc10144_4256504293">
            <w:r>
              <w:rPr>
                <w:webHidden/>
                <w:rStyle w:val="IndexLink"/>
              </w:rPr>
              <w:t>8. Assumptions</w:t>
              <w:tab/>
              <w:t>11</w:t>
            </w:r>
          </w:hyperlink>
        </w:p>
        <w:p>
          <w:pPr>
            <w:pStyle w:val="TOC1"/>
            <w:tabs>
              <w:tab w:val="clear" w:pos="900"/>
              <w:tab w:val="clear" w:pos="9350"/>
              <w:tab w:val="right" w:pos="9025" w:leader="dot"/>
            </w:tabs>
            <w:rPr/>
          </w:pPr>
          <w:hyperlink w:anchor="__RefHeading___Toc10146_4256504293">
            <w:r>
              <w:rPr>
                <w:webHidden/>
                <w:rStyle w:val="IndexLink"/>
              </w:rPr>
              <w:t>9. Exclusions</w:t>
              <w:tab/>
              <w:t>12</w:t>
            </w:r>
          </w:hyperlink>
        </w:p>
        <w:p>
          <w:pPr>
            <w:pStyle w:val="TOC1"/>
            <w:tabs>
              <w:tab w:val="clear" w:pos="900"/>
              <w:tab w:val="clear" w:pos="9350"/>
              <w:tab w:val="right" w:pos="9025" w:leader="dot"/>
            </w:tabs>
            <w:rPr/>
          </w:pPr>
          <w:hyperlink w:anchor="__RefHeading___Toc10148_4256504293">
            <w:r>
              <w:rPr>
                <w:webHidden/>
                <w:rStyle w:val="IndexLink"/>
              </w:rPr>
              <w:t>10. Timeline by size</w:t>
              <w:tab/>
              <w:t>13</w:t>
            </w:r>
          </w:hyperlink>
        </w:p>
        <w:p>
          <w:pPr>
            <w:pStyle w:val="TOC2"/>
            <w:tabs>
              <w:tab w:val="clear" w:pos="900"/>
              <w:tab w:val="clear" w:pos="9350"/>
              <w:tab w:val="right" w:pos="9025" w:leader="dot"/>
            </w:tabs>
            <w:rPr/>
          </w:pPr>
          <w:hyperlink w:anchor="__RefHeading___Toc10150_4256504293">
            <w:r>
              <w:rPr>
                <w:webHidden/>
                <w:rStyle w:val="IndexLink"/>
              </w:rPr>
              <w:t>10.1 Durations</w:t>
              <w:tab/>
              <w:t>13</w:t>
            </w:r>
          </w:hyperlink>
        </w:p>
        <w:p>
          <w:pPr>
            <w:pStyle w:val="TOC2"/>
            <w:tabs>
              <w:tab w:val="clear" w:pos="900"/>
              <w:tab w:val="clear" w:pos="9350"/>
              <w:tab w:val="right" w:pos="9025" w:leader="dot"/>
            </w:tabs>
            <w:rPr/>
          </w:pPr>
          <w:hyperlink w:anchor="__RefHeading___Toc10152_4256504293">
            <w:r>
              <w:rPr>
                <w:webHidden/>
                <w:rStyle w:val="IndexLink"/>
              </w:rPr>
              <w:t>10.2 Key milestones</w:t>
              <w:tab/>
              <w:t>13</w:t>
            </w:r>
          </w:hyperlink>
        </w:p>
        <w:p>
          <w:pPr>
            <w:pStyle w:val="TOC1"/>
            <w:tabs>
              <w:tab w:val="clear" w:pos="900"/>
              <w:tab w:val="clear" w:pos="9350"/>
              <w:tab w:val="right" w:pos="9025" w:leader="dot"/>
            </w:tabs>
            <w:rPr/>
          </w:pPr>
          <w:hyperlink w:anchor="__RefHeading___Toc10154_4256504293">
            <w:r>
              <w:rPr>
                <w:webHidden/>
                <w:rStyle w:val="IndexLink"/>
              </w:rPr>
              <w:t>11. Governance</w:t>
              <w:tab/>
              <w:t>14</w:t>
            </w:r>
          </w:hyperlink>
        </w:p>
        <w:p>
          <w:pPr>
            <w:pStyle w:val="TOC1"/>
            <w:tabs>
              <w:tab w:val="clear" w:pos="900"/>
              <w:tab w:val="clear" w:pos="9350"/>
              <w:tab w:val="right" w:pos="9025" w:leader="dot"/>
            </w:tabs>
            <w:rPr/>
          </w:pPr>
          <w:hyperlink w:anchor="__RefHeading___Toc10156_4256504293">
            <w:r>
              <w:rPr>
                <w:webHidden/>
                <w:rStyle w:val="IndexLink"/>
              </w:rPr>
              <w:t>12. Fees and milestone payments</w:t>
              <w:tab/>
              <w:t>15</w:t>
            </w:r>
          </w:hyperlink>
        </w:p>
        <w:p>
          <w:pPr>
            <w:pStyle w:val="TOC2"/>
            <w:tabs>
              <w:tab w:val="clear" w:pos="900"/>
              <w:tab w:val="clear" w:pos="9350"/>
              <w:tab w:val="right" w:pos="9025" w:leader="dot"/>
            </w:tabs>
            <w:rPr/>
          </w:pPr>
          <w:hyperlink w:anchor="__RefHeading___Toc10158_4256504293">
            <w:r>
              <w:rPr>
                <w:webHidden/>
                <w:rStyle w:val="IndexLink"/>
              </w:rPr>
              <w:t>12.1 Fee</w:t>
              <w:tab/>
              <w:t>15</w:t>
            </w:r>
          </w:hyperlink>
        </w:p>
        <w:p>
          <w:pPr>
            <w:pStyle w:val="TOC2"/>
            <w:tabs>
              <w:tab w:val="clear" w:pos="900"/>
              <w:tab w:val="clear" w:pos="9350"/>
              <w:tab w:val="right" w:pos="9025" w:leader="dot"/>
            </w:tabs>
            <w:rPr/>
          </w:pPr>
          <w:hyperlink w:anchor="__RefHeading___Toc10160_4256504293">
            <w:r>
              <w:rPr>
                <w:webHidden/>
                <w:rStyle w:val="IndexLink"/>
              </w:rPr>
              <w:t>12.2 Milestone payments</w:t>
              <w:tab/>
              <w:t>15</w:t>
            </w:r>
          </w:hyperlink>
        </w:p>
        <w:p>
          <w:pPr>
            <w:pStyle w:val="TOC1"/>
            <w:tabs>
              <w:tab w:val="clear" w:pos="900"/>
              <w:tab w:val="clear" w:pos="9350"/>
              <w:tab w:val="right" w:pos="9025" w:leader="dot"/>
            </w:tabs>
            <w:rPr/>
          </w:pPr>
          <w:hyperlink w:anchor="__RefHeading___Toc10162_4256504293">
            <w:r>
              <w:rPr>
                <w:webHidden/>
                <w:rStyle w:val="IndexLink"/>
              </w:rPr>
              <w:t>13. Change control</w:t>
              <w:tab/>
              <w:t>16</w:t>
            </w:r>
          </w:hyperlink>
        </w:p>
        <w:p>
          <w:pPr>
            <w:pStyle w:val="TOC1"/>
            <w:tabs>
              <w:tab w:val="clear" w:pos="900"/>
              <w:tab w:val="clear" w:pos="9350"/>
              <w:tab w:val="right" w:pos="9025" w:leader="dot"/>
            </w:tabs>
            <w:rPr/>
          </w:pPr>
          <w:hyperlink w:anchor="__RefHeading___Toc10164_4256504293">
            <w:r>
              <w:rPr>
                <w:webHidden/>
                <w:rStyle w:val="IndexLink"/>
              </w:rPr>
              <w:t>14. Signatures</w:t>
              <w:tab/>
              <w:t>17</w:t>
            </w:r>
          </w:hyperlink>
        </w:p>
        <w:p>
          <w:pPr>
            <w:pStyle w:val="TOC1"/>
            <w:tabs>
              <w:tab w:val="clear" w:pos="900"/>
              <w:tab w:val="clear" w:pos="9350"/>
              <w:tab w:val="right" w:pos="9025" w:leader="dot"/>
            </w:tabs>
            <w:rPr/>
          </w:pPr>
          <w:hyperlink w:anchor="__RefHeading___Toc10166_4256504293">
            <w:r>
              <w:rPr>
                <w:webHidden/>
                <w:rStyle w:val="IndexLink"/>
              </w:rPr>
              <w:t>15. Annex A: acceptance certificate</w:t>
              <w:tab/>
              <w:t>18</w:t>
            </w:r>
          </w:hyperlink>
        </w:p>
        <w:p>
          <w:pPr>
            <w:pStyle w:val="TOC1"/>
            <w:tabs>
              <w:tab w:val="clear" w:pos="900"/>
              <w:tab w:val="clear" w:pos="9350"/>
              <w:tab w:val="right" w:pos="9025" w:leader="dot"/>
            </w:tabs>
            <w:rPr/>
          </w:pPr>
          <w:hyperlink w:anchor="__RefHeading___Toc10168_4256504293">
            <w:r>
              <w:rPr>
                <w:webHidden/>
                <w:rStyle w:val="IndexLink"/>
              </w:rPr>
              <w:t>16. Annex B: lines of business in scope</w:t>
              <w:tab/>
              <w:t>19</w:t>
            </w:r>
          </w:hyperlink>
        </w:p>
        <w:p>
          <w:pPr>
            <w:pStyle w:val="TOC1"/>
            <w:tabs>
              <w:tab w:val="clear" w:pos="900"/>
              <w:tab w:val="clear" w:pos="9350"/>
              <w:tab w:val="right" w:pos="9025" w:leader="dot"/>
            </w:tabs>
            <w:rPr/>
          </w:pPr>
          <w:hyperlink w:anchor="__RefHeading___Toc10170_4256504293">
            <w:r>
              <w:rPr>
                <w:webHidden/>
                <w:rStyle w:val="IndexLink"/>
                <w:i w:val="false"/>
                <w:iCs w:val="false"/>
              </w:rPr>
              <w:t>17. Document Sign-Off</w:t>
            </w:r>
            <w:r>
              <w:rPr>
                <w:rStyle w:val="IndexLink"/>
              </w:rPr>
              <w:tab/>
              <w:t>20</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0118_4256504293"/>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0120_4256504293"/>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and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0122_4256504293"/>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Implementation Statement of Work (the </w:t>
      </w:r>
      <w:r>
        <w:rPr>
          <w:rFonts w:eastAsia="Segoe UI" w:cs="Segoe UI" w:ascii="Segoe UI" w:hAnsi="Segoe UI"/>
          <w:b/>
          <w:color w:val="101820"/>
          <w:sz w:val="21"/>
        </w:rPr>
        <w:t>SOW</w:t>
      </w:r>
      <w:r>
        <w:rPr>
          <w:rFonts w:eastAsia="Segoe UI" w:cs="Segoe UI" w:ascii="Segoe UI" w:hAnsi="Segoe UI"/>
          <w:color w:val="101820"/>
          <w:sz w:val="21"/>
        </w:rPr>
        <w:t xml:space="preserve">) describes the one-time implementation of iNXT BrokerVerse OOTB for the Client: the scope, phases, Deliverables, acceptance, responsibilities, assumptions, exclusions, timeline, fees and change control. It forms part of the Order Form no. [number] under the Master Services Agreement (the </w:t>
      </w:r>
      <w:r>
        <w:rPr>
          <w:rFonts w:eastAsia="Segoe UI" w:cs="Segoe UI" w:ascii="Segoe UI" w:hAnsi="Segoe UI"/>
          <w:b/>
          <w:color w:val="101820"/>
          <w:sz w:val="21"/>
        </w:rPr>
        <w:t>MSA</w:t>
      </w:r>
      <w:r>
        <w:rPr>
          <w:rFonts w:eastAsia="Segoe UI" w:cs="Segoe UI" w:ascii="Segoe UI" w:hAnsi="Segoe UI"/>
          <w:color w:val="101820"/>
          <w:sz w:val="21"/>
        </w:rPr>
        <w:t>) dated [date] between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and [Client legal name] (the </w:t>
      </w:r>
      <w:r>
        <w:rPr>
          <w:rFonts w:eastAsia="Segoe UI" w:cs="Segoe UI" w:ascii="Segoe UI" w:hAnsi="Segoe UI"/>
          <w:b/>
          <w:color w:val="101820"/>
          <w:sz w:val="21"/>
        </w:rPr>
        <w:t>Client</w:t>
      </w:r>
      <w:r>
        <w:rPr>
          <w:rFonts w:eastAsia="Segoe UI" w:cs="Segoe UI" w:ascii="Segoe UI" w:hAnsi="Segoe UI"/>
          <w:color w:val="101820"/>
          <w:sz w:val="21"/>
        </w:rPr>
        <w:t>). Under the subscription model, this SOW describes the onboarding. Capitalised terms have the meaning given in the MSA. Text in [square brackets] is a placeholder or an option.</w:t>
      </w:r>
      <w:r>
        <w:br w:type="page"/>
      </w:r>
    </w:p>
    <w:p>
      <w:pPr>
        <w:pStyle w:val="Heading1"/>
        <w:rPr/>
      </w:pPr>
      <w:bookmarkStart w:id="7" w:name="__RefHeading___Toc10124_4256504293"/>
      <w:bookmarkEnd w:id="7"/>
      <w:r>
        <w:rPr>
          <w:rFonts w:eastAsia="Segoe UI" w:cs="Segoe UI" w:ascii="Segoe UI" w:hAnsi="Segoe UI"/>
          <w:b/>
          <w:color w:val="0F4761"/>
          <w:sz w:val="32"/>
        </w:rPr>
        <w:t>4.  Scope</w:t>
      </w:r>
    </w:p>
    <w:p>
      <w:pPr>
        <w:pStyle w:val="Heading2"/>
        <w:rPr/>
      </w:pPr>
      <w:bookmarkStart w:id="8" w:name="__RefHeading___Toc10126_4256504293"/>
      <w:bookmarkEnd w:id="8"/>
      <w:r>
        <w:rPr>
          <w:rFonts w:eastAsia="Segoe UI" w:cs="Segoe UI"/>
          <w:b/>
          <w:color w:val="0F4761"/>
          <w:sz w:val="26"/>
        </w:rPr>
        <w:t>4.1  Objective</w:t>
      </w:r>
    </w:p>
    <w:p>
      <w:pPr>
        <w:pStyle w:val="Normal"/>
        <w:spacing w:lineRule="auto" w:line="276" w:before="0" w:after="120"/>
        <w:rPr/>
      </w:pPr>
      <w:r>
        <w:rPr>
          <w:rFonts w:eastAsia="Segoe UI" w:cs="Segoe UI" w:ascii="Segoe UI" w:hAnsi="Segoe UI"/>
          <w:color w:val="101820"/>
          <w:sz w:val="21"/>
        </w:rPr>
        <w:t>Bring iNXT BrokerVerse OOTB into production use for the Client's non-life broking and accounting operations by configuration and master data, without changes to the code, and hand it over to production support after the first month-end close.</w:t>
      </w:r>
    </w:p>
    <w:p>
      <w:pPr>
        <w:pStyle w:val="Heading2"/>
        <w:rPr/>
      </w:pPr>
      <w:bookmarkStart w:id="9" w:name="__RefHeading___Toc10128_4256504293"/>
      <w:bookmarkEnd w:id="9"/>
      <w:r>
        <w:rPr>
          <w:rFonts w:eastAsia="Segoe UI" w:cs="Segoe UI"/>
          <w:b/>
          <w:color w:val="0F4761"/>
          <w:sz w:val="26"/>
        </w:rPr>
        <w:t>4.2  In scope</w:t>
      </w:r>
    </w:p>
    <w:p>
      <w:pPr>
        <w:pStyle w:val="Normal"/>
        <w:numPr>
          <w:ilvl w:val="0"/>
          <w:numId w:val="9"/>
        </w:numPr>
        <w:spacing w:before="0" w:after="60"/>
        <w:rPr/>
      </w:pPr>
      <w:r>
        <w:rPr>
          <w:rFonts w:eastAsia="Segoe UI" w:cs="Segoe UI" w:ascii="Segoe UI" w:hAnsi="Segoe UI"/>
          <w:color w:val="101820"/>
          <w:sz w:val="21"/>
        </w:rPr>
        <w:t>Configuration of the delivered system for the Client: company, letterhead, branches and departments; users and the seven delivered roles; insurers with credit and remittance terms; lines of business, products, covers and vehicles; product templates, motor tariff, rating, acceptance rules and approval workflows; commission rules and referrer sharing; premium taxes and LGU rates; tax codes with BIR ATC; chart of accounts, account determination and posting rules; document numbering; business rules, limits, maker-checker switches, security policy and e-mail texts.</w:t>
      </w:r>
    </w:p>
    <w:p>
      <w:pPr>
        <w:pStyle w:val="Normal"/>
        <w:numPr>
          <w:ilvl w:val="0"/>
          <w:numId w:val="1"/>
        </w:numPr>
        <w:spacing w:before="0" w:after="60"/>
        <w:rPr/>
      </w:pPr>
      <w:r>
        <w:rPr>
          <w:rFonts w:eastAsia="Segoe UI" w:cs="Segoe UI" w:ascii="Segoe UI" w:hAnsi="Segoe UI"/>
          <w:color w:val="101820"/>
          <w:sz w:val="21"/>
        </w:rPr>
        <w:t>Configuration of [number] lines of business: [list, for example motor, fire, marine cargo, engineering, casualty, bonds]. The price includes the number of lines of business of the Client's size (Small 5, Medium 8, Large 12, Enterprise 16); additional lines are priced at 6 man-days each.</w:t>
      </w:r>
    </w:p>
    <w:p>
      <w:pPr>
        <w:pStyle w:val="Normal"/>
        <w:numPr>
          <w:ilvl w:val="0"/>
          <w:numId w:val="1"/>
        </w:numPr>
        <w:spacing w:before="0" w:after="60"/>
        <w:rPr/>
      </w:pPr>
      <w:r>
        <w:rPr>
          <w:rFonts w:eastAsia="Segoe UI" w:cs="Segoe UI" w:ascii="Segoe UI" w:hAnsi="Segoe UI"/>
          <w:color w:val="101820"/>
          <w:sz w:val="21"/>
        </w:rPr>
        <w:t>Data migration of open items with the delivered upload templates: in-force policies, open receivables, amounts due to insurers, opening trial balance, masters (clients, insurers, products, referrers, users), as at the go-live date, for one legal entity and one fiscal year.</w:t>
      </w:r>
    </w:p>
    <w:p>
      <w:pPr>
        <w:pStyle w:val="Normal"/>
        <w:numPr>
          <w:ilvl w:val="0"/>
          <w:numId w:val="1"/>
        </w:numPr>
        <w:spacing w:before="0" w:after="60"/>
        <w:rPr/>
      </w:pPr>
      <w:r>
        <w:rPr>
          <w:rFonts w:eastAsia="Segoe UI" w:cs="Segoe UI" w:ascii="Segoe UI" w:hAnsi="Segoe UI"/>
          <w:color w:val="101820"/>
          <w:sz w:val="21"/>
        </w:rPr>
        <w:t>Set-up of the delivered integrations: outgoing e-mail through the Client's SMTP mailbox; bank statement formats for the Client's bank accounts; the delivered payment gateways (PayMongo and Dragonpay) in sandbox and production, where the Client has a merchant account.</w:t>
      </w:r>
    </w:p>
    <w:p>
      <w:pPr>
        <w:pStyle w:val="Normal"/>
        <w:numPr>
          <w:ilvl w:val="0"/>
          <w:numId w:val="1"/>
        </w:numPr>
        <w:spacing w:before="0" w:after="60"/>
        <w:rPr/>
      </w:pPr>
      <w:r>
        <w:rPr>
          <w:rFonts w:eastAsia="Segoe UI" w:cs="Segoe UI" w:ascii="Segoe UI" w:hAnsi="Segoe UI"/>
          <w:color w:val="101820"/>
          <w:sz w:val="21"/>
        </w:rPr>
        <w:t>Environments: a test (UAT) and a production environment, hosted as stated in the Order Form.</w:t>
      </w:r>
    </w:p>
    <w:p>
      <w:pPr>
        <w:pStyle w:val="Normal"/>
        <w:numPr>
          <w:ilvl w:val="0"/>
          <w:numId w:val="1"/>
        </w:numPr>
        <w:spacing w:before="0" w:after="60"/>
        <w:rPr/>
      </w:pPr>
      <w:r>
        <w:rPr>
          <w:rFonts w:eastAsia="Segoe UI" w:cs="Segoe UI" w:ascii="Segoe UI" w:hAnsi="Segoe UI"/>
          <w:color w:val="101820"/>
          <w:sz w:val="21"/>
        </w:rPr>
        <w:t>Training: train-the-trainer for key users for the training days of the Client's size (Small 4, Medium 6, Large 10, Enterprise 15), and support of end-user training run by the key users.</w:t>
      </w:r>
    </w:p>
    <w:p>
      <w:pPr>
        <w:pStyle w:val="Normal"/>
        <w:numPr>
          <w:ilvl w:val="0"/>
          <w:numId w:val="1"/>
        </w:numPr>
        <w:spacing w:before="0" w:after="60"/>
        <w:rPr/>
      </w:pPr>
      <w:r>
        <w:rPr>
          <w:rFonts w:eastAsia="Segoe UI" w:cs="Segoe UI" w:ascii="Segoe UI" w:hAnsi="Segoe UI"/>
          <w:color w:val="101820"/>
          <w:sz w:val="21"/>
        </w:rPr>
        <w:t>System integration test, UAT support, cutover, go-live support and hypercare until the first month-end close.</w:t>
      </w:r>
    </w:p>
    <w:p>
      <w:pPr>
        <w:pStyle w:val="Heading2"/>
        <w:rPr/>
      </w:pPr>
      <w:bookmarkStart w:id="10" w:name="__RefHeading___Toc10130_4256504293"/>
      <w:bookmarkEnd w:id="10"/>
      <w:r>
        <w:rPr>
          <w:rFonts w:eastAsia="Segoe UI" w:cs="Segoe UI"/>
          <w:b/>
          <w:color w:val="0F4761"/>
          <w:sz w:val="26"/>
        </w:rPr>
        <w:t>4.3  Implementation size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25"/>
        <w:gridCol w:w="4388"/>
      </w:tblGrid>
      <w:tr>
        <w:trPr>
          <w:tblHeader w:val="true"/>
        </w:trPr>
        <w:tc>
          <w:tcPr>
            <w:tcW w:w="46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3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 Medium / Large / Enterprise]</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configured</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Offices and branches</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to migrate (estimate)</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6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w:t>
            </w:r>
          </w:p>
        </w:tc>
        <w:tc>
          <w:tcPr>
            <w:tcW w:w="43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size is confirmed at mobilisation once data volumes are known. A change of size is handled through the Change Request Procedure.</w:t>
      </w:r>
      <w:r>
        <w:br w:type="page"/>
      </w:r>
    </w:p>
    <w:p>
      <w:pPr>
        <w:pStyle w:val="Heading1"/>
        <w:rPr/>
      </w:pPr>
      <w:bookmarkStart w:id="11" w:name="__RefHeading___Toc10132_4256504293"/>
      <w:bookmarkEnd w:id="11"/>
      <w:r>
        <w:rPr>
          <w:rFonts w:eastAsia="Segoe UI" w:cs="Segoe UI" w:ascii="Segoe UI" w:hAnsi="Segoe UI"/>
          <w:b/>
          <w:color w:val="0F4761"/>
          <w:sz w:val="32"/>
        </w:rPr>
        <w:t>5.  Approach and phases</w:t>
      </w:r>
    </w:p>
    <w:p>
      <w:pPr>
        <w:pStyle w:val="Normal"/>
        <w:spacing w:lineRule="auto" w:line="276" w:before="0" w:after="120"/>
        <w:rPr/>
      </w:pPr>
      <w:r>
        <w:rPr>
          <w:rFonts w:eastAsia="Segoe UI" w:cs="Segoe UI" w:ascii="Segoe UI" w:hAnsi="Segoe UI"/>
          <w:color w:val="101820"/>
          <w:sz w:val="21"/>
        </w:rPr>
        <w:t>The implementation follows the iorta TechNXT Implementation Approach and Plan: configure, do not customise; data drives the timeline; key users own the result; every data load uses the delivered templates and is rehearsed at least twice; every acceptance is written.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659"/>
        <w:gridCol w:w="544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54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team and governance, plan confirmed, data requests issued, environments ordered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Walk-through of each process on the delivered system; configuration decisions; fit-gap register limited to configuration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(UAT) and production environments, e-mail account, backups,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products and rates, numbering, chart of accounts, posting rules, approvals, security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Extraction by the Client, mapping to the templates, mock loads,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files, payment gateway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Train-the-trainer for key users, then end-user training per role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runs across roles with the configured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run the UAT scripts with the Client's own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extract, final loads, reconciliation,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day of transactions in iNXT BrokerVerse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support by the project team until the first month-end close is done</w:t>
            </w:r>
          </w:p>
        </w:tc>
      </w:tr>
    </w:tbl>
    <w:p>
      <w:pPr>
        <w:pStyle w:val="Normal"/>
        <w:spacing w:before="0" w:after="80"/>
        <w:rPr/>
      </w:pPr>
      <w:r>
        <w:rPr/>
      </w:r>
      <w:r>
        <w:br w:type="page"/>
      </w:r>
    </w:p>
    <w:p>
      <w:pPr>
        <w:pStyle w:val="Heading1"/>
        <w:rPr/>
      </w:pPr>
      <w:bookmarkStart w:id="12" w:name="__RefHeading___Toc10134_4256504293"/>
      <w:bookmarkEnd w:id="12"/>
      <w:r>
        <w:rPr>
          <w:rFonts w:eastAsia="Segoe UI" w:cs="Segoe UI" w:ascii="Segoe UI" w:hAnsi="Segoe UI"/>
          <w:b/>
          <w:color w:val="0F4761"/>
          <w:sz w:val="32"/>
        </w:rPr>
        <w:t>6.  Deliverables and acceptance</w:t>
      </w:r>
    </w:p>
    <w:p>
      <w:pPr>
        <w:pStyle w:val="Heading2"/>
        <w:rPr/>
      </w:pPr>
      <w:bookmarkStart w:id="13" w:name="__RefHeading___Toc10136_4256504293"/>
      <w:bookmarkEnd w:id="13"/>
      <w:r>
        <w:rPr>
          <w:rFonts w:eastAsia="Segoe UI" w:cs="Segoe UI"/>
          <w:b/>
          <w:color w:val="0F4761"/>
          <w:sz w:val="26"/>
        </w:rPr>
        <w:t>6.1  Deliverables and acceptance criteria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8"/>
        <w:gridCol w:w="3697"/>
        <w:gridCol w:w="3699"/>
      </w:tblGrid>
      <w:tr>
        <w:trPr>
          <w:tblHeader w:val="true"/>
        </w:trPr>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Deliverables</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Acceptance criteria</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charter, baselined plan, RAID log, data request list, governance calendar</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Charter and plan signed by both project managers and the sponsor</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fit-gap register</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process walked through; every register line classed and owned; signed by the process owners</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and production environments, environment sheet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passed on each; one restore test done</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test environment; configuration workbook updated</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workbook item set and checked; test quotation premiums and taxes agree with manual calculations</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sheets, filled templates, load logs, reconciliation reports for each mock load</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Counts and totals agree within the agreed tolerance (default: exact); trial balance as at go-live agrees with the old system</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formats, payment gateway set up</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e-mail and quotation approval link received; one statement per bank account imported; one sandbox payment receipted</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schedule, attendance lists, assessment results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user trained in the role before go-live; key users pass the assessment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plan, results, defect log, SIT exit report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end-to-end flows passed; no open severity 1 or 2 defect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results per script, defect log, UAT sign-off</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UAT scripts passed or accepted with a workaround; sign-off by each process owner and the sponsor</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checklist, final reconciliation, go/no-go minutes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 criteria of the Data Migration and Cutover Plan met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in use; go-live communication</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signed in and transacting; first receipts, remittances and bank imports processed</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 first month-end close support, handover pack</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severity 1 or 2 issue; first close completed; handover accepted by production support and the System Administrator</w:t>
            </w:r>
          </w:p>
        </w:tc>
      </w:tr>
    </w:tbl>
    <w:p>
      <w:pPr>
        <w:pStyle w:val="Normal"/>
        <w:spacing w:before="0" w:after="80"/>
        <w:rPr/>
      </w:pPr>
      <w:r>
        <w:rPr/>
      </w:r>
    </w:p>
    <w:p>
      <w:pPr>
        <w:pStyle w:val="Heading2"/>
        <w:rPr/>
      </w:pPr>
      <w:bookmarkStart w:id="14" w:name="__RefHeading___Toc10138_4256504293"/>
      <w:bookmarkEnd w:id="14"/>
      <w:r>
        <w:rPr>
          <w:rFonts w:eastAsia="Segoe UI" w:cs="Segoe UI"/>
          <w:b/>
          <w:color w:val="0F4761"/>
          <w:sz w:val="26"/>
        </w:rPr>
        <w:t>6.2  Acceptance procedure</w:t>
      </w:r>
    </w:p>
    <w:p>
      <w:pPr>
        <w:pStyle w:val="Normal"/>
        <w:numPr>
          <w:ilvl w:val="0"/>
          <w:numId w:val="10"/>
        </w:numPr>
        <w:spacing w:before="0" w:after="60"/>
        <w:rPr/>
      </w:pPr>
      <w:r>
        <w:rPr>
          <w:rFonts w:eastAsia="Segoe UI" w:cs="Segoe UI" w:ascii="Segoe UI" w:hAnsi="Segoe UI"/>
          <w:color w:val="101820"/>
          <w:sz w:val="21"/>
        </w:rPr>
        <w:t>iorta TechNXT submits each Deliverable with a sign-off request that lists the acceptance criteria and the evidence.</w:t>
      </w:r>
    </w:p>
    <w:p>
      <w:pPr>
        <w:pStyle w:val="Normal"/>
        <w:numPr>
          <w:ilvl w:val="0"/>
          <w:numId w:val="11"/>
        </w:numPr>
        <w:spacing w:before="0" w:after="60"/>
        <w:rPr/>
      </w:pPr>
      <w:r>
        <w:rPr>
          <w:rFonts w:eastAsia="Segoe UI" w:cs="Segoe UI" w:ascii="Segoe UI" w:hAnsi="Segoe UI"/>
          <w:color w:val="101820"/>
          <w:sz w:val="21"/>
        </w:rPr>
        <w:t>The Client reviews the Deliverable within 5 Business Days of submission and either signs the acceptance certificate (Annex A; for UAT, go-live and hypercare exit, the forms of the UAT Sign-off and Go-live Acceptance Certificates and of the Hypercare Exit and Handover to Support Certificate) or gives a written list of the criteria not met, with reasons.</w:t>
      </w:r>
    </w:p>
    <w:p>
      <w:pPr>
        <w:pStyle w:val="Normal"/>
        <w:numPr>
          <w:ilvl w:val="0"/>
          <w:numId w:val="12"/>
        </w:numPr>
        <w:spacing w:before="0" w:after="60"/>
        <w:rPr/>
      </w:pPr>
      <w:r>
        <w:rPr>
          <w:rFonts w:eastAsia="Segoe UI" w:cs="Segoe UI" w:ascii="Segoe UI" w:hAnsi="Segoe UI"/>
          <w:color w:val="101820"/>
          <w:sz w:val="21"/>
        </w:rPr>
        <w:t>iorta TechNXT corrects the items listed and resubmits. The Client then reviews only the corrected items, within 3 Business Days.</w:t>
      </w:r>
    </w:p>
    <w:p>
      <w:pPr>
        <w:pStyle w:val="Normal"/>
        <w:numPr>
          <w:ilvl w:val="0"/>
          <w:numId w:val="13"/>
        </w:numPr>
        <w:spacing w:before="0" w:after="60"/>
        <w:rPr/>
      </w:pPr>
      <w:r>
        <w:rPr>
          <w:rFonts w:eastAsia="Segoe UI" w:cs="Segoe UI" w:ascii="Segoe UI" w:hAnsi="Segoe UI"/>
          <w:color w:val="101820"/>
          <w:sz w:val="21"/>
        </w:rPr>
        <w:t>A Deliverable is deemed accepted if the Client does not give a written objection within the review period, or if the Client uses it in production for its business.</w:t>
      </w:r>
    </w:p>
    <w:p>
      <w:pPr>
        <w:pStyle w:val="Normal"/>
        <w:numPr>
          <w:ilvl w:val="0"/>
          <w:numId w:val="14"/>
        </w:numPr>
        <w:spacing w:before="0" w:after="60"/>
        <w:rPr/>
      </w:pPr>
      <w:r>
        <w:rPr>
          <w:rFonts w:eastAsia="Segoe UI" w:cs="Segoe UI" w:ascii="Segoe UI" w:hAnsi="Segoe UI"/>
          <w:color w:val="101820"/>
          <w:sz w:val="21"/>
        </w:rPr>
        <w:t>A Deliverable is not rejected for defects of severity 3 or 4 alone. Those are logged and corrected under an agreed plan.</w:t>
      </w:r>
    </w:p>
    <w:p>
      <w:pPr>
        <w:pStyle w:val="Normal"/>
        <w:numPr>
          <w:ilvl w:val="0"/>
          <w:numId w:val="15"/>
        </w:numPr>
        <w:spacing w:before="0" w:after="60"/>
        <w:rPr/>
      </w:pPr>
      <w:r>
        <w:rPr>
          <w:rFonts w:eastAsia="Segoe UI" w:cs="Segoe UI" w:ascii="Segoe UI" w:hAnsi="Segoe UI"/>
          <w:color w:val="101820"/>
          <w:sz w:val="21"/>
        </w:rPr>
        <w:t>UAT sign-off is the written acceptance of the UAT phase by the Client's sponsor. Go-live is the first day of transactions in production after a go decision.</w:t>
      </w:r>
    </w:p>
    <w:p>
      <w:pPr>
        <w:pStyle w:val="Heading2"/>
        <w:rPr/>
      </w:pPr>
      <w:bookmarkStart w:id="15" w:name="__RefHeading___Toc10140_4256504293"/>
      <w:bookmarkEnd w:id="15"/>
      <w:r>
        <w:rPr>
          <w:rFonts w:eastAsia="Segoe UI" w:cs="Segoe UI"/>
          <w:b/>
          <w:color w:val="0F4761"/>
          <w:sz w:val="26"/>
        </w:rPr>
        <w:t>6.3  Defect severity during the project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cannot be completed, or financial postings are wrong, with no workaround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is seriously degraded, with no acceptable workaround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function fails and a workaround exists</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Cosmetic issue, wording or documentation</w:t>
            </w:r>
          </w:p>
        </w:tc>
      </w:tr>
    </w:tbl>
    <w:p>
      <w:pPr>
        <w:pStyle w:val="Normal"/>
        <w:spacing w:before="0" w:after="80"/>
        <w:rPr/>
      </w:pPr>
      <w:r>
        <w:rPr/>
      </w:r>
      <w:r>
        <w:br w:type="page"/>
      </w:r>
    </w:p>
    <w:p>
      <w:pPr>
        <w:pStyle w:val="Heading1"/>
        <w:rPr/>
      </w:pPr>
      <w:bookmarkStart w:id="16" w:name="__RefHeading___Toc10142_4256504293"/>
      <w:bookmarkEnd w:id="16"/>
      <w:r>
        <w:rPr>
          <w:rFonts w:eastAsia="Segoe UI" w:cs="Segoe UI" w:ascii="Segoe UI" w:hAnsi="Segoe UI"/>
          <w:b/>
          <w:color w:val="0F4761"/>
          <w:sz w:val="32"/>
        </w:rPr>
        <w:t>7.  Client responsibilities</w:t>
      </w:r>
    </w:p>
    <w:p>
      <w:pPr>
        <w:pStyle w:val="Normal"/>
        <w:spacing w:lineRule="auto" w:line="276" w:before="0" w:after="120"/>
        <w:rPr/>
      </w:pPr>
      <w:r>
        <w:rPr>
          <w:rFonts w:eastAsia="Segoe UI" w:cs="Segoe UI" w:ascii="Segoe UI" w:hAnsi="Segoe UI"/>
          <w:color w:val="101820"/>
          <w:sz w:val="21"/>
        </w:rPr>
        <w:t>The Customer Responsibilities and RACI Annex gives the full list of Client responsibilities, the RACI by activity and the effect of a late dependency. The Client shall provide: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212"/>
        <w:gridCol w:w="3801"/>
      </w:tblGrid>
      <w:tr>
        <w:trPr>
          <w:tblHeader w:val="true"/>
        </w:trPr>
        <w:tc>
          <w:tcPr>
            <w:tcW w:w="52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Dependency</w:t>
            </w:r>
          </w:p>
        </w:tc>
        <w:tc>
          <w:tcPr>
            <w:tcW w:w="38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Needed by</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project manager, key users (one per team) and Accounting Manager, available at least 50% during discovery, UAT and cutover</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with authority to approve scope, changes and sign-offs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list and agreements, commission and referrer rates, product list</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discovery</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and the accountant's mapping decisions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ledger configuration</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Authority to Print or registered series for official receipts and invoices; last numbers used</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document numbering</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 and credentials; payment gateway merchant account and credentials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recent statement export per bank account</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policy, open receivable and trial balance extracts in the templates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mock load and cutover</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list with roles and e-mail addresses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weeks before training</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rooms, devices and attendance</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phase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testers and sign-off authority</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phase</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of the old system and final extract at cutover</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 on the fit-gap register and change requests within 3 Business Days</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Throughout</w:t>
            </w:r>
          </w:p>
        </w:tc>
      </w:tr>
      <w:tr>
        <w:trPr/>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of tax codes, rates and BIR working papers by the Client's tax adviser</w:t>
            </w:r>
          </w:p>
        </w:tc>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phase</w:t>
            </w:r>
          </w:p>
        </w:tc>
      </w:tr>
    </w:tbl>
    <w:p>
      <w:pPr>
        <w:pStyle w:val="Normal"/>
        <w:spacing w:before="0" w:after="80"/>
        <w:rPr/>
      </w:pPr>
      <w:r>
        <w:rPr/>
      </w:r>
      <w:r>
        <w:br w:type="page"/>
      </w:r>
    </w:p>
    <w:p>
      <w:pPr>
        <w:pStyle w:val="Heading1"/>
        <w:rPr/>
      </w:pPr>
      <w:bookmarkStart w:id="17" w:name="__RefHeading___Toc10144_4256504293"/>
      <w:bookmarkEnd w:id="17"/>
      <w:r>
        <w:rPr>
          <w:rFonts w:eastAsia="Segoe UI" w:cs="Segoe UI" w:ascii="Segoe UI" w:hAnsi="Segoe UI"/>
          <w:b/>
          <w:color w:val="0F4761"/>
          <w:sz w:val="32"/>
        </w:rPr>
        <w:t>8.  Assumptions</w:t>
      </w:r>
    </w:p>
    <w:p>
      <w:pPr>
        <w:pStyle w:val="Normal"/>
        <w:numPr>
          <w:ilvl w:val="0"/>
          <w:numId w:val="16"/>
        </w:numPr>
        <w:spacing w:before="0" w:after="60"/>
        <w:rPr/>
      </w:pPr>
      <w:r>
        <w:rPr>
          <w:rFonts w:eastAsia="Segoe UI" w:cs="Segoe UI" w:ascii="Segoe UI" w:hAnsi="Segoe UI"/>
          <w:color w:val="101820"/>
          <w:sz w:val="21"/>
        </w:rPr>
        <w:t>The implementation is OOTB: the Client uses the delivered screens, workflows, reports and printed documents.</w:t>
      </w:r>
    </w:p>
    <w:p>
      <w:pPr>
        <w:pStyle w:val="Normal"/>
        <w:numPr>
          <w:ilvl w:val="0"/>
          <w:numId w:val="17"/>
        </w:numPr>
        <w:spacing w:before="0" w:after="60"/>
        <w:rPr/>
      </w:pPr>
      <w:r>
        <w:rPr>
          <w:rFonts w:eastAsia="Segoe UI" w:cs="Segoe UI" w:ascii="Segoe UI" w:hAnsi="Segoe UI"/>
          <w:color w:val="101820"/>
          <w:sz w:val="21"/>
        </w:rPr>
        <w:t>The Client provides complete and cleansed data in the delivered templates by the dates in the plan.</w:t>
      </w:r>
    </w:p>
    <w:p>
      <w:pPr>
        <w:pStyle w:val="Normal"/>
        <w:numPr>
          <w:ilvl w:val="0"/>
          <w:numId w:val="18"/>
        </w:numPr>
        <w:spacing w:before="0" w:after="60"/>
        <w:rPr/>
      </w:pPr>
      <w:r>
        <w:rPr>
          <w:rFonts w:eastAsia="Segoe UI" w:cs="Segoe UI" w:ascii="Segoe UI" w:hAnsi="Segoe UI"/>
          <w:color w:val="101820"/>
          <w:sz w:val="21"/>
        </w:rPr>
        <w:t>Decisions in discovery are made within 3 Business Days of each workshop.</w:t>
      </w:r>
    </w:p>
    <w:p>
      <w:pPr>
        <w:pStyle w:val="Normal"/>
        <w:numPr>
          <w:ilvl w:val="0"/>
          <w:numId w:val="19"/>
        </w:numPr>
        <w:spacing w:before="0" w:after="60"/>
        <w:rPr/>
      </w:pPr>
      <w:r>
        <w:rPr>
          <w:rFonts w:eastAsia="Segoe UI" w:cs="Segoe UI" w:ascii="Segoe UI" w:hAnsi="Segoe UI"/>
          <w:color w:val="101820"/>
          <w:sz w:val="21"/>
        </w:rPr>
        <w:t>Workshops and training are delivered on site in Metro Manila or online, in English, during Philippine business hours. On-site work outside Metro Manila is billed with travel at cost.</w:t>
      </w:r>
    </w:p>
    <w:p>
      <w:pPr>
        <w:pStyle w:val="Normal"/>
        <w:numPr>
          <w:ilvl w:val="0"/>
          <w:numId w:val="20"/>
        </w:numPr>
        <w:spacing w:before="0" w:after="60"/>
        <w:rPr/>
      </w:pPr>
      <w:r>
        <w:rPr>
          <w:rFonts w:eastAsia="Segoe UI" w:cs="Segoe UI" w:ascii="Segoe UI" w:hAnsi="Segoe UI"/>
          <w:color w:val="101820"/>
          <w:sz w:val="21"/>
        </w:rPr>
        <w:t>One legal entity and one fiscal year are migrated; opening balances are taken at a single go-live date.</w:t>
      </w:r>
    </w:p>
    <w:p>
      <w:pPr>
        <w:pStyle w:val="Normal"/>
        <w:numPr>
          <w:ilvl w:val="0"/>
          <w:numId w:val="21"/>
        </w:numPr>
        <w:spacing w:before="0" w:after="60"/>
        <w:rPr/>
      </w:pPr>
      <w:r>
        <w:rPr>
          <w:rFonts w:eastAsia="Segoe UI" w:cs="Segoe UI" w:ascii="Segoe UI" w:hAnsi="Segoe UI"/>
          <w:color w:val="101820"/>
          <w:sz w:val="21"/>
        </w:rPr>
        <w:t>The Client uses the delivered roles: System Administrator, Sales &amp; Marketing, Processing Team, Operations, Claims, Accounting and Accounting Manager.</w:t>
      </w:r>
    </w:p>
    <w:p>
      <w:pPr>
        <w:pStyle w:val="Normal"/>
        <w:numPr>
          <w:ilvl w:val="0"/>
          <w:numId w:val="22"/>
        </w:numPr>
        <w:spacing w:before="0" w:after="60"/>
        <w:rPr/>
      </w:pPr>
      <w:r>
        <w:rPr>
          <w:rFonts w:eastAsia="Segoe UI" w:cs="Segoe UI" w:ascii="Segoe UI" w:hAnsi="Segoe UI"/>
          <w:color w:val="101820"/>
          <w:sz w:val="21"/>
        </w:rPr>
        <w:t>Testing uses the test environment; production is used only after the go decision.</w:t>
      </w:r>
    </w:p>
    <w:p>
      <w:pPr>
        <w:pStyle w:val="Normal"/>
        <w:numPr>
          <w:ilvl w:val="0"/>
          <w:numId w:val="23"/>
        </w:numPr>
        <w:spacing w:before="0" w:after="60"/>
        <w:rPr/>
      </w:pPr>
      <w:r>
        <w:rPr>
          <w:rFonts w:eastAsia="Segoe UI" w:cs="Segoe UI" w:ascii="Segoe UI" w:hAnsi="Segoe UI"/>
          <w:color w:val="101820"/>
          <w:sz w:val="21"/>
        </w:rPr>
        <w:t>An import file holds at most 20,000 data rows; larger books are loaded in several files.</w:t>
      </w:r>
    </w:p>
    <w:p>
      <w:pPr>
        <w:pStyle w:val="Normal"/>
        <w:numPr>
          <w:ilvl w:val="0"/>
          <w:numId w:val="24"/>
        </w:numPr>
        <w:spacing w:before="0" w:after="60"/>
        <w:rPr/>
      </w:pPr>
      <w:r>
        <w:rPr>
          <w:rFonts w:eastAsia="Segoe UI" w:cs="Segoe UI" w:ascii="Segoe UI" w:hAnsi="Segoe UI"/>
          <w:color w:val="101820"/>
          <w:sz w:val="21"/>
        </w:rPr>
        <w:t>The man-days in the fee are estimates for the OOTB scope of this SOW. Effort caused by a change of scope or by late Client dependencies is a Change Request.</w:t>
      </w:r>
      <w:r>
        <w:br w:type="page"/>
      </w:r>
    </w:p>
    <w:p>
      <w:pPr>
        <w:pStyle w:val="Heading1"/>
        <w:rPr/>
      </w:pPr>
      <w:bookmarkStart w:id="18" w:name="__RefHeading___Toc10146_4256504293"/>
      <w:bookmarkEnd w:id="18"/>
      <w:r>
        <w:rPr>
          <w:rFonts w:eastAsia="Segoe UI" w:cs="Segoe UI" w:ascii="Segoe UI" w:hAnsi="Segoe UI"/>
          <w:b/>
          <w:color w:val="0F4761"/>
          <w:sz w:val="32"/>
        </w:rPr>
        <w:t>9.  Exclusions</w:t>
      </w:r>
    </w:p>
    <w:p>
      <w:pPr>
        <w:pStyle w:val="Normal"/>
        <w:spacing w:lineRule="auto" w:line="276" w:before="0" w:after="120"/>
        <w:rPr/>
      </w:pPr>
      <w:r>
        <w:rPr>
          <w:rFonts w:eastAsia="Segoe UI" w:cs="Segoe UI" w:ascii="Segoe UI" w:hAnsi="Segoe UI"/>
          <w:color w:val="101820"/>
          <w:sz w:val="21"/>
        </w:rPr>
        <w:t>The following are outside this SOW and can be quoted through a Change Request:</w:t>
      </w:r>
    </w:p>
    <w:p>
      <w:pPr>
        <w:pStyle w:val="Normal"/>
        <w:numPr>
          <w:ilvl w:val="0"/>
          <w:numId w:val="25"/>
        </w:numPr>
        <w:spacing w:before="0" w:after="60"/>
        <w:rPr/>
      </w:pPr>
      <w:r>
        <w:rPr>
          <w:rFonts w:eastAsia="Segoe UI" w:cs="Segoe UI" w:ascii="Segoe UI" w:hAnsi="Segoe UI"/>
          <w:color w:val="101820"/>
          <w:sz w:val="21"/>
        </w:rPr>
        <w:t>Customisation of screens, workflows, reports, printed documents or the database, and new reports.</w:t>
      </w:r>
    </w:p>
    <w:p>
      <w:pPr>
        <w:pStyle w:val="Normal"/>
        <w:numPr>
          <w:ilvl w:val="0"/>
          <w:numId w:val="26"/>
        </w:numPr>
        <w:spacing w:before="0" w:after="60"/>
        <w:rPr/>
      </w:pPr>
      <w:r>
        <w:rPr>
          <w:rFonts w:eastAsia="Segoe UI" w:cs="Segoe UI" w:ascii="Segoe UI" w:hAnsi="Segoe UI"/>
          <w:color w:val="101820"/>
          <w:sz w:val="21"/>
        </w:rPr>
        <w:t>New integrations, for example with insurer systems, core banking, bank payment file generation, SMS gateways, accounting packages, BIR eFPS or eBIRForms, LTO or IC systems, and payment gateways other than PayMongo and Dragonpay.</w:t>
      </w:r>
    </w:p>
    <w:p>
      <w:pPr>
        <w:pStyle w:val="Normal"/>
        <w:numPr>
          <w:ilvl w:val="0"/>
          <w:numId w:val="27"/>
        </w:numPr>
        <w:spacing w:before="0" w:after="60"/>
        <w:rPr/>
      </w:pPr>
      <w:r>
        <w:rPr>
          <w:rFonts w:eastAsia="Segoe UI" w:cs="Segoe UI" w:ascii="Segoe UI" w:hAnsi="Segoe UI"/>
          <w:color w:val="101820"/>
          <w:sz w:val="21"/>
        </w:rPr>
        <w:t>Data cleansing, de-duplication and enrichment of the Client's data, and extraction from the old system (data migration beyond the standard templates is an optional service).</w:t>
      </w:r>
    </w:p>
    <w:p>
      <w:pPr>
        <w:pStyle w:val="Normal"/>
        <w:numPr>
          <w:ilvl w:val="0"/>
          <w:numId w:val="28"/>
        </w:numPr>
        <w:spacing w:before="0" w:after="60"/>
        <w:rPr/>
      </w:pPr>
      <w:r>
        <w:rPr>
          <w:rFonts w:eastAsia="Segoe UI" w:cs="Segoe UI" w:ascii="Segoe UI" w:hAnsi="Segoe UI"/>
          <w:color w:val="101820"/>
          <w:sz w:val="21"/>
        </w:rPr>
        <w:t>Migration of closed or expired policies, settled claims, paid receivables, transaction history and documents, and more than one fiscal year of balances.</w:t>
      </w:r>
    </w:p>
    <w:p>
      <w:pPr>
        <w:pStyle w:val="Normal"/>
        <w:numPr>
          <w:ilvl w:val="0"/>
          <w:numId w:val="29"/>
        </w:numPr>
        <w:spacing w:before="0" w:after="60"/>
        <w:rPr/>
      </w:pPr>
      <w:r>
        <w:rPr>
          <w:rFonts w:eastAsia="Segoe UI" w:cs="Segoe UI" w:ascii="Segoe UI" w:hAnsi="Segoe UI"/>
          <w:color w:val="101820"/>
          <w:sz w:val="21"/>
        </w:rPr>
        <w:t>Hardware, end-user devices, networks, browsers and office software.</w:t>
      </w:r>
    </w:p>
    <w:p>
      <w:pPr>
        <w:pStyle w:val="Normal"/>
        <w:numPr>
          <w:ilvl w:val="0"/>
          <w:numId w:val="30"/>
        </w:numPr>
        <w:spacing w:before="0" w:after="60"/>
        <w:rPr/>
      </w:pPr>
      <w:r>
        <w:rPr>
          <w:rFonts w:eastAsia="Segoe UI" w:cs="Segoe UI" w:ascii="Segoe UI" w:hAnsi="Segoe UI"/>
          <w:color w:val="101820"/>
          <w:sz w:val="21"/>
        </w:rPr>
        <w:t>Third-party licences and fees: cloud subscriptions beyond the agreed hosting, mailboxes, payment gateway merchant fees, certificates for Client-owned domains.</w:t>
      </w:r>
    </w:p>
    <w:p>
      <w:pPr>
        <w:pStyle w:val="Normal"/>
        <w:numPr>
          <w:ilvl w:val="0"/>
          <w:numId w:val="31"/>
        </w:numPr>
        <w:spacing w:before="0" w:after="60"/>
        <w:rPr/>
      </w:pPr>
      <w:r>
        <w:rPr>
          <w:rFonts w:eastAsia="Segoe UI" w:cs="Segoe UI" w:ascii="Segoe UI" w:hAnsi="Segoe UI"/>
          <w:color w:val="101820"/>
          <w:sz w:val="21"/>
        </w:rPr>
        <w:t>Regulatory filings and registrations: BIR returns and alphalists, Computerized Accounting System registration, Authority to Print, IC reports, NPC registration, AMLC reports.</w:t>
      </w:r>
    </w:p>
    <w:p>
      <w:pPr>
        <w:pStyle w:val="Normal"/>
        <w:numPr>
          <w:ilvl w:val="0"/>
          <w:numId w:val="32"/>
        </w:numPr>
        <w:spacing w:before="0" w:after="60"/>
        <w:rPr/>
      </w:pPr>
      <w:r>
        <w:rPr>
          <w:rFonts w:eastAsia="Segoe UI" w:cs="Segoe UI" w:ascii="Segoe UI" w:hAnsi="Segoe UI"/>
          <w:color w:val="101820"/>
          <w:sz w:val="21"/>
        </w:rPr>
        <w:t>Tax, legal, actuarial or audit advice.</w:t>
      </w:r>
    </w:p>
    <w:p>
      <w:pPr>
        <w:pStyle w:val="Normal"/>
        <w:numPr>
          <w:ilvl w:val="0"/>
          <w:numId w:val="33"/>
        </w:numPr>
        <w:spacing w:before="0" w:after="60"/>
        <w:rPr/>
      </w:pPr>
      <w:r>
        <w:rPr>
          <w:rFonts w:eastAsia="Segoe UI" w:cs="Segoe UI" w:ascii="Segoe UI" w:hAnsi="Segoe UI"/>
          <w:color w:val="101820"/>
          <w:sz w:val="21"/>
        </w:rPr>
        <w:t>Translation of the screens.</w:t>
      </w:r>
    </w:p>
    <w:p>
      <w:pPr>
        <w:pStyle w:val="Normal"/>
        <w:numPr>
          <w:ilvl w:val="0"/>
          <w:numId w:val="34"/>
        </w:numPr>
        <w:spacing w:before="0" w:after="60"/>
        <w:rPr/>
      </w:pPr>
      <w:r>
        <w:rPr>
          <w:rFonts w:eastAsia="Segoe UI" w:cs="Segoe UI" w:ascii="Segoe UI" w:hAnsi="Segoe UI"/>
          <w:color w:val="101820"/>
          <w:sz w:val="21"/>
        </w:rPr>
        <w:t>Training beyond the included days and training of users added after go-live.</w:t>
      </w:r>
    </w:p>
    <w:p>
      <w:pPr>
        <w:pStyle w:val="Normal"/>
        <w:numPr>
          <w:ilvl w:val="0"/>
          <w:numId w:val="35"/>
        </w:numPr>
        <w:spacing w:before="0" w:after="60"/>
        <w:rPr/>
      </w:pPr>
      <w:r>
        <w:rPr>
          <w:rFonts w:eastAsia="Segoe UI" w:cs="Segoe UI" w:ascii="Segoe UI" w:hAnsi="Segoe UI"/>
          <w:color w:val="101820"/>
          <w:sz w:val="21"/>
        </w:rPr>
        <w:t>Support after hypercare, which is covered by the Annual Maintenance and Support Agreement or the Subscription.</w:t>
      </w:r>
      <w:r>
        <w:br w:type="page"/>
      </w:r>
    </w:p>
    <w:p>
      <w:pPr>
        <w:pStyle w:val="Heading1"/>
        <w:rPr/>
      </w:pPr>
      <w:bookmarkStart w:id="19" w:name="__RefHeading___Toc10148_4256504293"/>
      <w:bookmarkEnd w:id="19"/>
      <w:r>
        <w:rPr>
          <w:rFonts w:eastAsia="Segoe UI" w:cs="Segoe UI" w:ascii="Segoe UI" w:hAnsi="Segoe UI"/>
          <w:b/>
          <w:color w:val="0F4761"/>
          <w:sz w:val="32"/>
        </w:rPr>
        <w:t>10.  Timeline by size</w:t>
      </w:r>
    </w:p>
    <w:p>
      <w:pPr>
        <w:pStyle w:val="Heading2"/>
        <w:rPr/>
      </w:pPr>
      <w:bookmarkStart w:id="20" w:name="__RefHeading___Toc10150_4256504293"/>
      <w:bookmarkEnd w:id="20"/>
      <w:r>
        <w:rPr>
          <w:rFonts w:eastAsia="Segoe UI" w:cs="Segoe UI"/>
          <w:b/>
          <w:color w:val="0F4761"/>
          <w:sz w:val="26"/>
        </w:rPr>
        <w:t>10.1  Durations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1788"/>
        <w:gridCol w:w="3206"/>
        <w:gridCol w:w="2886"/>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17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Duration to hypercare exit</w:t>
            </w:r>
          </w:p>
        </w:tc>
        <w:tc>
          <w:tcPr>
            <w:tcW w:w="32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Go-live</w:t>
            </w:r>
          </w:p>
        </w:tc>
        <w:tc>
          <w:tcPr>
            <w:tcW w:w="28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Hypercare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17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weeks</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7</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7 and 8</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17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weeks</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10</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10 to 12</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17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to 20 weeks</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13 (16-week plan) or week 15 (20-week plan)</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week 16 or week 20</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17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 weeks or more</w:t>
            </w:r>
          </w:p>
        </w:tc>
        <w:tc>
          <w:tcPr>
            <w:tcW w:w="32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Agreed at mobilisation</w:t>
            </w:r>
          </w:p>
        </w:tc>
        <w:tc>
          <w:tcPr>
            <w:tcW w:w="28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to 6 weeks, or as planned at mobilisation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If the first month-end close falls after the hypercare window, hypercare extends to cover it at no extra charge.</w:t>
      </w:r>
    </w:p>
    <w:p>
      <w:pPr>
        <w:pStyle w:val="Heading2"/>
        <w:rPr/>
      </w:pPr>
      <w:bookmarkStart w:id="21" w:name="__RefHeading___Toc10152_4256504293"/>
      <w:bookmarkEnd w:id="21"/>
      <w:r>
        <w:rPr>
          <w:rFonts w:eastAsia="Segoe UI" w:cs="Segoe UI"/>
          <w:b/>
          <w:color w:val="0F4761"/>
          <w:sz w:val="26"/>
        </w:rPr>
        <w:t>10.2  Key milestones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382"/>
        <w:gridCol w:w="907"/>
        <w:gridCol w:w="906"/>
        <w:gridCol w:w="1818"/>
      </w:tblGrid>
      <w:tr>
        <w:trPr>
          <w:tblHeader w:val="true"/>
        </w:trPr>
        <w:tc>
          <w:tcPr>
            <w:tcW w:w="53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w:t>
            </w:r>
          </w:p>
        </w:tc>
        <w:tc>
          <w:tcPr>
            <w:tcW w:w="18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(20 weeks)</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held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3</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4</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11</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and go decision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6</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9</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13 to 14</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10</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15</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8</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12</w:t>
            </w:r>
          </w:p>
        </w:tc>
        <w:tc>
          <w:tcPr>
            <w:tcW w:w="18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20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detailed weekly plan is the plan of the Implementation Approach and Plan for the size, baselined at mobilisation. Planned start date: [date]. Target go-live date: [date].</w:t>
      </w:r>
      <w:r>
        <w:br w:type="page"/>
      </w:r>
    </w:p>
    <w:p>
      <w:pPr>
        <w:pStyle w:val="Heading1"/>
        <w:rPr/>
      </w:pPr>
      <w:bookmarkStart w:id="22" w:name="__RefHeading___Toc10154_4256504293"/>
      <w:bookmarkEnd w:id="22"/>
      <w:r>
        <w:rPr>
          <w:rFonts w:eastAsia="Segoe UI" w:cs="Segoe UI" w:ascii="Segoe UI" w:hAnsi="Segoe UI"/>
          <w:b/>
          <w:color w:val="0F4761"/>
          <w:sz w:val="32"/>
        </w:rPr>
        <w:t>11.  Governance</w:t>
      </w:r>
    </w:p>
    <w:p>
      <w:pPr>
        <w:pStyle w:val="Normal"/>
        <w:numPr>
          <w:ilvl w:val="0"/>
          <w:numId w:val="36"/>
        </w:numPr>
        <w:spacing w:before="0" w:after="60"/>
        <w:rPr/>
      </w:pPr>
      <w:r>
        <w:rPr>
          <w:rFonts w:eastAsia="Segoe UI" w:cs="Segoe UI" w:ascii="Segoe UI" w:hAnsi="Segoe UI"/>
          <w:b/>
          <w:color w:val="101820"/>
          <w:sz w:val="21"/>
        </w:rPr>
        <w:t>Steering committee:</w:t>
      </w:r>
      <w:r>
        <w:rPr>
          <w:rFonts w:eastAsia="Segoe UI" w:cs="Segoe UI" w:ascii="Segoe UI" w:hAnsi="Segoe UI"/>
          <w:color w:val="101820"/>
          <w:sz w:val="21"/>
        </w:rPr>
        <w:t xml:space="preserve"> the Client's sponsor (chair), the Client's project manager, the Accounting Manager and a business head; the iorta TechNXT account manager and project manager, with the head of delivery when a decision on cost or the go-live date is due. Meets every two weeks and at each go/no-go, as in the Implementation Approach and Plan. Approves changes that affect cost or the go-live date.</w:t>
      </w:r>
    </w:p>
    <w:p>
      <w:pPr>
        <w:pStyle w:val="Normal"/>
        <w:numPr>
          <w:ilvl w:val="0"/>
          <w:numId w:val="37"/>
        </w:numPr>
        <w:spacing w:before="0" w:after="60"/>
        <w:rPr/>
      </w:pPr>
      <w:r>
        <w:rPr>
          <w:rFonts w:eastAsia="Segoe UI" w:cs="Segoe UI" w:ascii="Segoe UI" w:hAnsi="Segoe UI"/>
          <w:b/>
          <w:color w:val="101820"/>
          <w:sz w:val="21"/>
        </w:rPr>
        <w:t>Weekly status meeting:</w:t>
      </w:r>
      <w:r>
        <w:rPr>
          <w:rFonts w:eastAsia="Segoe UI" w:cs="Segoe UI" w:ascii="Segoe UI" w:hAnsi="Segoe UI"/>
          <w:color w:val="101820"/>
          <w:sz w:val="21"/>
        </w:rPr>
        <w:t xml:space="preserve"> both project managers and the key users concerned. Reviews progress, the RAID log and the next week's plan.</w:t>
      </w:r>
    </w:p>
    <w:p>
      <w:pPr>
        <w:pStyle w:val="Normal"/>
        <w:numPr>
          <w:ilvl w:val="0"/>
          <w:numId w:val="38"/>
        </w:numPr>
        <w:spacing w:before="0" w:after="60"/>
        <w:rPr/>
      </w:pPr>
      <w:r>
        <w:rPr>
          <w:rFonts w:eastAsia="Segoe UI" w:cs="Segoe UI" w:ascii="Segoe UI" w:hAnsi="Segoe UI"/>
          <w:b/>
          <w:color w:val="101820"/>
          <w:sz w:val="21"/>
        </w:rPr>
        <w:t>RAID log:</w:t>
      </w:r>
      <w:r>
        <w:rPr>
          <w:rFonts w:eastAsia="Segoe UI" w:cs="Segoe UI" w:ascii="Segoe UI" w:hAnsi="Segoe UI"/>
          <w:color w:val="101820"/>
          <w:sz w:val="21"/>
        </w:rPr>
        <w:t xml:space="preserve"> kept by the iorta TechNXT project manager and shared with the Client.</w:t>
      </w:r>
    </w:p>
    <w:p>
      <w:pPr>
        <w:pStyle w:val="Normal"/>
        <w:numPr>
          <w:ilvl w:val="0"/>
          <w:numId w:val="39"/>
        </w:numPr>
        <w:spacing w:before="0" w:after="60"/>
        <w:rPr/>
      </w:pPr>
      <w:r>
        <w:rPr>
          <w:rFonts w:eastAsia="Segoe UI" w:cs="Segoe UI" w:ascii="Segoe UI" w:hAnsi="Segoe UI"/>
          <w:b/>
          <w:color w:val="101820"/>
          <w:sz w:val="21"/>
        </w:rPr>
        <w:t>Escalation:</w:t>
      </w:r>
      <w:r>
        <w:rPr>
          <w:rFonts w:eastAsia="Segoe UI" w:cs="Segoe UI" w:ascii="Segoe UI" w:hAnsi="Segoe UI"/>
          <w:color w:val="101820"/>
          <w:sz w:val="21"/>
        </w:rPr>
        <w:t xml:space="preserve"> project managers, then the steering committee, then the dispute steps of the MSA.</w:t>
      </w:r>
      <w:r>
        <w:br w:type="page"/>
      </w:r>
    </w:p>
    <w:p>
      <w:pPr>
        <w:pStyle w:val="Heading1"/>
        <w:rPr/>
      </w:pPr>
      <w:bookmarkStart w:id="23" w:name="__RefHeading___Toc10156_4256504293"/>
      <w:bookmarkEnd w:id="23"/>
      <w:r>
        <w:rPr>
          <w:rFonts w:eastAsia="Segoe UI" w:cs="Segoe UI" w:ascii="Segoe UI" w:hAnsi="Segoe UI"/>
          <w:b/>
          <w:color w:val="0F4761"/>
          <w:sz w:val="32"/>
        </w:rPr>
        <w:t>12.  Fees and milestone payments</w:t>
      </w:r>
    </w:p>
    <w:p>
      <w:pPr>
        <w:pStyle w:val="Heading2"/>
        <w:rPr/>
      </w:pPr>
      <w:bookmarkStart w:id="24" w:name="__RefHeading___Toc10158_4256504293"/>
      <w:bookmarkEnd w:id="24"/>
      <w:r>
        <w:rPr>
          <w:rFonts w:eastAsia="Segoe UI" w:cs="Segoe UI"/>
          <w:b/>
          <w:color w:val="0F4761"/>
          <w:sz w:val="26"/>
        </w:rPr>
        <w:t>12.1  Fee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Base man-days of the size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70 / Medium 130 / Large 230 / Enterprise 360]</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lines of business above the included number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x 6 man-days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man-days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day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16,100.00</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 (rounded to PHP 10,000.00), excluding VAT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if any ([lever])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 payable, excluding VAT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fee is fixed for the scope, size and assumptions of this SOW. Under the subscription model, the onboarding fee equals the implementation fee times the onboarding percentage in the Order Form.</w:t>
      </w:r>
    </w:p>
    <w:p>
      <w:pPr>
        <w:pStyle w:val="Heading2"/>
        <w:rPr/>
      </w:pPr>
      <w:bookmarkStart w:id="25" w:name="__RefHeading___Toc10160_4256504293"/>
      <w:bookmarkEnd w:id="25"/>
      <w:r>
        <w:rPr>
          <w:rFonts w:eastAsia="Segoe UI" w:cs="Segoe UI"/>
          <w:b/>
          <w:color w:val="0F4761"/>
          <w:sz w:val="26"/>
        </w:rPr>
        <w:t>12.2  Milestone payments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98"/>
        <w:gridCol w:w="908"/>
        <w:gridCol w:w="4208"/>
      </w:tblGrid>
      <w:tr>
        <w:trPr>
          <w:tblHeader w:val="true"/>
        </w:trPr>
        <w:tc>
          <w:tcPr>
            <w:tcW w:w="38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Share</w:t>
            </w:r>
          </w:p>
        </w:tc>
        <w:tc>
          <w:tcPr>
            <w:tcW w:w="42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 (PHP, excluding VAT)</w:t>
            </w:r>
          </w:p>
        </w:tc>
      </w:tr>
      <w:tr>
        <w:trPr/>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Signing of the Order Form</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4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4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bl>
    <w:p>
      <w:pPr>
        <w:pStyle w:val="Normal"/>
        <w:spacing w:before="0" w:after="80"/>
        <w:rPr/>
      </w:pPr>
      <w:r>
        <w:rPr/>
      </w:r>
    </w:p>
    <w:p>
      <w:pPr>
        <w:pStyle w:val="Normal"/>
        <w:numPr>
          <w:ilvl w:val="0"/>
          <w:numId w:val="40"/>
        </w:numPr>
        <w:spacing w:before="0" w:after="60"/>
        <w:rPr/>
      </w:pPr>
      <w:r>
        <w:rPr>
          <w:rFonts w:eastAsia="Segoe UI" w:cs="Segoe UI" w:ascii="Segoe UI" w:hAnsi="Segoe UI"/>
          <w:color w:val="101820"/>
          <w:sz w:val="21"/>
        </w:rPr>
        <w:t>iorta TechNXT invoices on each milestone. Invoices are payable within 30 days, with VAT added and withholding tax handled under the MSA.</w:t>
      </w:r>
    </w:p>
    <w:p>
      <w:pPr>
        <w:pStyle w:val="Normal"/>
        <w:numPr>
          <w:ilvl w:val="0"/>
          <w:numId w:val="41"/>
        </w:numPr>
        <w:spacing w:before="0" w:after="60"/>
        <w:rPr/>
      </w:pPr>
      <w:r>
        <w:rPr>
          <w:rFonts w:eastAsia="Segoe UI" w:cs="Segoe UI" w:ascii="Segoe UI" w:hAnsi="Segoe UI"/>
          <w:color w:val="101820"/>
          <w:sz w:val="21"/>
        </w:rPr>
        <w:t>If a milestone is delayed by more than 30 days for reasons attributable to the Client, iorta TechNXT may invoice the milestone payment on the planned date of the milestone.</w:t>
      </w:r>
    </w:p>
    <w:p>
      <w:pPr>
        <w:pStyle w:val="Normal"/>
        <w:numPr>
          <w:ilvl w:val="0"/>
          <w:numId w:val="42"/>
        </w:numPr>
        <w:spacing w:before="0" w:after="60"/>
        <w:rPr/>
      </w:pPr>
      <w:r>
        <w:rPr>
          <w:rFonts w:eastAsia="Segoe UI" w:cs="Segoe UI" w:ascii="Segoe UI" w:hAnsi="Segoe UI"/>
          <w:color w:val="101820"/>
          <w:sz w:val="21"/>
        </w:rPr>
        <w:t>Optional services in the Order Form (extra training days, legacy data sources, integrations, environments, on-site days) are invoiced on delivery or as quoted.</w:t>
      </w:r>
    </w:p>
    <w:p>
      <w:pPr>
        <w:pStyle w:val="Normal"/>
        <w:numPr>
          <w:ilvl w:val="0"/>
          <w:numId w:val="43"/>
        </w:numPr>
        <w:spacing w:before="0" w:after="60"/>
        <w:rPr/>
      </w:pPr>
      <w:r>
        <w:rPr>
          <w:rFonts w:eastAsia="Segoe UI" w:cs="Segoe UI" w:ascii="Segoe UI" w:hAnsi="Segoe UI"/>
          <w:color w:val="101820"/>
          <w:sz w:val="21"/>
        </w:rPr>
        <w:t>Travel, lodging and meals outside Metro Manila are billed at cost with receipts, if approved in advance by the Client.</w:t>
      </w:r>
      <w:r>
        <w:br w:type="page"/>
      </w:r>
    </w:p>
    <w:p>
      <w:pPr>
        <w:pStyle w:val="Heading1"/>
        <w:rPr/>
      </w:pPr>
      <w:bookmarkStart w:id="26" w:name="__RefHeading___Toc10162_4256504293"/>
      <w:bookmarkEnd w:id="26"/>
      <w:r>
        <w:rPr>
          <w:rFonts w:eastAsia="Segoe UI" w:cs="Segoe UI" w:ascii="Segoe UI" w:hAnsi="Segoe UI"/>
          <w:b/>
          <w:color w:val="0F4761"/>
          <w:sz w:val="32"/>
        </w:rPr>
        <w:t>13.  Change control</w:t>
      </w:r>
    </w:p>
    <w:p>
      <w:pPr>
        <w:pStyle w:val="Normal"/>
        <w:numPr>
          <w:ilvl w:val="0"/>
          <w:numId w:val="44"/>
        </w:numPr>
        <w:spacing w:before="0" w:after="60"/>
        <w:rPr/>
      </w:pPr>
      <w:r>
        <w:rPr>
          <w:rFonts w:eastAsia="Segoe UI" w:cs="Segoe UI" w:ascii="Segoe UI" w:hAnsi="Segoe UI"/>
          <w:color w:val="101820"/>
          <w:sz w:val="21"/>
        </w:rPr>
        <w:t>Any change to the scope, plan, size or Deliverables of this SOW, including any gap in the fit-gap register that the Client wants closed by a change rather than by configuration, is handled under the Change Request Procedure.</w:t>
      </w:r>
    </w:p>
    <w:p>
      <w:pPr>
        <w:pStyle w:val="Normal"/>
        <w:numPr>
          <w:ilvl w:val="0"/>
          <w:numId w:val="45"/>
        </w:numPr>
        <w:spacing w:before="0" w:after="60"/>
        <w:rPr/>
      </w:pPr>
      <w:r>
        <w:rPr>
          <w:rFonts w:eastAsia="Segoe UI" w:cs="Segoe UI" w:ascii="Segoe UI" w:hAnsi="Segoe UI"/>
          <w:color w:val="101820"/>
          <w:sz w:val="21"/>
        </w:rPr>
        <w:t>Customisation approved through a Change Request may be scheduled after go-live so that the OOTB go-live date holds.</w:t>
      </w:r>
    </w:p>
    <w:p>
      <w:pPr>
        <w:pStyle w:val="Normal"/>
        <w:numPr>
          <w:ilvl w:val="0"/>
          <w:numId w:val="46"/>
        </w:numPr>
        <w:spacing w:before="0" w:after="60"/>
        <w:rPr/>
      </w:pPr>
      <w:r>
        <w:rPr>
          <w:rFonts w:eastAsia="Segoe UI" w:cs="Segoe UI" w:ascii="Segoe UI" w:hAnsi="Segoe UI"/>
          <w:color w:val="101820"/>
          <w:sz w:val="21"/>
        </w:rPr>
        <w:t>Changes that affect cost or the go-live date need the written approval of the Client's sponsor.</w:t>
      </w:r>
    </w:p>
    <w:p>
      <w:pPr>
        <w:pStyle w:val="Normal"/>
        <w:numPr>
          <w:ilvl w:val="0"/>
          <w:numId w:val="47"/>
        </w:numPr>
        <w:spacing w:before="0" w:after="60"/>
        <w:rPr/>
      </w:pPr>
      <w:r>
        <w:rPr>
          <w:rFonts w:eastAsia="Segoe UI" w:cs="Segoe UI" w:ascii="Segoe UI" w:hAnsi="Segoe UI"/>
          <w:color w:val="101820"/>
          <w:sz w:val="21"/>
        </w:rPr>
        <w:t>Delays caused by late Client dependencies are recorded in the RAID log. If they move the go-live date, the steering committee agrees a revised plan; additional effort is a Change Request.</w:t>
      </w:r>
      <w:r>
        <w:br w:type="page"/>
      </w:r>
    </w:p>
    <w:p>
      <w:pPr>
        <w:pStyle w:val="Heading1"/>
        <w:rPr/>
      </w:pPr>
      <w:bookmarkStart w:id="27" w:name="__RefHeading___Toc10164_4256504293"/>
      <w:bookmarkEnd w:id="27"/>
      <w:r>
        <w:rPr>
          <w:rFonts w:eastAsia="Segoe UI" w:cs="Segoe UI" w:ascii="Segoe UI" w:hAnsi="Segoe UI"/>
          <w:b/>
          <w:color w:val="0F4761"/>
          <w:sz w:val="32"/>
        </w:rPr>
        <w:t>14.  Signatures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Normal"/>
        <w:spacing w:before="0" w:after="80"/>
        <w:rPr/>
      </w:pPr>
      <w:r>
        <w:rPr/>
      </w:r>
      <w:r>
        <w:br w:type="page"/>
      </w:r>
    </w:p>
    <w:p>
      <w:pPr>
        <w:pStyle w:val="Heading1"/>
        <w:rPr/>
      </w:pPr>
      <w:bookmarkStart w:id="28" w:name="__RefHeading___Toc10166_4256504293"/>
      <w:bookmarkEnd w:id="28"/>
      <w:r>
        <w:rPr>
          <w:rFonts w:eastAsia="Segoe UI" w:cs="Segoe UI" w:ascii="Segoe UI" w:hAnsi="Segoe UI"/>
          <w:b/>
          <w:color w:val="0F4761"/>
          <w:sz w:val="32"/>
        </w:rPr>
        <w:t>15.  Annex A: acceptance certificate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61"/>
        <w:gridCol w:w="4652"/>
      </w:tblGrid>
      <w:tr>
        <w:trPr>
          <w:tblHeader w:val="true"/>
        </w:trPr>
        <w:tc>
          <w:tcPr>
            <w:tcW w:w="4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46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implementation for [Client legal name]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and SOW</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Deliverable or phase</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 on</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criteria</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 from the SOW]</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 reviewed</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 test results, reconciliation reports]</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(severity 3 or 4) and agreed dates</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[items]</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 Accepted with open items / Not accepted: reasons attached]</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by (Client)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Received by (iorta TechNXT)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bl>
    <w:p>
      <w:pPr>
        <w:pStyle w:val="Normal"/>
        <w:spacing w:before="0" w:after="80"/>
        <w:rPr/>
      </w:pPr>
      <w:r>
        <w:rPr/>
      </w:r>
      <w:r>
        <w:br w:type="page"/>
      </w:r>
    </w:p>
    <w:p>
      <w:pPr>
        <w:pStyle w:val="Heading1"/>
        <w:rPr/>
      </w:pPr>
      <w:bookmarkStart w:id="29" w:name="__RefHeading___Toc10168_4256504293"/>
      <w:bookmarkEnd w:id="29"/>
      <w:r>
        <w:rPr>
          <w:rFonts w:eastAsia="Segoe UI" w:cs="Segoe UI" w:ascii="Segoe UI" w:hAnsi="Segoe UI"/>
          <w:b/>
          <w:color w:val="0F4761"/>
          <w:sz w:val="32"/>
        </w:rPr>
        <w:t>16.  Annex B: lines of business in scope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772"/>
        <w:gridCol w:w="4263"/>
        <w:gridCol w:w="1167"/>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7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 of business</w:t>
            </w:r>
          </w:p>
        </w:tc>
        <w:tc>
          <w:tcPr>
            <w:tcW w:w="42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Products and covers</w:t>
            </w:r>
          </w:p>
        </w:tc>
        <w:tc>
          <w:tcPr>
            <w:tcW w:w="11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[Motor]</w:t>
            </w:r>
          </w:p>
        </w:tc>
        <w:tc>
          <w:tcPr>
            <w:tcW w:w="4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[comprehensive, CTPL, Auto Passenger PA]</w:t>
            </w:r>
          </w:p>
        </w:tc>
        <w:tc>
          <w:tcPr>
            <w:tcW w:w="1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[Fire]</w:t>
            </w:r>
          </w:p>
        </w:tc>
        <w:tc>
          <w:tcPr>
            <w:tcW w:w="4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w:t>
            </w:r>
          </w:p>
        </w:tc>
        <w:tc>
          <w:tcPr>
            <w:tcW w:w="1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[line]</w:t>
            </w:r>
          </w:p>
        </w:tc>
        <w:tc>
          <w:tcPr>
            <w:tcW w:w="4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w:t>
            </w:r>
          </w:p>
        </w:tc>
        <w:tc>
          <w:tcPr>
            <w:tcW w:w="1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[notes]</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0" w:name="__RefHeading___Toc10170_4256504293"/>
      <w:bookmarkStart w:id="31" w:name="_Toc233203395"/>
      <w:bookmarkEnd w:id="30"/>
      <w:r>
        <w:rPr>
          <w:rStyle w:val="BookTitle"/>
          <w:bCs w:val="false"/>
          <w:i w:val="false"/>
          <w:iCs w:val="false"/>
          <w:spacing w:val="0"/>
        </w:rPr>
        <w:t>17.  Document Sign-Off</w:t>
      </w:r>
      <w:bookmarkEnd w:id="3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4">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3">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3">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1"/>
    <w:lvlOverride w:ilvl="0">
      <w:startOverride w:val="1"/>
    </w:lvlOverride>
  </w:num>
  <w:num w:numId="11">
    <w:abstractNumId w:val="1"/>
  </w:num>
  <w:num w:numId="12">
    <w:abstractNumId w:val="1"/>
  </w:num>
  <w:num w:numId="13">
    <w:abstractNumId w:val="1"/>
  </w:num>
  <w:num w:numId="14">
    <w:abstractNumId w:val="1"/>
  </w:num>
  <w:num w:numId="15">
    <w:abstractNumId w:val="1"/>
  </w:num>
  <w:num w:numId="16">
    <w:abstractNumId w:val="1"/>
    <w:lvlOverride w:ilvl="0">
      <w:startOverride w:val="1"/>
    </w:lvlOverride>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lvlOverride w:ilvl="0">
      <w:startOverride w:val="1"/>
    </w:lvlOverride>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lvlOverride w:ilvl="0">
      <w:startOverride w:val="1"/>
    </w:lvlOverride>
  </w:num>
  <w:num w:numId="37">
    <w:abstractNumId w:val="1"/>
  </w:num>
  <w:num w:numId="38">
    <w:abstractNumId w:val="1"/>
  </w:num>
  <w:num w:numId="39">
    <w:abstractNumId w:val="1"/>
  </w:num>
  <w:num w:numId="40">
    <w:abstractNumId w:val="1"/>
    <w:lvlOverride w:ilvl="0">
      <w:startOverride w:val="1"/>
    </w:lvlOverride>
  </w:num>
  <w:num w:numId="41">
    <w:abstractNumId w:val="1"/>
  </w:num>
  <w:num w:numId="42">
    <w:abstractNumId w:val="1"/>
  </w:num>
  <w:num w:numId="43">
    <w:abstractNumId w:val="1"/>
  </w:num>
  <w:num w:numId="44">
    <w:abstractNumId w:val="1"/>
    <w:lvlOverride w:ilvl="0">
      <w:startOverride w:val="1"/>
    </w:lvlOverride>
  </w:num>
  <w:num w:numId="45">
    <w:abstractNumId w:val="1"/>
  </w:num>
  <w:num w:numId="46">
    <w:abstractNumId w:val="1"/>
  </w:num>
  <w:num w:numId="47">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2026-10-03T18:38:30Z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